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91D9E">
      <w:pPr>
        <w:spacing w:line="480" w:lineRule="exact"/>
        <w:rPr>
          <w:sz w:val="24"/>
        </w:rPr>
      </w:pPr>
      <w:bookmarkStart w:id="0" w:name="_GoBack"/>
      <w:bookmarkEnd w:id="0"/>
    </w:p>
    <w:p w14:paraId="55A2EE43">
      <w:pPr>
        <w:spacing w:line="1480" w:lineRule="exact"/>
        <w:jc w:val="center"/>
        <w:rPr>
          <w:rFonts w:eastAsia="楷体_GB2312"/>
          <w:b/>
          <w:bCs/>
          <w:spacing w:val="40"/>
          <w:sz w:val="72"/>
        </w:rPr>
      </w:pPr>
      <w:r>
        <w:rPr>
          <w:rFonts w:eastAsia="楷体_GB2312"/>
          <w:b/>
          <w:bCs/>
          <w:spacing w:val="40"/>
          <w:sz w:val="72"/>
        </w:rPr>
        <w:t>中山大学</w:t>
      </w:r>
    </w:p>
    <w:p w14:paraId="110C7B8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41469611">
      <w:pPr>
        <w:spacing w:line="1480" w:lineRule="exact"/>
        <w:jc w:val="center"/>
        <w:rPr>
          <w:sz w:val="52"/>
        </w:rPr>
      </w:pPr>
    </w:p>
    <w:p w14:paraId="025EE407">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117977E">
      <w:pPr>
        <w:spacing w:line="480" w:lineRule="exact"/>
        <w:ind w:firstLine="2127" w:firstLineChars="709"/>
        <w:rPr>
          <w:rFonts w:eastAsia="黑体"/>
          <w:sz w:val="30"/>
          <w:u w:val="single"/>
        </w:rPr>
      </w:pPr>
    </w:p>
    <w:p w14:paraId="2E666F4C">
      <w:pPr>
        <w:spacing w:line="480" w:lineRule="exact"/>
        <w:ind w:firstLine="2127" w:firstLineChars="709"/>
        <w:rPr>
          <w:sz w:val="30"/>
          <w:u w:val="single"/>
        </w:rPr>
      </w:pPr>
      <w:r>
        <w:rPr>
          <w:rFonts w:eastAsia="黑体"/>
          <w:sz w:val="30"/>
        </w:rPr>
        <w:t>课程名称</w:t>
      </w:r>
      <w:r>
        <w:rPr>
          <w:rFonts w:eastAsia="黑体"/>
          <w:sz w:val="30"/>
          <w:u w:val="single"/>
        </w:rPr>
        <w:t xml:space="preserve"> 信息管理类英文经典选读</w:t>
      </w:r>
    </w:p>
    <w:p w14:paraId="6E403A0F">
      <w:pPr>
        <w:spacing w:line="900" w:lineRule="exact"/>
        <w:ind w:firstLine="3600" w:firstLineChars="1200"/>
        <w:rPr>
          <w:sz w:val="30"/>
        </w:rPr>
      </w:pPr>
    </w:p>
    <w:p w14:paraId="17FF07D4">
      <w:pPr>
        <w:spacing w:line="900" w:lineRule="exact"/>
        <w:jc w:val="center"/>
        <w:rPr>
          <w:rFonts w:eastAsia="仿宋_GB2312"/>
          <w:b/>
          <w:bCs/>
          <w:kern w:val="28"/>
          <w:sz w:val="32"/>
          <w:szCs w:val="32"/>
        </w:rPr>
      </w:pPr>
    </w:p>
    <w:p w14:paraId="04D669FD">
      <w:pPr>
        <w:spacing w:line="900" w:lineRule="exact"/>
        <w:jc w:val="center"/>
        <w:rPr>
          <w:rFonts w:eastAsia="仿宋_GB2312"/>
          <w:b/>
          <w:bCs/>
          <w:kern w:val="28"/>
          <w:sz w:val="32"/>
          <w:szCs w:val="32"/>
        </w:rPr>
      </w:pPr>
    </w:p>
    <w:p w14:paraId="700AAB1F">
      <w:pPr>
        <w:spacing w:line="900" w:lineRule="exact"/>
        <w:jc w:val="center"/>
        <w:rPr>
          <w:rFonts w:eastAsia="仿宋_GB2312"/>
          <w:b/>
          <w:bCs/>
          <w:kern w:val="28"/>
          <w:sz w:val="32"/>
          <w:szCs w:val="32"/>
        </w:rPr>
      </w:pPr>
    </w:p>
    <w:p w14:paraId="360CB125">
      <w:pPr>
        <w:spacing w:line="900" w:lineRule="exact"/>
        <w:jc w:val="center"/>
        <w:rPr>
          <w:rFonts w:eastAsia="仿宋_GB2312"/>
          <w:b/>
          <w:bCs/>
          <w:kern w:val="28"/>
          <w:sz w:val="32"/>
          <w:szCs w:val="32"/>
        </w:rPr>
      </w:pPr>
    </w:p>
    <w:p w14:paraId="10E2741A">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69FA547">
      <w:pPr>
        <w:spacing w:line="900" w:lineRule="exact"/>
        <w:jc w:val="center"/>
        <w:rPr>
          <w:rFonts w:ascii="仿宋_GB2312" w:hAnsi="仿宋_GB2312" w:eastAsia="仿宋_GB2312" w:cs="仿宋_GB2312"/>
          <w:b/>
          <w:bCs/>
          <w:kern w:val="28"/>
          <w:sz w:val="32"/>
          <w:szCs w:val="32"/>
        </w:rPr>
      </w:pPr>
    </w:p>
    <w:p w14:paraId="60B8FD1D">
      <w:pPr>
        <w:spacing w:line="900" w:lineRule="exact"/>
        <w:jc w:val="center"/>
        <w:rPr>
          <w:rFonts w:hint="eastAsia" w:ascii="仿宋_GB2312" w:hAnsi="仿宋_GB2312" w:eastAsia="仿宋_GB2312" w:cs="仿宋_GB2312"/>
          <w:b/>
          <w:bCs/>
          <w:kern w:val="28"/>
          <w:sz w:val="32"/>
          <w:szCs w:val="32"/>
        </w:rPr>
      </w:pPr>
    </w:p>
    <w:p w14:paraId="59FC5B59">
      <w:pPr>
        <w:spacing w:line="900" w:lineRule="exact"/>
        <w:jc w:val="center"/>
        <w:rPr>
          <w:rFonts w:hint="eastAsia" w:eastAsia="仿宋_GB2312"/>
          <w:b/>
          <w:bCs/>
          <w:kern w:val="28"/>
          <w:sz w:val="32"/>
          <w:szCs w:val="32"/>
        </w:rPr>
      </w:pPr>
    </w:p>
    <w:p w14:paraId="78F35EB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3D81397D">
      <w:pPr>
        <w:pStyle w:val="2"/>
        <w:spacing w:line="480" w:lineRule="exact"/>
        <w:ind w:firstLine="0" w:firstLineChars="0"/>
        <w:jc w:val="center"/>
        <w:rPr>
          <w:rFonts w:eastAsia="宋体"/>
          <w:sz w:val="24"/>
        </w:rPr>
      </w:pPr>
      <w:r>
        <w:rPr>
          <w:rFonts w:eastAsia="宋体"/>
          <w:sz w:val="24"/>
        </w:rPr>
        <w:t>（编写日期：2025年06月）</w:t>
      </w:r>
    </w:p>
    <w:p w14:paraId="3DA30C43">
      <w:pPr>
        <w:pStyle w:val="2"/>
        <w:spacing w:line="480" w:lineRule="exact"/>
        <w:ind w:firstLine="0" w:firstLineChars="0"/>
        <w:jc w:val="center"/>
        <w:rPr>
          <w:rFonts w:eastAsia="宋体"/>
          <w:sz w:val="24"/>
        </w:rPr>
      </w:pPr>
    </w:p>
    <w:p w14:paraId="02C944D0">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BA4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5C54C40C">
            <w:pPr>
              <w:pStyle w:val="2"/>
              <w:spacing w:line="480" w:lineRule="exact"/>
              <w:ind w:firstLine="0" w:firstLineChars="0"/>
              <w:jc w:val="center"/>
              <w:rPr>
                <w:rFonts w:eastAsia="宋体"/>
                <w:sz w:val="24"/>
              </w:rPr>
            </w:pPr>
          </w:p>
          <w:p w14:paraId="59770123">
            <w:pPr>
              <w:pStyle w:val="2"/>
              <w:adjustRightInd w:val="0"/>
              <w:snapToGrid w:val="0"/>
              <w:ind w:firstLine="0" w:firstLineChars="0"/>
              <w:jc w:val="center"/>
              <w:rPr>
                <w:rFonts w:eastAsia="宋体"/>
                <w:sz w:val="24"/>
                <w:lang w:val="en-US" w:eastAsia="zh-CN"/>
              </w:rPr>
            </w:pPr>
            <w:r>
              <w:rPr>
                <w:rFonts w:eastAsia="宋体"/>
                <w:sz w:val="24"/>
                <w:lang w:val="en-US" w:eastAsia="zh-CN"/>
              </w:rPr>
              <w:t>信息管理类英文经典选读</w:t>
            </w:r>
          </w:p>
          <w:p w14:paraId="3862604C">
            <w:pPr>
              <w:pStyle w:val="2"/>
              <w:adjustRightInd w:val="0"/>
              <w:snapToGrid w:val="0"/>
              <w:ind w:firstLine="0" w:firstLineChars="0"/>
              <w:jc w:val="center"/>
              <w:rPr>
                <w:rFonts w:eastAsia="宋体"/>
                <w:sz w:val="24"/>
                <w:lang w:val="en-US" w:eastAsia="zh-CN"/>
              </w:rPr>
            </w:pPr>
            <w:r>
              <w:rPr>
                <w:rFonts w:eastAsia="宋体"/>
                <w:sz w:val="24"/>
                <w:lang w:val="en-US" w:eastAsia="zh-CN"/>
              </w:rPr>
              <w:t>Classic English Literature in Information Science</w:t>
            </w:r>
          </w:p>
          <w:p w14:paraId="7785CACA">
            <w:pPr>
              <w:pStyle w:val="2"/>
              <w:spacing w:line="480" w:lineRule="exact"/>
              <w:ind w:firstLine="0" w:firstLineChars="0"/>
              <w:jc w:val="center"/>
              <w:rPr>
                <w:rFonts w:eastAsia="宋体"/>
                <w:sz w:val="24"/>
              </w:rPr>
            </w:pPr>
          </w:p>
        </w:tc>
      </w:tr>
      <w:tr w14:paraId="4DD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AD1C845">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4C50F390">
            <w:pPr>
              <w:jc w:val="center"/>
              <w:rPr>
                <w:sz w:val="24"/>
              </w:rPr>
            </w:pPr>
            <w:r>
              <w:rPr>
                <w:rFonts w:hint="eastAsia" w:eastAsia="宋体"/>
                <w:sz w:val="24"/>
                <w:lang w:val="en-US" w:eastAsia="zh-CN"/>
              </w:rPr>
              <w:t>专选</w:t>
            </w:r>
          </w:p>
        </w:tc>
        <w:tc>
          <w:tcPr>
            <w:tcW w:w="1598" w:type="dxa"/>
            <w:vAlign w:val="center"/>
          </w:tcPr>
          <w:p w14:paraId="6CA0A7D9">
            <w:pPr>
              <w:rPr>
                <w:sz w:val="24"/>
              </w:rPr>
            </w:pPr>
            <w:r>
              <w:rPr>
                <w:sz w:val="24"/>
              </w:rPr>
              <w:t>课程编码</w:t>
            </w:r>
          </w:p>
        </w:tc>
        <w:tc>
          <w:tcPr>
            <w:tcW w:w="1435" w:type="dxa"/>
            <w:vAlign w:val="center"/>
          </w:tcPr>
          <w:p w14:paraId="0DDFEE74">
            <w:pPr>
              <w:jc w:val="center"/>
              <w:rPr>
                <w:sz w:val="24"/>
              </w:rPr>
            </w:pPr>
            <w:r>
              <w:rPr>
                <w:sz w:val="24"/>
              </w:rPr>
              <w:t>IM435</w:t>
            </w:r>
          </w:p>
        </w:tc>
        <w:tc>
          <w:tcPr>
            <w:tcW w:w="1400" w:type="dxa"/>
            <w:vAlign w:val="center"/>
          </w:tcPr>
          <w:p w14:paraId="7D30D1B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70C8F27">
            <w:pPr>
              <w:jc w:val="center"/>
              <w:rPr>
                <w:sz w:val="24"/>
              </w:rPr>
            </w:pPr>
            <w:r>
              <w:rPr>
                <w:rFonts w:eastAsia="宋体"/>
                <w:sz w:val="24"/>
                <w:lang w:val="en-US" w:eastAsia="zh-CN"/>
              </w:rPr>
              <w:t>信息管理学院</w:t>
            </w:r>
          </w:p>
        </w:tc>
      </w:tr>
      <w:tr w14:paraId="48BA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0615ACA">
            <w:pPr>
              <w:jc w:val="center"/>
              <w:rPr>
                <w:sz w:val="24"/>
              </w:rPr>
            </w:pPr>
            <w:r>
              <w:rPr>
                <w:sz w:val="24"/>
              </w:rPr>
              <w:t>学分</w:t>
            </w:r>
          </w:p>
        </w:tc>
        <w:tc>
          <w:tcPr>
            <w:tcW w:w="1379" w:type="dxa"/>
            <w:vAlign w:val="center"/>
          </w:tcPr>
          <w:p w14:paraId="0DDAD30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02BE49A3">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2B71892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651CC521">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1234DC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大四</w:t>
            </w:r>
          </w:p>
        </w:tc>
      </w:tr>
      <w:tr w14:paraId="5263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28247C9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D006EC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2AEA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202374B">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D9DE43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李晶</w:t>
            </w:r>
          </w:p>
        </w:tc>
      </w:tr>
      <w:tr w14:paraId="2302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9169A56">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0AD6FE4">
            <w:pPr>
              <w:pStyle w:val="2"/>
              <w:adjustRightInd w:val="0"/>
              <w:snapToGrid w:val="0"/>
              <w:ind w:firstLine="0" w:firstLineChars="0"/>
              <w:jc w:val="left"/>
              <w:rPr>
                <w:rFonts w:hint="eastAsia" w:eastAsia="宋体"/>
                <w:sz w:val="24"/>
                <w:lang w:val="en-US" w:eastAsia="zh-CN"/>
              </w:rPr>
            </w:pPr>
          </w:p>
        </w:tc>
      </w:tr>
      <w:tr w14:paraId="1236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160F1AF3">
            <w:pPr>
              <w:pStyle w:val="2"/>
              <w:spacing w:line="480" w:lineRule="exact"/>
              <w:ind w:firstLine="0" w:firstLineChars="0"/>
              <w:jc w:val="center"/>
              <w:rPr>
                <w:rFonts w:eastAsia="宋体"/>
                <w:sz w:val="24"/>
                <w:lang w:val="en-US" w:eastAsia="zh-CN"/>
              </w:rPr>
            </w:pPr>
          </w:p>
          <w:p w14:paraId="57B3437C">
            <w:pPr>
              <w:pStyle w:val="2"/>
              <w:spacing w:line="480" w:lineRule="exact"/>
              <w:ind w:firstLine="0" w:firstLineChars="0"/>
              <w:jc w:val="center"/>
              <w:rPr>
                <w:rFonts w:eastAsia="宋体"/>
                <w:sz w:val="24"/>
                <w:lang w:val="en-US" w:eastAsia="zh-CN"/>
              </w:rPr>
            </w:pPr>
          </w:p>
          <w:p w14:paraId="66FDDAAA">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E9F8829">
            <w:pPr>
              <w:pStyle w:val="2"/>
              <w:spacing w:line="480" w:lineRule="exact"/>
              <w:ind w:firstLine="0" w:firstLineChars="0"/>
              <w:jc w:val="center"/>
              <w:rPr>
                <w:rFonts w:eastAsia="宋体"/>
                <w:sz w:val="24"/>
                <w:lang w:val="en-US" w:eastAsia="zh-CN"/>
              </w:rPr>
            </w:pPr>
          </w:p>
          <w:p w14:paraId="6895CAEB">
            <w:pPr>
              <w:pStyle w:val="2"/>
              <w:spacing w:line="480" w:lineRule="exact"/>
              <w:ind w:firstLine="0" w:firstLineChars="0"/>
              <w:jc w:val="center"/>
              <w:rPr>
                <w:rFonts w:eastAsia="宋体"/>
                <w:sz w:val="24"/>
                <w:lang w:val="en-US" w:eastAsia="zh-CN"/>
              </w:rPr>
            </w:pPr>
          </w:p>
        </w:tc>
        <w:tc>
          <w:tcPr>
            <w:tcW w:w="7157" w:type="dxa"/>
            <w:gridSpan w:val="5"/>
            <w:vAlign w:val="center"/>
          </w:tcPr>
          <w:p w14:paraId="540C136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使学生了解和学习信息管理专业经典理论著作和文献，丰富学生的理论知识，提高学生的理论认知水平，初步具备对英文专业文献进行选择、精细阅读、批判性思考的能力。学习者应严格按照教学要求认真进行课堂讨论、问题回答和课后文献阅读，经任课教师确认全部合格，并通过期末论文考核才可通过本课程的学习。</w:t>
            </w:r>
          </w:p>
        </w:tc>
      </w:tr>
    </w:tbl>
    <w:p w14:paraId="2CC3B85D">
      <w:pPr>
        <w:spacing w:line="480" w:lineRule="exact"/>
        <w:ind w:firstLine="480" w:firstLineChars="200"/>
        <w:rPr>
          <w:sz w:val="24"/>
        </w:rPr>
      </w:pPr>
    </w:p>
    <w:p w14:paraId="654E6890">
      <w:pPr>
        <w:spacing w:line="480" w:lineRule="exact"/>
        <w:ind w:firstLine="480" w:firstLineChars="200"/>
        <w:rPr>
          <w:sz w:val="24"/>
        </w:rPr>
      </w:pPr>
      <w:r>
        <w:rPr>
          <w:sz w:val="24"/>
        </w:rPr>
        <w:t>二、课程基本内容（要求有一定的字数，不能过于简单）</w:t>
      </w:r>
    </w:p>
    <w:p w14:paraId="75F2EDED">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32"/>
        <w:gridCol w:w="1441"/>
        <w:gridCol w:w="1103"/>
        <w:gridCol w:w="1230"/>
        <w:gridCol w:w="1652"/>
        <w:gridCol w:w="673"/>
        <w:gridCol w:w="1104"/>
      </w:tblGrid>
      <w:tr w14:paraId="198442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C453E08">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CC85928">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8FAEAF5">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5CF9372">
            <w:pPr>
              <w:jc w:val="center"/>
              <w:rPr>
                <w:rFonts w:hint="eastAsia"/>
                <w:b/>
                <w:bCs/>
                <w:sz w:val="24"/>
                <w:szCs w:val="20"/>
              </w:rPr>
            </w:pPr>
            <w:r>
              <w:rPr>
                <w:rFonts w:hint="eastAsia" w:ascii="24x12 宋体"/>
                <w:b/>
                <w:bCs/>
                <w:sz w:val="24"/>
                <w:szCs w:val="20"/>
              </w:rPr>
              <w:t>育人元素</w:t>
            </w:r>
          </w:p>
        </w:tc>
        <w:tc>
          <w:tcPr>
            <w:tcW w:w="1920" w:type="dxa"/>
            <w:vAlign w:val="center"/>
          </w:tcPr>
          <w:p w14:paraId="395328D9">
            <w:pPr>
              <w:jc w:val="center"/>
              <w:rPr>
                <w:rFonts w:hint="eastAsia"/>
                <w:b/>
                <w:bCs/>
                <w:sz w:val="24"/>
                <w:szCs w:val="20"/>
              </w:rPr>
            </w:pPr>
            <w:r>
              <w:rPr>
                <w:rFonts w:hint="eastAsia" w:ascii="24x12 宋体"/>
                <w:b/>
                <w:bCs/>
                <w:sz w:val="24"/>
                <w:szCs w:val="20"/>
              </w:rPr>
              <w:t>重点、难点(选填)</w:t>
            </w:r>
          </w:p>
        </w:tc>
        <w:tc>
          <w:tcPr>
            <w:tcW w:w="1419" w:type="dxa"/>
            <w:vAlign w:val="center"/>
          </w:tcPr>
          <w:p w14:paraId="0B7593CF">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45CFFB63">
            <w:pPr>
              <w:jc w:val="center"/>
              <w:rPr>
                <w:rFonts w:hint="eastAsia"/>
                <w:b/>
                <w:bCs/>
                <w:sz w:val="24"/>
                <w:szCs w:val="20"/>
              </w:rPr>
            </w:pPr>
            <w:r>
              <w:rPr>
                <w:rFonts w:hint="eastAsia" w:ascii="24x12 宋体"/>
                <w:b/>
                <w:bCs/>
                <w:sz w:val="24"/>
                <w:szCs w:val="20"/>
              </w:rPr>
              <w:t>备注(选填)</w:t>
            </w:r>
          </w:p>
        </w:tc>
      </w:tr>
      <w:tr w14:paraId="415201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D2C409">
            <w:pPr>
              <w:rPr>
                <w:rFonts w:ascii="宋体" w:hAnsi="宋体" w:eastAsia="宋体"/>
                <w:sz w:val="24"/>
                <w:szCs w:val="24"/>
              </w:rPr>
            </w:pPr>
            <w:r>
              <w:rPr>
                <w:rFonts w:hint="eastAsia" w:ascii="宋体" w:hAnsi="宋体" w:eastAsia="宋体"/>
                <w:sz w:val="24"/>
                <w:szCs w:val="24"/>
              </w:rPr>
              <w:t>第1章文献阅读导论</w:t>
            </w:r>
          </w:p>
          <w:p w14:paraId="7F6EE656">
            <w:pPr>
              <w:rPr>
                <w:rFonts w:ascii="宋体" w:hAnsi="宋体" w:eastAsia="宋体"/>
                <w:sz w:val="24"/>
                <w:szCs w:val="24"/>
              </w:rPr>
            </w:pPr>
            <w:r>
              <w:rPr>
                <w:rFonts w:hint="eastAsia" w:ascii="宋体" w:hAnsi="宋体" w:eastAsia="宋体"/>
                <w:sz w:val="24"/>
                <w:szCs w:val="24"/>
              </w:rPr>
              <w:t>第1节高质量英文文献选择，第2节英文文献的结构。</w:t>
            </w:r>
          </w:p>
        </w:tc>
        <w:tc>
          <w:tcPr>
            <w:tcW w:w="5096" w:type="dxa"/>
            <w:vAlign w:val="center"/>
          </w:tcPr>
          <w:p w14:paraId="7301C94E">
            <w:pPr>
              <w:rPr>
                <w:rFonts w:ascii="宋体" w:hAnsi="宋体" w:eastAsia="宋体"/>
                <w:sz w:val="24"/>
                <w:szCs w:val="24"/>
              </w:rPr>
            </w:pPr>
            <w:r>
              <w:rPr>
                <w:rFonts w:hint="eastAsia" w:ascii="宋体" w:hAnsi="宋体" w:eastAsia="宋体"/>
                <w:sz w:val="24"/>
                <w:szCs w:val="24"/>
              </w:rPr>
              <w:t>介绍课程内容安排、阅读书目，高质量英文文献的选择方法，英文文献的一般结构特征。</w:t>
            </w:r>
          </w:p>
        </w:tc>
        <w:tc>
          <w:tcPr>
            <w:tcW w:w="5096" w:type="dxa"/>
            <w:vAlign w:val="center"/>
          </w:tcPr>
          <w:p w14:paraId="0821478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4945F26">
            <w:pPr>
              <w:rPr>
                <w:rFonts w:ascii="宋体" w:hAnsi="宋体" w:eastAsia="宋体"/>
                <w:sz w:val="24"/>
                <w:szCs w:val="24"/>
              </w:rPr>
            </w:pPr>
          </w:p>
        </w:tc>
        <w:tc>
          <w:tcPr>
            <w:tcW w:w="5096" w:type="dxa"/>
            <w:vAlign w:val="center"/>
          </w:tcPr>
          <w:p w14:paraId="0B2E4241">
            <w:pPr>
              <w:rPr>
                <w:rFonts w:ascii="宋体" w:hAnsi="宋体" w:eastAsia="宋体"/>
                <w:sz w:val="24"/>
                <w:szCs w:val="24"/>
              </w:rPr>
            </w:pPr>
            <w:r>
              <w:rPr>
                <w:rFonts w:hint="eastAsia" w:ascii="宋体" w:hAnsi="宋体" w:eastAsia="宋体"/>
                <w:sz w:val="24"/>
                <w:szCs w:val="24"/>
              </w:rPr>
              <w:t>重点是介绍遴选文献的方法，英文文献的结构。难点是如何根据文献外在特征确定文献的质量。</w:t>
            </w:r>
          </w:p>
        </w:tc>
        <w:tc>
          <w:tcPr>
            <w:tcW w:w="1555" w:type="dxa"/>
            <w:vMerge w:val="restart"/>
            <w:vAlign w:val="center"/>
          </w:tcPr>
          <w:p w14:paraId="63E43C38">
            <w:pPr>
              <w:jc w:val="center"/>
              <w:rPr>
                <w:rFonts w:ascii="宋体" w:hAnsi="宋体" w:eastAsia="宋体"/>
                <w:sz w:val="24"/>
                <w:szCs w:val="24"/>
              </w:rPr>
            </w:pPr>
          </w:p>
        </w:tc>
        <w:tc>
          <w:tcPr>
            <w:tcW w:w="5096" w:type="dxa"/>
            <w:vAlign w:val="center"/>
          </w:tcPr>
          <w:p w14:paraId="04A375CA">
            <w:pPr>
              <w:rPr>
                <w:rFonts w:ascii="宋体" w:hAnsi="宋体" w:eastAsia="宋体"/>
                <w:sz w:val="24"/>
                <w:szCs w:val="24"/>
              </w:rPr>
            </w:pPr>
          </w:p>
        </w:tc>
      </w:tr>
      <w:tr w14:paraId="79EB80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A486A74">
            <w:pPr>
              <w:rPr>
                <w:rFonts w:ascii="宋体" w:hAnsi="宋体" w:eastAsia="宋体"/>
                <w:sz w:val="24"/>
                <w:szCs w:val="24"/>
              </w:rPr>
            </w:pPr>
            <w:r>
              <w:rPr>
                <w:rFonts w:hint="eastAsia" w:ascii="宋体" w:hAnsi="宋体" w:eastAsia="宋体"/>
                <w:sz w:val="24"/>
                <w:szCs w:val="24"/>
              </w:rPr>
              <w:t>第1章文献阅读导论</w:t>
            </w:r>
          </w:p>
          <w:p w14:paraId="461C3EC0">
            <w:pPr>
              <w:rPr>
                <w:rFonts w:ascii="宋体" w:hAnsi="宋体" w:eastAsia="宋体"/>
                <w:sz w:val="24"/>
                <w:szCs w:val="24"/>
              </w:rPr>
            </w:pPr>
            <w:r>
              <w:rPr>
                <w:rFonts w:hint="eastAsia" w:ascii="宋体" w:hAnsi="宋体" w:eastAsia="宋体"/>
                <w:sz w:val="24"/>
                <w:szCs w:val="24"/>
              </w:rPr>
              <w:t>第3节批判性思考，第4节文献管理工具。</w:t>
            </w:r>
          </w:p>
        </w:tc>
        <w:tc>
          <w:tcPr>
            <w:tcW w:w="5096" w:type="dxa"/>
            <w:vAlign w:val="center"/>
          </w:tcPr>
          <w:p w14:paraId="09940CE8">
            <w:pPr>
              <w:rPr>
                <w:rFonts w:ascii="宋体" w:hAnsi="宋体" w:eastAsia="宋体"/>
                <w:sz w:val="24"/>
                <w:szCs w:val="24"/>
              </w:rPr>
            </w:pPr>
            <w:r>
              <w:rPr>
                <w:rFonts w:hint="eastAsia" w:ascii="宋体" w:hAnsi="宋体" w:eastAsia="宋体"/>
                <w:sz w:val="24"/>
                <w:szCs w:val="24"/>
              </w:rPr>
              <w:t>介绍批判性思考方法、利用文献管理工具制作文献阅读笔记。</w:t>
            </w:r>
          </w:p>
        </w:tc>
        <w:tc>
          <w:tcPr>
            <w:tcW w:w="5096" w:type="dxa"/>
            <w:vAlign w:val="center"/>
          </w:tcPr>
          <w:p w14:paraId="08C9AA6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EC5D4B4">
            <w:pPr>
              <w:rPr>
                <w:rFonts w:ascii="宋体" w:hAnsi="宋体" w:eastAsia="宋体"/>
                <w:sz w:val="24"/>
                <w:szCs w:val="24"/>
              </w:rPr>
            </w:pPr>
            <w:r>
              <w:rPr>
                <w:rFonts w:hint="eastAsia" w:ascii="宋体" w:hAnsi="宋体" w:eastAsia="宋体"/>
                <w:sz w:val="24"/>
                <w:szCs w:val="24"/>
              </w:rPr>
              <w:t>训练学生的批判性思维能力。</w:t>
            </w:r>
          </w:p>
        </w:tc>
        <w:tc>
          <w:tcPr>
            <w:tcW w:w="5096" w:type="dxa"/>
            <w:vAlign w:val="center"/>
          </w:tcPr>
          <w:p w14:paraId="1BE323EE">
            <w:pPr>
              <w:rPr>
                <w:rFonts w:ascii="宋体" w:hAnsi="宋体" w:eastAsia="宋体"/>
                <w:sz w:val="24"/>
                <w:szCs w:val="24"/>
              </w:rPr>
            </w:pPr>
            <w:r>
              <w:rPr>
                <w:rFonts w:hint="eastAsia" w:ascii="宋体" w:hAnsi="宋体" w:eastAsia="宋体"/>
                <w:sz w:val="24"/>
                <w:szCs w:val="24"/>
              </w:rPr>
              <w:t>重点是学习和掌握文献管理工具。难点是学习和训练批判性思考方法。</w:t>
            </w:r>
          </w:p>
        </w:tc>
        <w:tc>
          <w:tcPr>
            <w:tcW w:w="1555" w:type="dxa"/>
            <w:vMerge w:val="restart"/>
            <w:vAlign w:val="center"/>
          </w:tcPr>
          <w:p w14:paraId="6141EC8B">
            <w:pPr>
              <w:jc w:val="center"/>
              <w:rPr>
                <w:rFonts w:ascii="宋体" w:hAnsi="宋体" w:eastAsia="宋体"/>
                <w:sz w:val="24"/>
                <w:szCs w:val="24"/>
              </w:rPr>
            </w:pPr>
          </w:p>
        </w:tc>
        <w:tc>
          <w:tcPr>
            <w:tcW w:w="5096" w:type="dxa"/>
            <w:vAlign w:val="center"/>
          </w:tcPr>
          <w:p w14:paraId="7FC5294C">
            <w:pPr>
              <w:rPr>
                <w:rFonts w:ascii="宋体" w:hAnsi="宋体" w:eastAsia="宋体"/>
                <w:sz w:val="24"/>
                <w:szCs w:val="24"/>
              </w:rPr>
            </w:pPr>
          </w:p>
        </w:tc>
      </w:tr>
      <w:tr w14:paraId="431B6B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2B52C4">
            <w:pPr>
              <w:rPr>
                <w:rFonts w:ascii="宋体" w:hAnsi="宋体" w:eastAsia="宋体"/>
                <w:sz w:val="24"/>
                <w:szCs w:val="24"/>
              </w:rPr>
            </w:pPr>
            <w:r>
              <w:rPr>
                <w:rFonts w:hint="eastAsia" w:ascii="宋体" w:hAnsi="宋体" w:eastAsia="宋体"/>
                <w:sz w:val="24"/>
                <w:szCs w:val="24"/>
              </w:rPr>
              <w:t>第2章信息科学基础理论</w:t>
            </w:r>
          </w:p>
          <w:p w14:paraId="1F732152">
            <w:pPr>
              <w:rPr>
                <w:rFonts w:ascii="宋体" w:hAnsi="宋体" w:eastAsia="宋体"/>
                <w:sz w:val="24"/>
                <w:szCs w:val="24"/>
              </w:rPr>
            </w:pPr>
            <w:r>
              <w:rPr>
                <w:rFonts w:hint="eastAsia" w:ascii="宋体" w:hAnsi="宋体" w:eastAsia="宋体"/>
                <w:sz w:val="24"/>
                <w:szCs w:val="24"/>
              </w:rPr>
              <w:t>第1节信息，第2节信息的相关概念。</w:t>
            </w:r>
          </w:p>
        </w:tc>
        <w:tc>
          <w:tcPr>
            <w:tcW w:w="5096" w:type="dxa"/>
            <w:vAlign w:val="center"/>
          </w:tcPr>
          <w:p w14:paraId="0C9197C6">
            <w:pPr>
              <w:rPr>
                <w:rFonts w:ascii="宋体" w:hAnsi="宋体" w:eastAsia="宋体"/>
                <w:sz w:val="24"/>
                <w:szCs w:val="24"/>
              </w:rPr>
            </w:pPr>
            <w:r>
              <w:rPr>
                <w:rFonts w:hint="eastAsia" w:ascii="宋体" w:hAnsi="宋体" w:eastAsia="宋体"/>
                <w:sz w:val="24"/>
                <w:szCs w:val="24"/>
              </w:rPr>
              <w:t>讲授信息的定义、信息的相关概念，信息与数据、知识之间的关系，三者之间的可转化性对信息管理工作的启示。</w:t>
            </w:r>
          </w:p>
        </w:tc>
        <w:tc>
          <w:tcPr>
            <w:tcW w:w="5096" w:type="dxa"/>
            <w:vAlign w:val="center"/>
          </w:tcPr>
          <w:p w14:paraId="36DE4C2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48A487">
            <w:pPr>
              <w:rPr>
                <w:rFonts w:ascii="宋体" w:hAnsi="宋体" w:eastAsia="宋体"/>
                <w:sz w:val="24"/>
                <w:szCs w:val="24"/>
              </w:rPr>
            </w:pPr>
          </w:p>
        </w:tc>
        <w:tc>
          <w:tcPr>
            <w:tcW w:w="5096" w:type="dxa"/>
            <w:vAlign w:val="center"/>
          </w:tcPr>
          <w:p w14:paraId="0BBA3D87">
            <w:pPr>
              <w:rPr>
                <w:rFonts w:ascii="宋体" w:hAnsi="宋体" w:eastAsia="宋体"/>
                <w:sz w:val="24"/>
                <w:szCs w:val="24"/>
              </w:rPr>
            </w:pPr>
            <w:r>
              <w:rPr>
                <w:rFonts w:hint="eastAsia" w:ascii="宋体" w:hAnsi="宋体" w:eastAsia="宋体"/>
                <w:sz w:val="24"/>
                <w:szCs w:val="24"/>
              </w:rPr>
              <w:t>重点是理解经典文献中关于信息相关概念的论述。难点是理解三者的转化性对信息管理工作的启示。</w:t>
            </w:r>
          </w:p>
        </w:tc>
        <w:tc>
          <w:tcPr>
            <w:tcW w:w="1555" w:type="dxa"/>
            <w:vMerge w:val="restart"/>
            <w:vAlign w:val="center"/>
          </w:tcPr>
          <w:p w14:paraId="07183577">
            <w:pPr>
              <w:jc w:val="center"/>
              <w:rPr>
                <w:rFonts w:ascii="宋体" w:hAnsi="宋体" w:eastAsia="宋体"/>
                <w:sz w:val="24"/>
                <w:szCs w:val="24"/>
              </w:rPr>
            </w:pPr>
          </w:p>
        </w:tc>
        <w:tc>
          <w:tcPr>
            <w:tcW w:w="5096" w:type="dxa"/>
            <w:vAlign w:val="center"/>
          </w:tcPr>
          <w:p w14:paraId="6D03F411">
            <w:pPr>
              <w:rPr>
                <w:rFonts w:ascii="宋体" w:hAnsi="宋体" w:eastAsia="宋体"/>
                <w:sz w:val="24"/>
                <w:szCs w:val="24"/>
              </w:rPr>
            </w:pPr>
          </w:p>
        </w:tc>
      </w:tr>
      <w:tr w14:paraId="2CB9FC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5D3BD1">
            <w:pPr>
              <w:rPr>
                <w:rFonts w:ascii="宋体" w:hAnsi="宋体" w:eastAsia="宋体"/>
                <w:sz w:val="24"/>
                <w:szCs w:val="24"/>
              </w:rPr>
            </w:pPr>
            <w:r>
              <w:rPr>
                <w:rFonts w:hint="eastAsia" w:ascii="宋体" w:hAnsi="宋体" w:eastAsia="宋体"/>
                <w:sz w:val="24"/>
                <w:szCs w:val="24"/>
              </w:rPr>
              <w:t>第2章信息科学基础理论</w:t>
            </w:r>
          </w:p>
          <w:p w14:paraId="3E0A23EC">
            <w:pPr>
              <w:rPr>
                <w:rFonts w:ascii="宋体" w:hAnsi="宋体" w:eastAsia="宋体"/>
                <w:sz w:val="24"/>
                <w:szCs w:val="24"/>
              </w:rPr>
            </w:pPr>
            <w:r>
              <w:rPr>
                <w:rFonts w:hint="eastAsia" w:ascii="宋体" w:hAnsi="宋体" w:eastAsia="宋体"/>
                <w:sz w:val="24"/>
                <w:szCs w:val="24"/>
              </w:rPr>
              <w:t>第3节信息的价值与信息增值，第4节信息科学学科发展史。</w:t>
            </w:r>
          </w:p>
        </w:tc>
        <w:tc>
          <w:tcPr>
            <w:tcW w:w="5096" w:type="dxa"/>
            <w:vAlign w:val="center"/>
          </w:tcPr>
          <w:p w14:paraId="799EBFFE">
            <w:pPr>
              <w:rPr>
                <w:rFonts w:ascii="宋体" w:hAnsi="宋体" w:eastAsia="宋体"/>
                <w:sz w:val="24"/>
                <w:szCs w:val="24"/>
              </w:rPr>
            </w:pPr>
            <w:r>
              <w:rPr>
                <w:rFonts w:hint="eastAsia" w:ascii="宋体" w:hAnsi="宋体" w:eastAsia="宋体"/>
                <w:sz w:val="24"/>
                <w:szCs w:val="24"/>
              </w:rPr>
              <w:t>讲授信息的价值与信息增值过程、信息科学学科与职业、信息科学学科发展史。</w:t>
            </w:r>
          </w:p>
        </w:tc>
        <w:tc>
          <w:tcPr>
            <w:tcW w:w="5096" w:type="dxa"/>
            <w:vAlign w:val="center"/>
          </w:tcPr>
          <w:p w14:paraId="2C9192F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219E1E9">
            <w:pPr>
              <w:rPr>
                <w:rFonts w:ascii="宋体" w:hAnsi="宋体" w:eastAsia="宋体"/>
                <w:sz w:val="24"/>
                <w:szCs w:val="24"/>
              </w:rPr>
            </w:pPr>
            <w:r>
              <w:rPr>
                <w:rFonts w:hint="eastAsia" w:ascii="宋体" w:hAnsi="宋体" w:eastAsia="宋体"/>
                <w:sz w:val="24"/>
                <w:szCs w:val="24"/>
              </w:rPr>
              <w:t>从事信息科学职业的基本素养需要诚信、友善、关怀，要具备基本的职业素养。</w:t>
            </w:r>
          </w:p>
        </w:tc>
        <w:tc>
          <w:tcPr>
            <w:tcW w:w="5096" w:type="dxa"/>
            <w:vAlign w:val="center"/>
          </w:tcPr>
          <w:p w14:paraId="3729C8F2">
            <w:pPr>
              <w:rPr>
                <w:rFonts w:ascii="宋体" w:hAnsi="宋体" w:eastAsia="宋体"/>
                <w:sz w:val="24"/>
                <w:szCs w:val="24"/>
              </w:rPr>
            </w:pPr>
            <w:r>
              <w:rPr>
                <w:rFonts w:hint="eastAsia" w:ascii="宋体" w:hAnsi="宋体" w:eastAsia="宋体"/>
                <w:sz w:val="24"/>
                <w:szCs w:val="24"/>
              </w:rPr>
              <w:t>重点是掌握信息科学发展历程、信息科学与职业的特点。难点是理解信息增值对信息管理工作的启示。</w:t>
            </w:r>
          </w:p>
        </w:tc>
        <w:tc>
          <w:tcPr>
            <w:tcW w:w="1555" w:type="dxa"/>
            <w:vMerge w:val="restart"/>
            <w:vAlign w:val="center"/>
          </w:tcPr>
          <w:p w14:paraId="436D32A2">
            <w:pPr>
              <w:jc w:val="center"/>
              <w:rPr>
                <w:rFonts w:ascii="宋体" w:hAnsi="宋体" w:eastAsia="宋体"/>
                <w:sz w:val="24"/>
                <w:szCs w:val="24"/>
              </w:rPr>
            </w:pPr>
          </w:p>
        </w:tc>
        <w:tc>
          <w:tcPr>
            <w:tcW w:w="5096" w:type="dxa"/>
            <w:vAlign w:val="center"/>
          </w:tcPr>
          <w:p w14:paraId="6B2EB83F">
            <w:pPr>
              <w:rPr>
                <w:rFonts w:ascii="宋体" w:hAnsi="宋体" w:eastAsia="宋体"/>
                <w:sz w:val="24"/>
                <w:szCs w:val="24"/>
              </w:rPr>
            </w:pPr>
          </w:p>
        </w:tc>
      </w:tr>
      <w:tr w14:paraId="2AAF8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EC7440">
            <w:pPr>
              <w:rPr>
                <w:rFonts w:ascii="宋体" w:hAnsi="宋体" w:eastAsia="宋体"/>
                <w:sz w:val="24"/>
                <w:szCs w:val="24"/>
              </w:rPr>
            </w:pPr>
            <w:r>
              <w:rPr>
                <w:rFonts w:hint="eastAsia" w:ascii="宋体" w:hAnsi="宋体" w:eastAsia="宋体"/>
                <w:sz w:val="24"/>
                <w:szCs w:val="24"/>
              </w:rPr>
              <w:t>第3章信息行为</w:t>
            </w:r>
          </w:p>
          <w:p w14:paraId="0E2E153C">
            <w:pPr>
              <w:rPr>
                <w:rFonts w:ascii="宋体" w:hAnsi="宋体" w:eastAsia="宋体"/>
                <w:sz w:val="24"/>
                <w:szCs w:val="24"/>
              </w:rPr>
            </w:pPr>
            <w:r>
              <w:rPr>
                <w:rFonts w:hint="eastAsia" w:ascii="宋体" w:hAnsi="宋体" w:eastAsia="宋体"/>
                <w:sz w:val="24"/>
                <w:szCs w:val="24"/>
              </w:rPr>
              <w:t>第1节信息行为的概念，第2节信息行为研究的发展。</w:t>
            </w:r>
          </w:p>
        </w:tc>
        <w:tc>
          <w:tcPr>
            <w:tcW w:w="5096" w:type="dxa"/>
            <w:vAlign w:val="center"/>
          </w:tcPr>
          <w:p w14:paraId="2A1C7F32">
            <w:pPr>
              <w:rPr>
                <w:rFonts w:ascii="宋体" w:hAnsi="宋体" w:eastAsia="宋体"/>
                <w:sz w:val="24"/>
                <w:szCs w:val="24"/>
              </w:rPr>
            </w:pPr>
            <w:r>
              <w:rPr>
                <w:rFonts w:hint="eastAsia" w:ascii="宋体" w:hAnsi="宋体" w:eastAsia="宋体"/>
                <w:sz w:val="24"/>
                <w:szCs w:val="24"/>
              </w:rPr>
              <w:t>讲授信息行为的基本概念、信息行为研究的起源与发展。</w:t>
            </w:r>
          </w:p>
        </w:tc>
        <w:tc>
          <w:tcPr>
            <w:tcW w:w="5096" w:type="dxa"/>
            <w:vAlign w:val="center"/>
          </w:tcPr>
          <w:p w14:paraId="7CA5090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31834D6">
            <w:pPr>
              <w:rPr>
                <w:rFonts w:ascii="宋体" w:hAnsi="宋体" w:eastAsia="宋体"/>
                <w:sz w:val="24"/>
                <w:szCs w:val="24"/>
              </w:rPr>
            </w:pPr>
          </w:p>
        </w:tc>
        <w:tc>
          <w:tcPr>
            <w:tcW w:w="5096" w:type="dxa"/>
            <w:vAlign w:val="center"/>
          </w:tcPr>
          <w:p w14:paraId="74402B4C">
            <w:pPr>
              <w:rPr>
                <w:rFonts w:ascii="宋体" w:hAnsi="宋体" w:eastAsia="宋体"/>
                <w:sz w:val="24"/>
                <w:szCs w:val="24"/>
              </w:rPr>
            </w:pPr>
            <w:r>
              <w:rPr>
                <w:rFonts w:hint="eastAsia" w:ascii="宋体" w:hAnsi="宋体" w:eastAsia="宋体"/>
                <w:sz w:val="24"/>
                <w:szCs w:val="24"/>
              </w:rPr>
              <w:t>重点是掌握经典文献中关于信息行为的基本概念。难点是理解信息行为研究分支及其特征。</w:t>
            </w:r>
          </w:p>
        </w:tc>
        <w:tc>
          <w:tcPr>
            <w:tcW w:w="1555" w:type="dxa"/>
            <w:vMerge w:val="restart"/>
            <w:vAlign w:val="center"/>
          </w:tcPr>
          <w:p w14:paraId="423E2144">
            <w:pPr>
              <w:jc w:val="center"/>
              <w:rPr>
                <w:rFonts w:ascii="宋体" w:hAnsi="宋体" w:eastAsia="宋体"/>
                <w:sz w:val="24"/>
                <w:szCs w:val="24"/>
              </w:rPr>
            </w:pPr>
          </w:p>
        </w:tc>
        <w:tc>
          <w:tcPr>
            <w:tcW w:w="5096" w:type="dxa"/>
            <w:vAlign w:val="center"/>
          </w:tcPr>
          <w:p w14:paraId="7CB6EC7F">
            <w:pPr>
              <w:rPr>
                <w:rFonts w:ascii="宋体" w:hAnsi="宋体" w:eastAsia="宋体"/>
                <w:sz w:val="24"/>
                <w:szCs w:val="24"/>
              </w:rPr>
            </w:pPr>
          </w:p>
        </w:tc>
      </w:tr>
      <w:tr w14:paraId="6D610F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E8C999">
            <w:pPr>
              <w:rPr>
                <w:rFonts w:ascii="宋体" w:hAnsi="宋体" w:eastAsia="宋体"/>
                <w:sz w:val="24"/>
                <w:szCs w:val="24"/>
              </w:rPr>
            </w:pPr>
            <w:r>
              <w:rPr>
                <w:rFonts w:hint="eastAsia" w:ascii="宋体" w:hAnsi="宋体" w:eastAsia="宋体"/>
                <w:sz w:val="24"/>
                <w:szCs w:val="24"/>
              </w:rPr>
              <w:t>第3章信息行为</w:t>
            </w:r>
          </w:p>
          <w:p w14:paraId="2A78C72F">
            <w:pPr>
              <w:rPr>
                <w:rFonts w:ascii="宋体" w:hAnsi="宋体" w:eastAsia="宋体"/>
                <w:sz w:val="24"/>
                <w:szCs w:val="24"/>
              </w:rPr>
            </w:pPr>
            <w:r>
              <w:rPr>
                <w:rFonts w:hint="eastAsia" w:ascii="宋体" w:hAnsi="宋体" w:eastAsia="宋体"/>
                <w:sz w:val="24"/>
                <w:szCs w:val="24"/>
              </w:rPr>
              <w:t>第2节信息行为研究的发展。</w:t>
            </w:r>
          </w:p>
        </w:tc>
        <w:tc>
          <w:tcPr>
            <w:tcW w:w="5096" w:type="dxa"/>
            <w:vAlign w:val="center"/>
          </w:tcPr>
          <w:p w14:paraId="5126D605">
            <w:pPr>
              <w:rPr>
                <w:rFonts w:ascii="宋体" w:hAnsi="宋体" w:eastAsia="宋体"/>
                <w:sz w:val="24"/>
                <w:szCs w:val="24"/>
              </w:rPr>
            </w:pPr>
            <w:r>
              <w:rPr>
                <w:rFonts w:hint="eastAsia" w:ascii="宋体" w:hAnsi="宋体" w:eastAsia="宋体"/>
                <w:sz w:val="24"/>
                <w:szCs w:val="24"/>
              </w:rPr>
              <w:t>讲授信息行为研究的起源与发展。</w:t>
            </w:r>
          </w:p>
        </w:tc>
        <w:tc>
          <w:tcPr>
            <w:tcW w:w="5096" w:type="dxa"/>
            <w:vAlign w:val="center"/>
          </w:tcPr>
          <w:p w14:paraId="6EF7753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042569D">
            <w:pPr>
              <w:rPr>
                <w:rFonts w:ascii="宋体" w:hAnsi="宋体" w:eastAsia="宋体"/>
                <w:sz w:val="24"/>
                <w:szCs w:val="24"/>
              </w:rPr>
            </w:pPr>
          </w:p>
        </w:tc>
        <w:tc>
          <w:tcPr>
            <w:tcW w:w="5096" w:type="dxa"/>
            <w:vAlign w:val="center"/>
          </w:tcPr>
          <w:p w14:paraId="6F205D82">
            <w:pPr>
              <w:rPr>
                <w:rFonts w:ascii="宋体" w:hAnsi="宋体" w:eastAsia="宋体"/>
                <w:sz w:val="24"/>
                <w:szCs w:val="24"/>
              </w:rPr>
            </w:pPr>
            <w:r>
              <w:rPr>
                <w:rFonts w:hint="eastAsia" w:ascii="宋体" w:hAnsi="宋体" w:eastAsia="宋体"/>
                <w:sz w:val="24"/>
                <w:szCs w:val="24"/>
              </w:rPr>
              <w:t>重点是掌握经典文献中关于信息行为研究脉络的阐释。难点是掌握信息行为与信息系统研究分支的差异。</w:t>
            </w:r>
          </w:p>
        </w:tc>
        <w:tc>
          <w:tcPr>
            <w:tcW w:w="1555" w:type="dxa"/>
            <w:vMerge w:val="restart"/>
            <w:vAlign w:val="center"/>
          </w:tcPr>
          <w:p w14:paraId="4046E563">
            <w:pPr>
              <w:jc w:val="center"/>
              <w:rPr>
                <w:rFonts w:ascii="宋体" w:hAnsi="宋体" w:eastAsia="宋体"/>
                <w:sz w:val="24"/>
                <w:szCs w:val="24"/>
              </w:rPr>
            </w:pPr>
          </w:p>
        </w:tc>
        <w:tc>
          <w:tcPr>
            <w:tcW w:w="5096" w:type="dxa"/>
            <w:vAlign w:val="center"/>
          </w:tcPr>
          <w:p w14:paraId="66D04A80">
            <w:pPr>
              <w:rPr>
                <w:rFonts w:ascii="宋体" w:hAnsi="宋体" w:eastAsia="宋体"/>
                <w:sz w:val="24"/>
                <w:szCs w:val="24"/>
              </w:rPr>
            </w:pPr>
          </w:p>
        </w:tc>
      </w:tr>
      <w:tr w14:paraId="7A09AB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0CFF82">
            <w:pPr>
              <w:rPr>
                <w:rFonts w:ascii="宋体" w:hAnsi="宋体" w:eastAsia="宋体"/>
                <w:sz w:val="24"/>
                <w:szCs w:val="24"/>
              </w:rPr>
            </w:pPr>
            <w:r>
              <w:rPr>
                <w:rFonts w:hint="eastAsia" w:ascii="宋体" w:hAnsi="宋体" w:eastAsia="宋体"/>
                <w:sz w:val="24"/>
                <w:szCs w:val="24"/>
              </w:rPr>
              <w:t>第3章信息行为</w:t>
            </w:r>
          </w:p>
          <w:p w14:paraId="52D445A5">
            <w:pPr>
              <w:rPr>
                <w:rFonts w:ascii="宋体" w:hAnsi="宋体" w:eastAsia="宋体"/>
                <w:sz w:val="24"/>
                <w:szCs w:val="24"/>
              </w:rPr>
            </w:pPr>
            <w:r>
              <w:rPr>
                <w:rFonts w:hint="eastAsia" w:ascii="宋体" w:hAnsi="宋体" w:eastAsia="宋体"/>
                <w:sz w:val="24"/>
                <w:szCs w:val="24"/>
              </w:rPr>
              <w:t>第3节信息行为模型，第4节信息行为理论。</w:t>
            </w:r>
          </w:p>
        </w:tc>
        <w:tc>
          <w:tcPr>
            <w:tcW w:w="5096" w:type="dxa"/>
            <w:vAlign w:val="center"/>
          </w:tcPr>
          <w:p w14:paraId="055D83BA">
            <w:pPr>
              <w:rPr>
                <w:rFonts w:ascii="宋体" w:hAnsi="宋体" w:eastAsia="宋体"/>
                <w:sz w:val="24"/>
                <w:szCs w:val="24"/>
              </w:rPr>
            </w:pPr>
            <w:r>
              <w:rPr>
                <w:rFonts w:hint="eastAsia" w:ascii="宋体" w:hAnsi="宋体" w:eastAsia="宋体"/>
                <w:sz w:val="24"/>
                <w:szCs w:val="24"/>
              </w:rPr>
              <w:t>讲授Wilson信息行为模型及演化、信息行为经典模型、信息行为研究方法。</w:t>
            </w:r>
          </w:p>
        </w:tc>
        <w:tc>
          <w:tcPr>
            <w:tcW w:w="5096" w:type="dxa"/>
            <w:vAlign w:val="center"/>
          </w:tcPr>
          <w:p w14:paraId="1D6B05F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CFF2C6B">
            <w:pPr>
              <w:rPr>
                <w:rFonts w:ascii="宋体" w:hAnsi="宋体" w:eastAsia="宋体"/>
                <w:sz w:val="24"/>
                <w:szCs w:val="24"/>
              </w:rPr>
            </w:pPr>
          </w:p>
        </w:tc>
        <w:tc>
          <w:tcPr>
            <w:tcW w:w="5096" w:type="dxa"/>
            <w:vAlign w:val="center"/>
          </w:tcPr>
          <w:p w14:paraId="6AD643B6">
            <w:pPr>
              <w:rPr>
                <w:rFonts w:ascii="宋体" w:hAnsi="宋体" w:eastAsia="宋体"/>
                <w:sz w:val="24"/>
                <w:szCs w:val="24"/>
              </w:rPr>
            </w:pPr>
            <w:r>
              <w:rPr>
                <w:rFonts w:hint="eastAsia" w:ascii="宋体" w:hAnsi="宋体" w:eastAsia="宋体"/>
                <w:sz w:val="24"/>
                <w:szCs w:val="24"/>
              </w:rPr>
              <w:t>重点是掌握Wilson信息行为模型及特点，信息行为研究方法。难点是掌握经典信息行为模型在当代的价值和指导意义。</w:t>
            </w:r>
          </w:p>
        </w:tc>
        <w:tc>
          <w:tcPr>
            <w:tcW w:w="1555" w:type="dxa"/>
            <w:vMerge w:val="restart"/>
            <w:vAlign w:val="center"/>
          </w:tcPr>
          <w:p w14:paraId="1632B419">
            <w:pPr>
              <w:jc w:val="center"/>
              <w:rPr>
                <w:rFonts w:ascii="宋体" w:hAnsi="宋体" w:eastAsia="宋体"/>
                <w:sz w:val="24"/>
                <w:szCs w:val="24"/>
              </w:rPr>
            </w:pPr>
          </w:p>
        </w:tc>
        <w:tc>
          <w:tcPr>
            <w:tcW w:w="5096" w:type="dxa"/>
            <w:vAlign w:val="center"/>
          </w:tcPr>
          <w:p w14:paraId="11DA6BCF">
            <w:pPr>
              <w:rPr>
                <w:rFonts w:ascii="宋体" w:hAnsi="宋体" w:eastAsia="宋体"/>
                <w:sz w:val="24"/>
                <w:szCs w:val="24"/>
              </w:rPr>
            </w:pPr>
          </w:p>
        </w:tc>
      </w:tr>
      <w:tr w14:paraId="099BB5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060B88">
            <w:pPr>
              <w:rPr>
                <w:rFonts w:ascii="宋体" w:hAnsi="宋体" w:eastAsia="宋体"/>
                <w:sz w:val="24"/>
                <w:szCs w:val="24"/>
              </w:rPr>
            </w:pPr>
            <w:r>
              <w:rPr>
                <w:rFonts w:hint="eastAsia" w:ascii="宋体" w:hAnsi="宋体" w:eastAsia="宋体"/>
                <w:sz w:val="24"/>
                <w:szCs w:val="24"/>
              </w:rPr>
              <w:t>第4章信息管理与政策</w:t>
            </w:r>
          </w:p>
          <w:p w14:paraId="5B64E609">
            <w:pPr>
              <w:rPr>
                <w:rFonts w:ascii="宋体" w:hAnsi="宋体" w:eastAsia="宋体"/>
                <w:sz w:val="24"/>
                <w:szCs w:val="24"/>
              </w:rPr>
            </w:pPr>
            <w:r>
              <w:rPr>
                <w:rFonts w:hint="eastAsia" w:ascii="宋体" w:hAnsi="宋体" w:eastAsia="宋体"/>
                <w:sz w:val="24"/>
                <w:szCs w:val="24"/>
              </w:rPr>
              <w:t>第1节信息政策，第2节信息战略与审计。</w:t>
            </w:r>
          </w:p>
        </w:tc>
        <w:tc>
          <w:tcPr>
            <w:tcW w:w="5096" w:type="dxa"/>
            <w:vAlign w:val="center"/>
          </w:tcPr>
          <w:p w14:paraId="5AB28AA5">
            <w:pPr>
              <w:rPr>
                <w:rFonts w:ascii="宋体" w:hAnsi="宋体" w:eastAsia="宋体"/>
                <w:sz w:val="24"/>
                <w:szCs w:val="24"/>
              </w:rPr>
            </w:pPr>
            <w:r>
              <w:rPr>
                <w:rFonts w:hint="eastAsia" w:ascii="宋体" w:hAnsi="宋体" w:eastAsia="宋体"/>
                <w:sz w:val="24"/>
                <w:szCs w:val="24"/>
              </w:rPr>
              <w:t>讲授信息管理基本理论、信息政策及信息战略、信息审计。</w:t>
            </w:r>
          </w:p>
        </w:tc>
        <w:tc>
          <w:tcPr>
            <w:tcW w:w="5096" w:type="dxa"/>
            <w:vAlign w:val="center"/>
          </w:tcPr>
          <w:p w14:paraId="08A6BCF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3283D7">
            <w:pPr>
              <w:rPr>
                <w:rFonts w:ascii="宋体" w:hAnsi="宋体" w:eastAsia="宋体"/>
                <w:sz w:val="24"/>
                <w:szCs w:val="24"/>
              </w:rPr>
            </w:pPr>
            <w:r>
              <w:rPr>
                <w:rFonts w:hint="eastAsia" w:ascii="宋体" w:hAnsi="宋体" w:eastAsia="宋体"/>
                <w:sz w:val="24"/>
                <w:szCs w:val="24"/>
              </w:rPr>
              <w:t>引导学生关注时政，学以致用，胸怀天下，树立大志向。</w:t>
            </w:r>
          </w:p>
        </w:tc>
        <w:tc>
          <w:tcPr>
            <w:tcW w:w="5096" w:type="dxa"/>
            <w:vAlign w:val="center"/>
          </w:tcPr>
          <w:p w14:paraId="58B8C112">
            <w:pPr>
              <w:rPr>
                <w:rFonts w:ascii="宋体" w:hAnsi="宋体" w:eastAsia="宋体"/>
                <w:sz w:val="24"/>
                <w:szCs w:val="24"/>
              </w:rPr>
            </w:pPr>
            <w:r>
              <w:rPr>
                <w:rFonts w:hint="eastAsia" w:ascii="宋体" w:hAnsi="宋体" w:eastAsia="宋体"/>
                <w:sz w:val="24"/>
                <w:szCs w:val="24"/>
              </w:rPr>
              <w:t>重点是理解经典文献中关于信息法和信息政策的表述。难点是理解信息法与信息政策产生的背景与意义。</w:t>
            </w:r>
          </w:p>
        </w:tc>
        <w:tc>
          <w:tcPr>
            <w:tcW w:w="1555" w:type="dxa"/>
            <w:vMerge w:val="restart"/>
            <w:vAlign w:val="center"/>
          </w:tcPr>
          <w:p w14:paraId="79D78946">
            <w:pPr>
              <w:jc w:val="center"/>
              <w:rPr>
                <w:rFonts w:ascii="宋体" w:hAnsi="宋体" w:eastAsia="宋体"/>
                <w:sz w:val="24"/>
                <w:szCs w:val="24"/>
              </w:rPr>
            </w:pPr>
          </w:p>
        </w:tc>
        <w:tc>
          <w:tcPr>
            <w:tcW w:w="5096" w:type="dxa"/>
            <w:vAlign w:val="center"/>
          </w:tcPr>
          <w:p w14:paraId="46DF6CA8">
            <w:pPr>
              <w:rPr>
                <w:rFonts w:ascii="宋体" w:hAnsi="宋体" w:eastAsia="宋体"/>
                <w:sz w:val="24"/>
                <w:szCs w:val="24"/>
              </w:rPr>
            </w:pPr>
          </w:p>
        </w:tc>
      </w:tr>
      <w:tr w14:paraId="5C5350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025045">
            <w:pPr>
              <w:rPr>
                <w:rFonts w:ascii="宋体" w:hAnsi="宋体" w:eastAsia="宋体"/>
                <w:sz w:val="24"/>
                <w:szCs w:val="24"/>
              </w:rPr>
            </w:pPr>
            <w:r>
              <w:rPr>
                <w:rFonts w:hint="eastAsia" w:ascii="宋体" w:hAnsi="宋体" w:eastAsia="宋体"/>
                <w:sz w:val="24"/>
                <w:szCs w:val="24"/>
              </w:rPr>
              <w:t>第4章信息管理与政策</w:t>
            </w:r>
          </w:p>
          <w:p w14:paraId="5F3F647B">
            <w:pPr>
              <w:rPr>
                <w:rFonts w:ascii="宋体" w:hAnsi="宋体" w:eastAsia="宋体"/>
                <w:sz w:val="24"/>
                <w:szCs w:val="24"/>
              </w:rPr>
            </w:pPr>
            <w:r>
              <w:rPr>
                <w:rFonts w:hint="eastAsia" w:ascii="宋体" w:hAnsi="宋体" w:eastAsia="宋体"/>
                <w:sz w:val="24"/>
                <w:szCs w:val="24"/>
              </w:rPr>
              <w:t>第3节。</w:t>
            </w:r>
          </w:p>
        </w:tc>
        <w:tc>
          <w:tcPr>
            <w:tcW w:w="5096" w:type="dxa"/>
            <w:vAlign w:val="center"/>
          </w:tcPr>
          <w:p w14:paraId="1595A752">
            <w:pPr>
              <w:rPr>
                <w:rFonts w:ascii="宋体" w:hAnsi="宋体" w:eastAsia="宋体"/>
                <w:sz w:val="24"/>
                <w:szCs w:val="24"/>
              </w:rPr>
            </w:pPr>
            <w:r>
              <w:rPr>
                <w:rFonts w:hint="eastAsia" w:ascii="宋体" w:hAnsi="宋体" w:eastAsia="宋体"/>
                <w:sz w:val="24"/>
                <w:szCs w:val="24"/>
              </w:rPr>
              <w:t>介绍美国主要信息法律与政策。</w:t>
            </w:r>
          </w:p>
        </w:tc>
        <w:tc>
          <w:tcPr>
            <w:tcW w:w="5096" w:type="dxa"/>
            <w:vAlign w:val="center"/>
          </w:tcPr>
          <w:p w14:paraId="130E0C6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CC912A1">
            <w:pPr>
              <w:rPr>
                <w:rFonts w:ascii="宋体" w:hAnsi="宋体" w:eastAsia="宋体"/>
                <w:sz w:val="24"/>
                <w:szCs w:val="24"/>
              </w:rPr>
            </w:pPr>
          </w:p>
        </w:tc>
        <w:tc>
          <w:tcPr>
            <w:tcW w:w="5096" w:type="dxa"/>
            <w:vAlign w:val="center"/>
          </w:tcPr>
          <w:p w14:paraId="2A24C3E4">
            <w:pPr>
              <w:rPr>
                <w:rFonts w:ascii="宋体" w:hAnsi="宋体" w:eastAsia="宋体"/>
                <w:sz w:val="24"/>
                <w:szCs w:val="24"/>
              </w:rPr>
            </w:pPr>
            <w:r>
              <w:rPr>
                <w:rFonts w:hint="eastAsia" w:ascii="宋体" w:hAnsi="宋体" w:eastAsia="宋体"/>
                <w:sz w:val="24"/>
                <w:szCs w:val="24"/>
              </w:rPr>
              <w:t>重点是研读美国1995年《文书削减法》法律条文，美国管理与预算局《A-130通报》。难点是理解作为信息法如何规范政府和公众的行为。</w:t>
            </w:r>
          </w:p>
        </w:tc>
        <w:tc>
          <w:tcPr>
            <w:tcW w:w="1555" w:type="dxa"/>
            <w:vMerge w:val="restart"/>
            <w:vAlign w:val="center"/>
          </w:tcPr>
          <w:p w14:paraId="5EA86FC0">
            <w:pPr>
              <w:jc w:val="center"/>
              <w:rPr>
                <w:rFonts w:ascii="宋体" w:hAnsi="宋体" w:eastAsia="宋体"/>
                <w:sz w:val="24"/>
                <w:szCs w:val="24"/>
              </w:rPr>
            </w:pPr>
          </w:p>
        </w:tc>
        <w:tc>
          <w:tcPr>
            <w:tcW w:w="5096" w:type="dxa"/>
            <w:vAlign w:val="center"/>
          </w:tcPr>
          <w:p w14:paraId="1C7B9D7D">
            <w:pPr>
              <w:rPr>
                <w:rFonts w:ascii="宋体" w:hAnsi="宋体" w:eastAsia="宋体"/>
                <w:sz w:val="24"/>
                <w:szCs w:val="24"/>
              </w:rPr>
            </w:pPr>
          </w:p>
        </w:tc>
      </w:tr>
      <w:tr w14:paraId="6B74A6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B54B20">
            <w:pPr>
              <w:rPr>
                <w:rFonts w:ascii="宋体" w:hAnsi="宋体" w:eastAsia="宋体"/>
                <w:sz w:val="24"/>
                <w:szCs w:val="24"/>
              </w:rPr>
            </w:pPr>
            <w:r>
              <w:rPr>
                <w:rFonts w:hint="eastAsia" w:ascii="宋体" w:hAnsi="宋体" w:eastAsia="宋体"/>
                <w:sz w:val="24"/>
                <w:szCs w:val="24"/>
              </w:rPr>
              <w:t>第5章信息组织与检索</w:t>
            </w:r>
          </w:p>
          <w:p w14:paraId="796A46A1">
            <w:pPr>
              <w:rPr>
                <w:rFonts w:ascii="宋体" w:hAnsi="宋体" w:eastAsia="宋体"/>
                <w:sz w:val="24"/>
                <w:szCs w:val="24"/>
              </w:rPr>
            </w:pPr>
            <w:r>
              <w:rPr>
                <w:rFonts w:hint="eastAsia" w:ascii="宋体" w:hAnsi="宋体" w:eastAsia="宋体"/>
                <w:sz w:val="24"/>
                <w:szCs w:val="24"/>
              </w:rPr>
              <w:t>第1节信息组织的概念，第2节信息组织方法。</w:t>
            </w:r>
          </w:p>
        </w:tc>
        <w:tc>
          <w:tcPr>
            <w:tcW w:w="5096" w:type="dxa"/>
            <w:vAlign w:val="center"/>
          </w:tcPr>
          <w:p w14:paraId="06CD1051">
            <w:pPr>
              <w:rPr>
                <w:rFonts w:ascii="宋体" w:hAnsi="宋体" w:eastAsia="宋体"/>
                <w:sz w:val="24"/>
                <w:szCs w:val="24"/>
              </w:rPr>
            </w:pPr>
            <w:r>
              <w:rPr>
                <w:rFonts w:hint="eastAsia" w:ascii="宋体" w:hAnsi="宋体" w:eastAsia="宋体"/>
                <w:sz w:val="24"/>
                <w:szCs w:val="24"/>
              </w:rPr>
              <w:t>讲授信息组织的概念、信息组织的环境背景。</w:t>
            </w:r>
          </w:p>
        </w:tc>
        <w:tc>
          <w:tcPr>
            <w:tcW w:w="5096" w:type="dxa"/>
            <w:vAlign w:val="center"/>
          </w:tcPr>
          <w:p w14:paraId="63479EB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5890AD0">
            <w:pPr>
              <w:rPr>
                <w:rFonts w:ascii="宋体" w:hAnsi="宋体" w:eastAsia="宋体"/>
                <w:sz w:val="24"/>
                <w:szCs w:val="24"/>
              </w:rPr>
            </w:pPr>
          </w:p>
        </w:tc>
        <w:tc>
          <w:tcPr>
            <w:tcW w:w="5096" w:type="dxa"/>
            <w:vAlign w:val="center"/>
          </w:tcPr>
          <w:p w14:paraId="2A11A98A">
            <w:pPr>
              <w:rPr>
                <w:rFonts w:ascii="宋体" w:hAnsi="宋体" w:eastAsia="宋体"/>
                <w:sz w:val="24"/>
                <w:szCs w:val="24"/>
              </w:rPr>
            </w:pPr>
            <w:r>
              <w:rPr>
                <w:rFonts w:hint="eastAsia" w:ascii="宋体" w:hAnsi="宋体" w:eastAsia="宋体"/>
                <w:sz w:val="24"/>
                <w:szCs w:val="24"/>
              </w:rPr>
              <w:t>重点是理解经典文献中信息组织的概念。难点是理解信息组织与背景环境的关系。</w:t>
            </w:r>
          </w:p>
        </w:tc>
        <w:tc>
          <w:tcPr>
            <w:tcW w:w="1555" w:type="dxa"/>
            <w:vMerge w:val="restart"/>
            <w:vAlign w:val="center"/>
          </w:tcPr>
          <w:p w14:paraId="5F4035BB">
            <w:pPr>
              <w:jc w:val="center"/>
              <w:rPr>
                <w:rFonts w:ascii="宋体" w:hAnsi="宋体" w:eastAsia="宋体"/>
                <w:sz w:val="24"/>
                <w:szCs w:val="24"/>
              </w:rPr>
            </w:pPr>
          </w:p>
        </w:tc>
        <w:tc>
          <w:tcPr>
            <w:tcW w:w="5096" w:type="dxa"/>
            <w:vAlign w:val="center"/>
          </w:tcPr>
          <w:p w14:paraId="6B209D62">
            <w:pPr>
              <w:rPr>
                <w:rFonts w:ascii="宋体" w:hAnsi="宋体" w:eastAsia="宋体"/>
                <w:sz w:val="24"/>
                <w:szCs w:val="24"/>
              </w:rPr>
            </w:pPr>
          </w:p>
        </w:tc>
      </w:tr>
      <w:tr w14:paraId="7D60E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7B8F2C">
            <w:pPr>
              <w:rPr>
                <w:rFonts w:ascii="宋体" w:hAnsi="宋体" w:eastAsia="宋体"/>
                <w:sz w:val="24"/>
                <w:szCs w:val="24"/>
              </w:rPr>
            </w:pPr>
            <w:r>
              <w:rPr>
                <w:rFonts w:hint="eastAsia" w:ascii="宋体" w:hAnsi="宋体" w:eastAsia="宋体"/>
                <w:sz w:val="24"/>
                <w:szCs w:val="24"/>
              </w:rPr>
              <w:t>第5章信息组织与检索</w:t>
            </w:r>
          </w:p>
          <w:p w14:paraId="2CBA9462">
            <w:pPr>
              <w:rPr>
                <w:rFonts w:ascii="宋体" w:hAnsi="宋体" w:eastAsia="宋体"/>
                <w:sz w:val="24"/>
                <w:szCs w:val="24"/>
              </w:rPr>
            </w:pPr>
            <w:r>
              <w:rPr>
                <w:rFonts w:hint="eastAsia" w:ascii="宋体" w:hAnsi="宋体" w:eastAsia="宋体"/>
                <w:sz w:val="24"/>
                <w:szCs w:val="24"/>
              </w:rPr>
              <w:t>第3节信息检索的相关概念，第4节信息检索系统评价。</w:t>
            </w:r>
          </w:p>
        </w:tc>
        <w:tc>
          <w:tcPr>
            <w:tcW w:w="5096" w:type="dxa"/>
            <w:vAlign w:val="center"/>
          </w:tcPr>
          <w:p w14:paraId="4EC27911">
            <w:pPr>
              <w:rPr>
                <w:rFonts w:ascii="宋体" w:hAnsi="宋体" w:eastAsia="宋体"/>
                <w:sz w:val="24"/>
                <w:szCs w:val="24"/>
              </w:rPr>
            </w:pPr>
            <w:r>
              <w:rPr>
                <w:rFonts w:hint="eastAsia" w:ascii="宋体" w:hAnsi="宋体" w:eastAsia="宋体"/>
                <w:sz w:val="24"/>
                <w:szCs w:val="24"/>
              </w:rPr>
              <w:t>讲授信息检索的概念、索引的概念、如何评价信息检索系统。</w:t>
            </w:r>
          </w:p>
        </w:tc>
        <w:tc>
          <w:tcPr>
            <w:tcW w:w="5096" w:type="dxa"/>
            <w:vAlign w:val="center"/>
          </w:tcPr>
          <w:p w14:paraId="086F70E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07759BA">
            <w:pPr>
              <w:rPr>
                <w:rFonts w:ascii="宋体" w:hAnsi="宋体" w:eastAsia="宋体"/>
                <w:sz w:val="24"/>
                <w:szCs w:val="24"/>
              </w:rPr>
            </w:pPr>
          </w:p>
        </w:tc>
        <w:tc>
          <w:tcPr>
            <w:tcW w:w="5096" w:type="dxa"/>
            <w:vAlign w:val="center"/>
          </w:tcPr>
          <w:p w14:paraId="49C5F28B">
            <w:pPr>
              <w:rPr>
                <w:rFonts w:ascii="宋体" w:hAnsi="宋体" w:eastAsia="宋体"/>
                <w:sz w:val="24"/>
                <w:szCs w:val="24"/>
              </w:rPr>
            </w:pPr>
            <w:r>
              <w:rPr>
                <w:rFonts w:hint="eastAsia" w:ascii="宋体" w:hAnsi="宋体" w:eastAsia="宋体"/>
                <w:sz w:val="24"/>
                <w:szCs w:val="24"/>
              </w:rPr>
              <w:t>重点是理解经典文献中对信息检索的介绍。难点是当代如何评价信息检索系统。</w:t>
            </w:r>
          </w:p>
        </w:tc>
        <w:tc>
          <w:tcPr>
            <w:tcW w:w="1555" w:type="dxa"/>
            <w:vMerge w:val="restart"/>
            <w:vAlign w:val="center"/>
          </w:tcPr>
          <w:p w14:paraId="293E1B99">
            <w:pPr>
              <w:jc w:val="center"/>
              <w:rPr>
                <w:rFonts w:ascii="宋体" w:hAnsi="宋体" w:eastAsia="宋体"/>
                <w:sz w:val="24"/>
                <w:szCs w:val="24"/>
              </w:rPr>
            </w:pPr>
          </w:p>
        </w:tc>
        <w:tc>
          <w:tcPr>
            <w:tcW w:w="5096" w:type="dxa"/>
            <w:vAlign w:val="center"/>
          </w:tcPr>
          <w:p w14:paraId="759A2090">
            <w:pPr>
              <w:rPr>
                <w:rFonts w:ascii="宋体" w:hAnsi="宋体" w:eastAsia="宋体"/>
                <w:sz w:val="24"/>
                <w:szCs w:val="24"/>
              </w:rPr>
            </w:pPr>
          </w:p>
        </w:tc>
      </w:tr>
      <w:tr w14:paraId="7514E7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F647B3E">
            <w:pPr>
              <w:rPr>
                <w:rFonts w:ascii="宋体" w:hAnsi="宋体" w:eastAsia="宋体"/>
                <w:sz w:val="24"/>
                <w:szCs w:val="24"/>
              </w:rPr>
            </w:pPr>
            <w:r>
              <w:rPr>
                <w:rFonts w:hint="eastAsia" w:ascii="宋体" w:hAnsi="宋体" w:eastAsia="宋体"/>
                <w:sz w:val="24"/>
                <w:szCs w:val="24"/>
              </w:rPr>
              <w:t>第6章数字素养</w:t>
            </w:r>
          </w:p>
          <w:p w14:paraId="7071B8D3">
            <w:pPr>
              <w:rPr>
                <w:rFonts w:ascii="宋体" w:hAnsi="宋体" w:eastAsia="宋体"/>
                <w:sz w:val="24"/>
                <w:szCs w:val="24"/>
              </w:rPr>
            </w:pPr>
            <w:r>
              <w:rPr>
                <w:rFonts w:hint="eastAsia" w:ascii="宋体" w:hAnsi="宋体" w:eastAsia="宋体"/>
                <w:sz w:val="24"/>
                <w:szCs w:val="24"/>
              </w:rPr>
              <w:t>第1节信息素养。</w:t>
            </w:r>
          </w:p>
        </w:tc>
        <w:tc>
          <w:tcPr>
            <w:tcW w:w="5096" w:type="dxa"/>
            <w:vAlign w:val="center"/>
          </w:tcPr>
          <w:p w14:paraId="51155F08">
            <w:pPr>
              <w:rPr>
                <w:rFonts w:ascii="宋体" w:hAnsi="宋体" w:eastAsia="宋体"/>
                <w:sz w:val="24"/>
                <w:szCs w:val="24"/>
              </w:rPr>
            </w:pPr>
            <w:r>
              <w:rPr>
                <w:rFonts w:hint="eastAsia" w:ascii="宋体" w:hAnsi="宋体" w:eastAsia="宋体"/>
                <w:sz w:val="24"/>
                <w:szCs w:val="24"/>
              </w:rPr>
              <w:t>讲授计算机与数字素养导论、数字素养的概念。</w:t>
            </w:r>
          </w:p>
        </w:tc>
        <w:tc>
          <w:tcPr>
            <w:tcW w:w="5096" w:type="dxa"/>
            <w:vAlign w:val="center"/>
          </w:tcPr>
          <w:p w14:paraId="5ABC47C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D146C61">
            <w:pPr>
              <w:rPr>
                <w:rFonts w:ascii="宋体" w:hAnsi="宋体" w:eastAsia="宋体"/>
                <w:sz w:val="24"/>
                <w:szCs w:val="24"/>
              </w:rPr>
            </w:pPr>
          </w:p>
        </w:tc>
        <w:tc>
          <w:tcPr>
            <w:tcW w:w="5096" w:type="dxa"/>
            <w:vAlign w:val="center"/>
          </w:tcPr>
          <w:p w14:paraId="43CF8926">
            <w:pPr>
              <w:rPr>
                <w:rFonts w:ascii="宋体" w:hAnsi="宋体" w:eastAsia="宋体"/>
                <w:sz w:val="24"/>
                <w:szCs w:val="24"/>
              </w:rPr>
            </w:pPr>
            <w:r>
              <w:rPr>
                <w:rFonts w:hint="eastAsia" w:ascii="宋体" w:hAnsi="宋体" w:eastAsia="宋体"/>
                <w:sz w:val="24"/>
                <w:szCs w:val="24"/>
              </w:rPr>
              <w:t>重点是理解经典文献中对数字素养的定义。难点是信息管理者如何提升数字素养。</w:t>
            </w:r>
          </w:p>
        </w:tc>
        <w:tc>
          <w:tcPr>
            <w:tcW w:w="1555" w:type="dxa"/>
            <w:vMerge w:val="restart"/>
            <w:vAlign w:val="center"/>
          </w:tcPr>
          <w:p w14:paraId="160872C7">
            <w:pPr>
              <w:jc w:val="center"/>
              <w:rPr>
                <w:rFonts w:ascii="宋体" w:hAnsi="宋体" w:eastAsia="宋体"/>
                <w:sz w:val="24"/>
                <w:szCs w:val="24"/>
              </w:rPr>
            </w:pPr>
          </w:p>
        </w:tc>
        <w:tc>
          <w:tcPr>
            <w:tcW w:w="5096" w:type="dxa"/>
            <w:vAlign w:val="center"/>
          </w:tcPr>
          <w:p w14:paraId="4A48AE33">
            <w:pPr>
              <w:rPr>
                <w:rFonts w:ascii="宋体" w:hAnsi="宋体" w:eastAsia="宋体"/>
                <w:sz w:val="24"/>
                <w:szCs w:val="24"/>
              </w:rPr>
            </w:pPr>
          </w:p>
        </w:tc>
      </w:tr>
      <w:tr w14:paraId="69ED24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64C9B02">
            <w:pPr>
              <w:rPr>
                <w:rFonts w:ascii="宋体" w:hAnsi="宋体" w:eastAsia="宋体"/>
                <w:sz w:val="24"/>
                <w:szCs w:val="24"/>
              </w:rPr>
            </w:pPr>
            <w:r>
              <w:rPr>
                <w:rFonts w:hint="eastAsia" w:ascii="宋体" w:hAnsi="宋体" w:eastAsia="宋体"/>
                <w:sz w:val="24"/>
                <w:szCs w:val="24"/>
              </w:rPr>
              <w:t>第6章数字素养</w:t>
            </w:r>
          </w:p>
          <w:p w14:paraId="17F8D2D2">
            <w:pPr>
              <w:rPr>
                <w:rFonts w:ascii="宋体" w:hAnsi="宋体" w:eastAsia="宋体"/>
                <w:sz w:val="24"/>
                <w:szCs w:val="24"/>
              </w:rPr>
            </w:pPr>
            <w:r>
              <w:rPr>
                <w:rFonts w:hint="eastAsia" w:ascii="宋体" w:hAnsi="宋体" w:eastAsia="宋体"/>
                <w:sz w:val="24"/>
                <w:szCs w:val="24"/>
              </w:rPr>
              <w:t>第3节数字素养模型。</w:t>
            </w:r>
          </w:p>
        </w:tc>
        <w:tc>
          <w:tcPr>
            <w:tcW w:w="5096" w:type="dxa"/>
            <w:vAlign w:val="center"/>
          </w:tcPr>
          <w:p w14:paraId="6F48DEF5">
            <w:pPr>
              <w:rPr>
                <w:rFonts w:ascii="宋体" w:hAnsi="宋体" w:eastAsia="宋体"/>
                <w:sz w:val="24"/>
                <w:szCs w:val="24"/>
              </w:rPr>
            </w:pPr>
            <w:r>
              <w:rPr>
                <w:rFonts w:hint="eastAsia" w:ascii="宋体" w:hAnsi="宋体" w:eastAsia="宋体"/>
                <w:sz w:val="24"/>
                <w:szCs w:val="24"/>
              </w:rPr>
              <w:t>讲授数字素养模型、数字素养的重要性。</w:t>
            </w:r>
          </w:p>
        </w:tc>
        <w:tc>
          <w:tcPr>
            <w:tcW w:w="5096" w:type="dxa"/>
            <w:vAlign w:val="center"/>
          </w:tcPr>
          <w:p w14:paraId="62C72C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8430FC3">
            <w:pPr>
              <w:rPr>
                <w:rFonts w:ascii="宋体" w:hAnsi="宋体" w:eastAsia="宋体"/>
                <w:sz w:val="24"/>
                <w:szCs w:val="24"/>
              </w:rPr>
            </w:pPr>
          </w:p>
        </w:tc>
        <w:tc>
          <w:tcPr>
            <w:tcW w:w="5096" w:type="dxa"/>
            <w:vAlign w:val="center"/>
          </w:tcPr>
          <w:p w14:paraId="44402502">
            <w:pPr>
              <w:rPr>
                <w:rFonts w:ascii="宋体" w:hAnsi="宋体" w:eastAsia="宋体"/>
                <w:sz w:val="24"/>
                <w:szCs w:val="24"/>
              </w:rPr>
            </w:pPr>
            <w:r>
              <w:rPr>
                <w:rFonts w:hint="eastAsia" w:ascii="宋体" w:hAnsi="宋体" w:eastAsia="宋体"/>
                <w:sz w:val="24"/>
                <w:szCs w:val="24"/>
              </w:rPr>
              <w:t>重点是分析经典文献中的数字素养模型。难点是信息管理者如何提升数字素养。</w:t>
            </w:r>
          </w:p>
        </w:tc>
        <w:tc>
          <w:tcPr>
            <w:tcW w:w="1555" w:type="dxa"/>
            <w:vMerge w:val="restart"/>
            <w:vAlign w:val="center"/>
          </w:tcPr>
          <w:p w14:paraId="23A43C8C">
            <w:pPr>
              <w:jc w:val="center"/>
              <w:rPr>
                <w:rFonts w:ascii="宋体" w:hAnsi="宋体" w:eastAsia="宋体"/>
                <w:sz w:val="24"/>
                <w:szCs w:val="24"/>
              </w:rPr>
            </w:pPr>
          </w:p>
        </w:tc>
        <w:tc>
          <w:tcPr>
            <w:tcW w:w="5096" w:type="dxa"/>
            <w:vAlign w:val="center"/>
          </w:tcPr>
          <w:p w14:paraId="4A68D83C">
            <w:pPr>
              <w:rPr>
                <w:rFonts w:ascii="宋体" w:hAnsi="宋体" w:eastAsia="宋体"/>
                <w:sz w:val="24"/>
                <w:szCs w:val="24"/>
              </w:rPr>
            </w:pPr>
          </w:p>
        </w:tc>
      </w:tr>
      <w:tr w14:paraId="002896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F63DB6">
            <w:pPr>
              <w:rPr>
                <w:rFonts w:ascii="宋体" w:hAnsi="宋体" w:eastAsia="宋体"/>
                <w:sz w:val="24"/>
                <w:szCs w:val="24"/>
              </w:rPr>
            </w:pPr>
            <w:r>
              <w:rPr>
                <w:rFonts w:hint="eastAsia" w:ascii="宋体" w:hAnsi="宋体" w:eastAsia="宋体"/>
                <w:sz w:val="24"/>
                <w:szCs w:val="24"/>
              </w:rPr>
              <w:t>第7章信息交流</w:t>
            </w:r>
          </w:p>
          <w:p w14:paraId="75E5C2A1">
            <w:pPr>
              <w:rPr>
                <w:rFonts w:ascii="宋体" w:hAnsi="宋体" w:eastAsia="宋体"/>
                <w:sz w:val="24"/>
                <w:szCs w:val="24"/>
              </w:rPr>
            </w:pPr>
            <w:r>
              <w:rPr>
                <w:rFonts w:hint="eastAsia" w:ascii="宋体" w:hAnsi="宋体" w:eastAsia="宋体"/>
                <w:sz w:val="24"/>
                <w:szCs w:val="24"/>
              </w:rPr>
              <w:t>第1节信息交流，第2节知识库。</w:t>
            </w:r>
          </w:p>
        </w:tc>
        <w:tc>
          <w:tcPr>
            <w:tcW w:w="5096" w:type="dxa"/>
            <w:vAlign w:val="center"/>
          </w:tcPr>
          <w:p w14:paraId="1A4D3F0A">
            <w:pPr>
              <w:rPr>
                <w:rFonts w:ascii="宋体" w:hAnsi="宋体" w:eastAsia="宋体"/>
                <w:sz w:val="24"/>
                <w:szCs w:val="24"/>
              </w:rPr>
            </w:pPr>
            <w:r>
              <w:rPr>
                <w:rFonts w:hint="eastAsia" w:ascii="宋体" w:hAnsi="宋体" w:eastAsia="宋体"/>
                <w:sz w:val="24"/>
                <w:szCs w:val="24"/>
              </w:rPr>
              <w:t>讲授信息交流的概念、信息交流框架、开放存取与知识库。</w:t>
            </w:r>
          </w:p>
        </w:tc>
        <w:tc>
          <w:tcPr>
            <w:tcW w:w="5096" w:type="dxa"/>
            <w:vAlign w:val="center"/>
          </w:tcPr>
          <w:p w14:paraId="59B7621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A2AD3F9">
            <w:pPr>
              <w:rPr>
                <w:rFonts w:ascii="宋体" w:hAnsi="宋体" w:eastAsia="宋体"/>
                <w:sz w:val="24"/>
                <w:szCs w:val="24"/>
              </w:rPr>
            </w:pPr>
            <w:r>
              <w:rPr>
                <w:rFonts w:hint="eastAsia" w:ascii="宋体" w:hAnsi="宋体" w:eastAsia="宋体"/>
                <w:sz w:val="24"/>
                <w:szCs w:val="24"/>
              </w:rPr>
              <w:t>通过科学交流的载体演化，展示我国信息技术的发展，树立文化自信。</w:t>
            </w:r>
          </w:p>
        </w:tc>
        <w:tc>
          <w:tcPr>
            <w:tcW w:w="5096" w:type="dxa"/>
            <w:vAlign w:val="center"/>
          </w:tcPr>
          <w:p w14:paraId="5938AFBD">
            <w:pPr>
              <w:rPr>
                <w:rFonts w:ascii="宋体" w:hAnsi="宋体" w:eastAsia="宋体"/>
                <w:sz w:val="24"/>
                <w:szCs w:val="24"/>
              </w:rPr>
            </w:pPr>
            <w:r>
              <w:rPr>
                <w:rFonts w:hint="eastAsia" w:ascii="宋体" w:hAnsi="宋体" w:eastAsia="宋体"/>
                <w:sz w:val="24"/>
                <w:szCs w:val="24"/>
              </w:rPr>
              <w:t>重点是理解经典文献中关于信息交流的定义。难点是非正式交流对信息管理工作的意义。</w:t>
            </w:r>
          </w:p>
        </w:tc>
        <w:tc>
          <w:tcPr>
            <w:tcW w:w="1555" w:type="dxa"/>
            <w:vMerge w:val="restart"/>
            <w:vAlign w:val="center"/>
          </w:tcPr>
          <w:p w14:paraId="0645258B">
            <w:pPr>
              <w:jc w:val="center"/>
              <w:rPr>
                <w:rFonts w:ascii="宋体" w:hAnsi="宋体" w:eastAsia="宋体"/>
                <w:sz w:val="24"/>
                <w:szCs w:val="24"/>
              </w:rPr>
            </w:pPr>
          </w:p>
        </w:tc>
        <w:tc>
          <w:tcPr>
            <w:tcW w:w="5096" w:type="dxa"/>
            <w:vAlign w:val="center"/>
          </w:tcPr>
          <w:p w14:paraId="5685C144">
            <w:pPr>
              <w:rPr>
                <w:rFonts w:ascii="宋体" w:hAnsi="宋体" w:eastAsia="宋体"/>
                <w:sz w:val="24"/>
                <w:szCs w:val="24"/>
              </w:rPr>
            </w:pPr>
          </w:p>
        </w:tc>
      </w:tr>
      <w:tr w14:paraId="5A1F8B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CE660F">
            <w:pPr>
              <w:rPr>
                <w:rFonts w:ascii="宋体" w:hAnsi="宋体" w:eastAsia="宋体"/>
                <w:sz w:val="24"/>
                <w:szCs w:val="24"/>
              </w:rPr>
            </w:pPr>
            <w:r>
              <w:rPr>
                <w:rFonts w:hint="eastAsia" w:ascii="宋体" w:hAnsi="宋体" w:eastAsia="宋体"/>
                <w:sz w:val="24"/>
                <w:szCs w:val="24"/>
              </w:rPr>
              <w:t>第7章信息交流</w:t>
            </w:r>
          </w:p>
          <w:p w14:paraId="264385F7">
            <w:pPr>
              <w:rPr>
                <w:rFonts w:ascii="宋体" w:hAnsi="宋体" w:eastAsia="宋体"/>
                <w:sz w:val="24"/>
                <w:szCs w:val="24"/>
              </w:rPr>
            </w:pPr>
            <w:r>
              <w:rPr>
                <w:rFonts w:hint="eastAsia" w:ascii="宋体" w:hAnsi="宋体" w:eastAsia="宋体"/>
                <w:sz w:val="24"/>
                <w:szCs w:val="24"/>
              </w:rPr>
              <w:t>第3节信息交流的新模式。</w:t>
            </w:r>
          </w:p>
        </w:tc>
        <w:tc>
          <w:tcPr>
            <w:tcW w:w="5096" w:type="dxa"/>
            <w:vAlign w:val="center"/>
          </w:tcPr>
          <w:p w14:paraId="27429400">
            <w:pPr>
              <w:rPr>
                <w:rFonts w:ascii="宋体" w:hAnsi="宋体" w:eastAsia="宋体"/>
                <w:sz w:val="24"/>
                <w:szCs w:val="24"/>
              </w:rPr>
            </w:pPr>
            <w:r>
              <w:rPr>
                <w:rFonts w:hint="eastAsia" w:ascii="宋体" w:hAnsi="宋体" w:eastAsia="宋体"/>
                <w:sz w:val="24"/>
                <w:szCs w:val="24"/>
              </w:rPr>
              <w:t>讲授信息交流的新模式、信息空间。</w:t>
            </w:r>
          </w:p>
        </w:tc>
        <w:tc>
          <w:tcPr>
            <w:tcW w:w="5096" w:type="dxa"/>
            <w:vAlign w:val="center"/>
          </w:tcPr>
          <w:p w14:paraId="60223DC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FAA14CC">
            <w:pPr>
              <w:rPr>
                <w:rFonts w:ascii="宋体" w:hAnsi="宋体" w:eastAsia="宋体"/>
                <w:sz w:val="24"/>
                <w:szCs w:val="24"/>
              </w:rPr>
            </w:pPr>
          </w:p>
        </w:tc>
        <w:tc>
          <w:tcPr>
            <w:tcW w:w="5096" w:type="dxa"/>
            <w:vAlign w:val="center"/>
          </w:tcPr>
          <w:p w14:paraId="67F14BEA">
            <w:pPr>
              <w:rPr>
                <w:rFonts w:ascii="宋体" w:hAnsi="宋体" w:eastAsia="宋体"/>
                <w:sz w:val="24"/>
                <w:szCs w:val="24"/>
              </w:rPr>
            </w:pPr>
            <w:r>
              <w:rPr>
                <w:rFonts w:hint="eastAsia" w:ascii="宋体" w:hAnsi="宋体" w:eastAsia="宋体"/>
                <w:sz w:val="24"/>
                <w:szCs w:val="24"/>
              </w:rPr>
              <w:t>重点是理解信息交流模式。难点是信息交流模式和用户信息行为对信息管理工作的启示。</w:t>
            </w:r>
          </w:p>
        </w:tc>
        <w:tc>
          <w:tcPr>
            <w:tcW w:w="1555" w:type="dxa"/>
            <w:vMerge w:val="restart"/>
            <w:vAlign w:val="center"/>
          </w:tcPr>
          <w:p w14:paraId="150C1688">
            <w:pPr>
              <w:jc w:val="center"/>
              <w:rPr>
                <w:rFonts w:ascii="宋体" w:hAnsi="宋体" w:eastAsia="宋体"/>
                <w:sz w:val="24"/>
                <w:szCs w:val="24"/>
              </w:rPr>
            </w:pPr>
          </w:p>
        </w:tc>
        <w:tc>
          <w:tcPr>
            <w:tcW w:w="5096" w:type="dxa"/>
            <w:vAlign w:val="center"/>
          </w:tcPr>
          <w:p w14:paraId="1A3C643E">
            <w:pPr>
              <w:rPr>
                <w:rFonts w:ascii="宋体" w:hAnsi="宋体" w:eastAsia="宋体"/>
                <w:sz w:val="24"/>
                <w:szCs w:val="24"/>
              </w:rPr>
            </w:pPr>
          </w:p>
        </w:tc>
      </w:tr>
      <w:tr w14:paraId="30EDFB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3070F7">
            <w:pPr>
              <w:rPr>
                <w:rFonts w:ascii="宋体" w:hAnsi="宋体" w:eastAsia="宋体"/>
                <w:sz w:val="24"/>
                <w:szCs w:val="24"/>
              </w:rPr>
            </w:pPr>
            <w:r>
              <w:rPr>
                <w:rFonts w:hint="eastAsia" w:ascii="宋体" w:hAnsi="宋体" w:eastAsia="宋体"/>
                <w:sz w:val="24"/>
                <w:szCs w:val="24"/>
              </w:rPr>
              <w:t>第8章信息计量</w:t>
            </w:r>
          </w:p>
          <w:p w14:paraId="1354E4C3">
            <w:pPr>
              <w:rPr>
                <w:rFonts w:ascii="宋体" w:hAnsi="宋体" w:eastAsia="宋体"/>
                <w:sz w:val="24"/>
                <w:szCs w:val="24"/>
              </w:rPr>
            </w:pPr>
            <w:r>
              <w:rPr>
                <w:rFonts w:hint="eastAsia" w:ascii="宋体" w:hAnsi="宋体" w:eastAsia="宋体"/>
                <w:sz w:val="24"/>
                <w:szCs w:val="24"/>
              </w:rPr>
              <w:t>第1节信息计量学。</w:t>
            </w:r>
          </w:p>
        </w:tc>
        <w:tc>
          <w:tcPr>
            <w:tcW w:w="5096" w:type="dxa"/>
            <w:vAlign w:val="center"/>
          </w:tcPr>
          <w:p w14:paraId="554D1AF1">
            <w:pPr>
              <w:rPr>
                <w:rFonts w:ascii="宋体" w:hAnsi="宋体" w:eastAsia="宋体"/>
                <w:sz w:val="24"/>
                <w:szCs w:val="24"/>
              </w:rPr>
            </w:pPr>
            <w:r>
              <w:rPr>
                <w:rFonts w:hint="eastAsia" w:ascii="宋体" w:hAnsi="宋体" w:eastAsia="宋体"/>
                <w:sz w:val="24"/>
                <w:szCs w:val="24"/>
              </w:rPr>
              <w:t>讲授信息计量学导论、信息计量学历史沿革。</w:t>
            </w:r>
          </w:p>
        </w:tc>
        <w:tc>
          <w:tcPr>
            <w:tcW w:w="5096" w:type="dxa"/>
            <w:vAlign w:val="center"/>
          </w:tcPr>
          <w:p w14:paraId="78E3322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9059541">
            <w:pPr>
              <w:rPr>
                <w:rFonts w:ascii="宋体" w:hAnsi="宋体" w:eastAsia="宋体"/>
                <w:sz w:val="24"/>
                <w:szCs w:val="24"/>
              </w:rPr>
            </w:pPr>
          </w:p>
        </w:tc>
        <w:tc>
          <w:tcPr>
            <w:tcW w:w="5096" w:type="dxa"/>
            <w:vAlign w:val="center"/>
          </w:tcPr>
          <w:p w14:paraId="7DD0B2BB">
            <w:pPr>
              <w:rPr>
                <w:rFonts w:ascii="宋体" w:hAnsi="宋体" w:eastAsia="宋体"/>
                <w:sz w:val="24"/>
                <w:szCs w:val="24"/>
              </w:rPr>
            </w:pPr>
            <w:r>
              <w:rPr>
                <w:rFonts w:hint="eastAsia" w:ascii="宋体" w:hAnsi="宋体" w:eastAsia="宋体"/>
                <w:sz w:val="24"/>
                <w:szCs w:val="24"/>
              </w:rPr>
              <w:t>重点是理解信息计量的学科特征与发展历程。难点是掌握信息计量学在当代的发展前沿。</w:t>
            </w:r>
          </w:p>
        </w:tc>
        <w:tc>
          <w:tcPr>
            <w:tcW w:w="1555" w:type="dxa"/>
            <w:vMerge w:val="restart"/>
            <w:vAlign w:val="center"/>
          </w:tcPr>
          <w:p w14:paraId="5E8F726F">
            <w:pPr>
              <w:jc w:val="center"/>
              <w:rPr>
                <w:rFonts w:ascii="宋体" w:hAnsi="宋体" w:eastAsia="宋体"/>
                <w:sz w:val="24"/>
                <w:szCs w:val="24"/>
              </w:rPr>
            </w:pPr>
          </w:p>
        </w:tc>
        <w:tc>
          <w:tcPr>
            <w:tcW w:w="5096" w:type="dxa"/>
            <w:vAlign w:val="center"/>
          </w:tcPr>
          <w:p w14:paraId="0BC60289">
            <w:pPr>
              <w:rPr>
                <w:rFonts w:ascii="宋体" w:hAnsi="宋体" w:eastAsia="宋体"/>
                <w:sz w:val="24"/>
                <w:szCs w:val="24"/>
              </w:rPr>
            </w:pPr>
          </w:p>
        </w:tc>
      </w:tr>
      <w:tr w14:paraId="371736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92896F">
            <w:pPr>
              <w:rPr>
                <w:rFonts w:ascii="宋体" w:hAnsi="宋体" w:eastAsia="宋体"/>
                <w:sz w:val="24"/>
                <w:szCs w:val="24"/>
              </w:rPr>
            </w:pPr>
            <w:r>
              <w:rPr>
                <w:rFonts w:hint="eastAsia" w:ascii="宋体" w:hAnsi="宋体" w:eastAsia="宋体"/>
                <w:sz w:val="24"/>
                <w:szCs w:val="24"/>
              </w:rPr>
              <w:t>第8章信息计量</w:t>
            </w:r>
          </w:p>
          <w:p w14:paraId="2D0EC129">
            <w:pPr>
              <w:rPr>
                <w:rFonts w:ascii="宋体" w:hAnsi="宋体" w:eastAsia="宋体"/>
                <w:sz w:val="24"/>
                <w:szCs w:val="24"/>
              </w:rPr>
            </w:pPr>
            <w:r>
              <w:rPr>
                <w:rFonts w:hint="eastAsia" w:ascii="宋体" w:hAnsi="宋体" w:eastAsia="宋体"/>
                <w:sz w:val="24"/>
                <w:szCs w:val="24"/>
              </w:rPr>
              <w:t>第3节信息计量学基本定律。</w:t>
            </w:r>
          </w:p>
        </w:tc>
        <w:tc>
          <w:tcPr>
            <w:tcW w:w="5096" w:type="dxa"/>
            <w:vAlign w:val="center"/>
          </w:tcPr>
          <w:p w14:paraId="49B1069F">
            <w:pPr>
              <w:rPr>
                <w:rFonts w:ascii="宋体" w:hAnsi="宋体" w:eastAsia="宋体"/>
                <w:sz w:val="24"/>
                <w:szCs w:val="24"/>
              </w:rPr>
            </w:pPr>
            <w:r>
              <w:rPr>
                <w:rFonts w:hint="eastAsia" w:ascii="宋体" w:hAnsi="宋体" w:eastAsia="宋体"/>
                <w:sz w:val="24"/>
                <w:szCs w:val="24"/>
              </w:rPr>
              <w:t>讲授信息计量学基本定律、信息计量学应用。</w:t>
            </w:r>
          </w:p>
        </w:tc>
        <w:tc>
          <w:tcPr>
            <w:tcW w:w="5096" w:type="dxa"/>
            <w:vAlign w:val="center"/>
          </w:tcPr>
          <w:p w14:paraId="5C7E6A0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8CE91D8">
            <w:pPr>
              <w:rPr>
                <w:rFonts w:ascii="宋体" w:hAnsi="宋体" w:eastAsia="宋体"/>
                <w:sz w:val="24"/>
                <w:szCs w:val="24"/>
              </w:rPr>
            </w:pPr>
          </w:p>
        </w:tc>
        <w:tc>
          <w:tcPr>
            <w:tcW w:w="5096" w:type="dxa"/>
            <w:vAlign w:val="center"/>
          </w:tcPr>
          <w:p w14:paraId="7F86AAC0">
            <w:pPr>
              <w:rPr>
                <w:rFonts w:ascii="宋体" w:hAnsi="宋体" w:eastAsia="宋体"/>
                <w:sz w:val="24"/>
                <w:szCs w:val="24"/>
              </w:rPr>
            </w:pPr>
            <w:r>
              <w:rPr>
                <w:rFonts w:hint="eastAsia" w:ascii="宋体" w:hAnsi="宋体" w:eastAsia="宋体"/>
                <w:sz w:val="24"/>
                <w:szCs w:val="24"/>
              </w:rPr>
              <w:t>重点是研读Lotka定律、Zipf定律、Bradford定律。难点是掌握计量学经典定律在当今的应用和创新发展。</w:t>
            </w:r>
          </w:p>
        </w:tc>
        <w:tc>
          <w:tcPr>
            <w:tcW w:w="1555" w:type="dxa"/>
            <w:vMerge w:val="restart"/>
            <w:vAlign w:val="center"/>
          </w:tcPr>
          <w:p w14:paraId="2DEE0A49">
            <w:pPr>
              <w:jc w:val="center"/>
              <w:rPr>
                <w:rFonts w:ascii="宋体" w:hAnsi="宋体" w:eastAsia="宋体"/>
                <w:sz w:val="24"/>
                <w:szCs w:val="24"/>
              </w:rPr>
            </w:pPr>
          </w:p>
        </w:tc>
        <w:tc>
          <w:tcPr>
            <w:tcW w:w="5096" w:type="dxa"/>
            <w:vAlign w:val="center"/>
          </w:tcPr>
          <w:p w14:paraId="6466CFD4">
            <w:pPr>
              <w:rPr>
                <w:rFonts w:ascii="宋体" w:hAnsi="宋体" w:eastAsia="宋体"/>
                <w:sz w:val="24"/>
                <w:szCs w:val="24"/>
              </w:rPr>
            </w:pPr>
          </w:p>
        </w:tc>
      </w:tr>
      <w:tr w14:paraId="2C1FA1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0362FB8">
            <w:pPr>
              <w:rPr>
                <w:rFonts w:ascii="宋体" w:hAnsi="宋体" w:eastAsia="宋体"/>
                <w:sz w:val="24"/>
                <w:szCs w:val="24"/>
              </w:rPr>
            </w:pPr>
            <w:r>
              <w:rPr>
                <w:rFonts w:hint="eastAsia" w:ascii="宋体" w:hAnsi="宋体" w:eastAsia="宋体"/>
                <w:sz w:val="24"/>
                <w:szCs w:val="24"/>
              </w:rPr>
              <w:t>小组文献阅读、分享、讨论与点评。</w:t>
            </w:r>
          </w:p>
        </w:tc>
        <w:tc>
          <w:tcPr>
            <w:tcW w:w="5096" w:type="dxa"/>
            <w:vAlign w:val="center"/>
          </w:tcPr>
          <w:p w14:paraId="4A81EF68">
            <w:pPr>
              <w:rPr>
                <w:rFonts w:ascii="宋体" w:hAnsi="宋体" w:eastAsia="宋体"/>
                <w:sz w:val="24"/>
                <w:szCs w:val="24"/>
              </w:rPr>
            </w:pPr>
            <w:r>
              <w:rPr>
                <w:rFonts w:hint="eastAsia" w:ascii="宋体" w:hAnsi="宋体" w:eastAsia="宋体"/>
                <w:sz w:val="24"/>
                <w:szCs w:val="24"/>
              </w:rPr>
              <w:t>小组文献阅读、分享、讨论与点评。</w:t>
            </w:r>
          </w:p>
        </w:tc>
        <w:tc>
          <w:tcPr>
            <w:tcW w:w="5096" w:type="dxa"/>
            <w:vAlign w:val="center"/>
          </w:tcPr>
          <w:p w14:paraId="7DDD544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20517EE">
            <w:pPr>
              <w:rPr>
                <w:rFonts w:ascii="宋体" w:hAnsi="宋体" w:eastAsia="宋体"/>
                <w:sz w:val="24"/>
                <w:szCs w:val="24"/>
              </w:rPr>
            </w:pPr>
          </w:p>
        </w:tc>
        <w:tc>
          <w:tcPr>
            <w:tcW w:w="5096" w:type="dxa"/>
            <w:vAlign w:val="center"/>
          </w:tcPr>
          <w:p w14:paraId="3DD31FFF">
            <w:pPr>
              <w:rPr>
                <w:rFonts w:ascii="宋体" w:hAnsi="宋体" w:eastAsia="宋体"/>
                <w:sz w:val="24"/>
                <w:szCs w:val="24"/>
              </w:rPr>
            </w:pPr>
          </w:p>
        </w:tc>
        <w:tc>
          <w:tcPr>
            <w:tcW w:w="1555" w:type="dxa"/>
            <w:vMerge w:val="restart"/>
            <w:vAlign w:val="center"/>
          </w:tcPr>
          <w:p w14:paraId="12F8FBE4">
            <w:pPr>
              <w:jc w:val="center"/>
              <w:rPr>
                <w:rFonts w:ascii="宋体" w:hAnsi="宋体" w:eastAsia="宋体"/>
                <w:sz w:val="24"/>
                <w:szCs w:val="24"/>
              </w:rPr>
            </w:pPr>
          </w:p>
        </w:tc>
        <w:tc>
          <w:tcPr>
            <w:tcW w:w="5096" w:type="dxa"/>
            <w:vAlign w:val="center"/>
          </w:tcPr>
          <w:p w14:paraId="42F480BB">
            <w:pPr>
              <w:rPr>
                <w:rFonts w:ascii="宋体" w:hAnsi="宋体" w:eastAsia="宋体"/>
                <w:sz w:val="24"/>
                <w:szCs w:val="24"/>
              </w:rPr>
            </w:pPr>
          </w:p>
        </w:tc>
      </w:tr>
      <w:tr w14:paraId="3F0386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2412ED">
            <w:pPr>
              <w:rPr>
                <w:rFonts w:ascii="宋体" w:hAnsi="宋体" w:eastAsia="宋体"/>
                <w:sz w:val="24"/>
                <w:szCs w:val="24"/>
              </w:rPr>
            </w:pPr>
            <w:r>
              <w:rPr>
                <w:rFonts w:hint="eastAsia" w:ascii="宋体" w:hAnsi="宋体" w:eastAsia="宋体"/>
                <w:sz w:val="24"/>
                <w:szCs w:val="24"/>
              </w:rPr>
              <w:t>总结、复习、文献分享、讨论与点评。</w:t>
            </w:r>
          </w:p>
        </w:tc>
        <w:tc>
          <w:tcPr>
            <w:tcW w:w="5096" w:type="dxa"/>
            <w:vAlign w:val="center"/>
          </w:tcPr>
          <w:p w14:paraId="0D94F3CE">
            <w:pPr>
              <w:rPr>
                <w:rFonts w:ascii="宋体" w:hAnsi="宋体" w:eastAsia="宋体"/>
                <w:sz w:val="24"/>
                <w:szCs w:val="24"/>
              </w:rPr>
            </w:pPr>
            <w:r>
              <w:rPr>
                <w:rFonts w:hint="eastAsia" w:ascii="宋体" w:hAnsi="宋体" w:eastAsia="宋体"/>
                <w:sz w:val="24"/>
                <w:szCs w:val="24"/>
              </w:rPr>
              <w:t>总结、复习、文献分享、讨论与点评。</w:t>
            </w:r>
          </w:p>
        </w:tc>
        <w:tc>
          <w:tcPr>
            <w:tcW w:w="5096" w:type="dxa"/>
            <w:vAlign w:val="center"/>
          </w:tcPr>
          <w:p w14:paraId="57E12DF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223D23">
            <w:pPr>
              <w:rPr>
                <w:rFonts w:ascii="宋体" w:hAnsi="宋体" w:eastAsia="宋体"/>
                <w:sz w:val="24"/>
                <w:szCs w:val="24"/>
              </w:rPr>
            </w:pPr>
          </w:p>
        </w:tc>
        <w:tc>
          <w:tcPr>
            <w:tcW w:w="5096" w:type="dxa"/>
            <w:vAlign w:val="center"/>
          </w:tcPr>
          <w:p w14:paraId="6FE5E22F">
            <w:pPr>
              <w:rPr>
                <w:rFonts w:ascii="宋体" w:hAnsi="宋体" w:eastAsia="宋体"/>
                <w:sz w:val="24"/>
                <w:szCs w:val="24"/>
              </w:rPr>
            </w:pPr>
          </w:p>
        </w:tc>
        <w:tc>
          <w:tcPr>
            <w:tcW w:w="1555" w:type="dxa"/>
            <w:vAlign w:val="center"/>
          </w:tcPr>
          <w:p w14:paraId="45348845">
            <w:pPr>
              <w:jc w:val="center"/>
              <w:rPr>
                <w:rFonts w:ascii="宋体" w:hAnsi="宋体" w:eastAsia="宋体"/>
                <w:sz w:val="24"/>
                <w:szCs w:val="24"/>
              </w:rPr>
            </w:pPr>
          </w:p>
        </w:tc>
        <w:tc>
          <w:tcPr>
            <w:tcW w:w="5096" w:type="dxa"/>
            <w:vAlign w:val="center"/>
          </w:tcPr>
          <w:p w14:paraId="33F7C085">
            <w:pPr>
              <w:rPr>
                <w:rFonts w:ascii="宋体" w:hAnsi="宋体" w:eastAsia="宋体"/>
                <w:sz w:val="24"/>
                <w:szCs w:val="24"/>
              </w:rPr>
            </w:pPr>
          </w:p>
        </w:tc>
      </w:tr>
    </w:tbl>
    <w:p w14:paraId="18BCA571">
      <w:pPr>
        <w:spacing w:line="480" w:lineRule="exact"/>
        <w:ind w:firstLine="360" w:firstLineChars="150"/>
        <w:rPr>
          <w:rFonts w:hint="eastAsia"/>
          <w:sz w:val="24"/>
        </w:rPr>
      </w:pPr>
      <w:r>
        <w:rPr>
          <w:sz w:val="24"/>
        </w:rPr>
        <w:t>合计:38</w:t>
      </w:r>
    </w:p>
    <w:p w14:paraId="6D7643CE">
      <w:pPr>
        <w:spacing w:line="480" w:lineRule="exact"/>
        <w:rPr>
          <w:sz w:val="24"/>
        </w:rPr>
      </w:pPr>
    </w:p>
    <w:p w14:paraId="0A5BC6FF">
      <w:pPr>
        <w:spacing w:line="480" w:lineRule="exact"/>
        <w:rPr>
          <w:rFonts w:hint="eastAsia"/>
          <w:sz w:val="24"/>
        </w:rPr>
      </w:pPr>
    </w:p>
    <w:p w14:paraId="1DFAB693">
      <w:pPr>
        <w:spacing w:line="480" w:lineRule="exact"/>
        <w:ind w:firstLine="480" w:firstLineChars="200"/>
        <w:rPr>
          <w:sz w:val="24"/>
        </w:rPr>
      </w:pPr>
      <w:r>
        <w:rPr>
          <w:sz w:val="24"/>
        </w:rPr>
        <w:t>（二）</w:t>
      </w:r>
      <w:r>
        <w:rPr>
          <w:b/>
          <w:sz w:val="24"/>
        </w:rPr>
        <w:t>教学环节安排</w:t>
      </w:r>
    </w:p>
    <w:p w14:paraId="59A4E2C3">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2A496577">
      <w:pPr>
        <w:spacing w:line="480" w:lineRule="exact"/>
        <w:ind w:firstLine="360" w:firstLineChars="150"/>
        <w:rPr>
          <w:rFonts w:hint="eastAsia"/>
          <w:sz w:val="24"/>
        </w:rPr>
      </w:pPr>
      <w:r>
        <w:rPr>
          <w:sz w:val="24"/>
        </w:rPr>
        <w:t>本课程由教师主讲32学时，小组分享阅读和讨论4学时。</w:t>
      </w:r>
    </w:p>
    <w:p w14:paraId="31853DBE">
      <w:pPr>
        <w:spacing w:line="480" w:lineRule="exact"/>
        <w:rPr>
          <w:sz w:val="24"/>
        </w:rPr>
      </w:pPr>
    </w:p>
    <w:p w14:paraId="5E638224">
      <w:pPr>
        <w:spacing w:line="480" w:lineRule="exact"/>
        <w:ind w:firstLine="480" w:firstLineChars="200"/>
        <w:rPr>
          <w:rFonts w:hint="eastAsia"/>
          <w:sz w:val="24"/>
        </w:rPr>
      </w:pPr>
      <w:r>
        <w:rPr>
          <w:sz w:val="24"/>
        </w:rPr>
        <w:t>（三）</w:t>
      </w:r>
      <w:r>
        <w:rPr>
          <w:b/>
          <w:sz w:val="24"/>
        </w:rPr>
        <w:t>教学方法</w:t>
      </w:r>
    </w:p>
    <w:p w14:paraId="2A77A05F">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26136402">
      <w:pPr>
        <w:spacing w:line="480" w:lineRule="exact"/>
        <w:ind w:firstLine="360" w:firstLineChars="150"/>
        <w:rPr>
          <w:rFonts w:hint="eastAsia"/>
          <w:sz w:val="24"/>
        </w:rPr>
      </w:pPr>
      <w:r>
        <w:rPr>
          <w:sz w:val="24"/>
        </w:rPr>
        <w:t>本课程的教学方法包括讲授和分小组对给定文献进行分享阅读和讨论，布置小组大作业两次。</w:t>
      </w:r>
    </w:p>
    <w:p w14:paraId="6E8B6819">
      <w:pPr>
        <w:spacing w:line="480" w:lineRule="exact"/>
        <w:ind w:firstLine="360" w:firstLineChars="150"/>
        <w:rPr>
          <w:sz w:val="24"/>
        </w:rPr>
      </w:pPr>
    </w:p>
    <w:p w14:paraId="1E058E5B">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99CC4AC">
      <w:pPr>
        <w:spacing w:line="480" w:lineRule="exact"/>
        <w:ind w:firstLine="360" w:firstLineChars="150"/>
        <w:rPr>
          <w:sz w:val="24"/>
        </w:rPr>
      </w:pPr>
      <w:r>
        <w:rPr>
          <w:rFonts w:hint="eastAsia"/>
          <w:sz w:val="24"/>
        </w:rPr>
        <w:t>祁延莉, 夏汇川选. 图书馆学情报学经典著作选读[M]. 海洋出版社, 2010.</w:t>
      </w:r>
    </w:p>
    <w:p w14:paraId="0A5FB722">
      <w:pPr>
        <w:spacing w:line="480" w:lineRule="exact"/>
        <w:ind w:firstLine="360" w:firstLineChars="150"/>
        <w:rPr>
          <w:sz w:val="24"/>
        </w:rPr>
      </w:pPr>
    </w:p>
    <w:p w14:paraId="1DD88C84">
      <w:pPr>
        <w:spacing w:line="480" w:lineRule="exact"/>
        <w:ind w:firstLine="480" w:firstLineChars="200"/>
        <w:rPr>
          <w:sz w:val="24"/>
        </w:rPr>
      </w:pPr>
      <w:r>
        <w:rPr>
          <w:sz w:val="24"/>
        </w:rPr>
        <w:t>（五）</w:t>
      </w:r>
      <w:r>
        <w:rPr>
          <w:b/>
          <w:sz w:val="24"/>
        </w:rPr>
        <w:t>主要参考书目</w:t>
      </w:r>
    </w:p>
    <w:p w14:paraId="1BF3DEC2">
      <w:pPr>
        <w:spacing w:line="480" w:lineRule="exact"/>
        <w:ind w:firstLine="482" w:firstLineChars="200"/>
        <w:rPr>
          <w:sz w:val="24"/>
        </w:rPr>
      </w:pPr>
      <w:r>
        <w:rPr>
          <w:b/>
          <w:sz w:val="24"/>
        </w:rPr>
        <w:t>（推荐若干参考书，并注明书名、作者、出版社、版本、出版日期等，每个章节指定一定数量、明确的阅读资料）</w:t>
      </w:r>
    </w:p>
    <w:p w14:paraId="64F9355A">
      <w:pPr>
        <w:spacing w:line="480" w:lineRule="exact"/>
        <w:ind w:firstLine="360" w:firstLineChars="150"/>
        <w:rPr>
          <w:sz w:val="24"/>
        </w:rPr>
      </w:pPr>
      <w:r>
        <w:rPr>
          <w:rFonts w:hint="eastAsia"/>
          <w:sz w:val="24"/>
        </w:rPr>
        <w:t>Bawden D, Robinson L. Introduction to Information Science[M]. Marcel Dekker, 2015.</w:t>
      </w:r>
    </w:p>
    <w:p w14:paraId="46CE5523">
      <w:pPr>
        <w:spacing w:line="480" w:lineRule="exact"/>
        <w:ind w:firstLine="360" w:firstLineChars="150"/>
        <w:rPr>
          <w:sz w:val="24"/>
        </w:rPr>
      </w:pPr>
      <w:r>
        <w:rPr>
          <w:rFonts w:hint="eastAsia"/>
          <w:sz w:val="24"/>
        </w:rPr>
        <w:t>Glushko, R. et al. The Discipline of Organizing[M]. O’Reilly Media, Sebastopol, CA, 2013.</w:t>
      </w:r>
    </w:p>
    <w:p w14:paraId="3F61C208">
      <w:pPr>
        <w:spacing w:line="480" w:lineRule="exact"/>
        <w:ind w:firstLine="360" w:firstLineChars="150"/>
        <w:rPr>
          <w:sz w:val="24"/>
        </w:rPr>
      </w:pPr>
      <w:r>
        <w:rPr>
          <w:rFonts w:hint="eastAsia"/>
          <w:sz w:val="24"/>
        </w:rPr>
        <w:t>Case, D. O. Looking for Information: a Survey of Research on Information Seeking, Needs and Behavior (2nd edn)[M], Bingley: Emerald, 2007.</w:t>
      </w:r>
    </w:p>
    <w:p w14:paraId="6780FD65">
      <w:pPr>
        <w:spacing w:line="480" w:lineRule="exact"/>
        <w:ind w:firstLine="480" w:firstLineChars="200"/>
        <w:rPr>
          <w:sz w:val="24"/>
        </w:rPr>
      </w:pPr>
      <w:r>
        <w:rPr>
          <w:sz w:val="24"/>
        </w:rPr>
        <w:t>（六）</w:t>
      </w:r>
      <w:r>
        <w:rPr>
          <w:b/>
          <w:sz w:val="24"/>
        </w:rPr>
        <w:t>成绩评定方式</w:t>
      </w:r>
    </w:p>
    <w:p w14:paraId="43335709">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10A8DCB3">
      <w:pPr>
        <w:spacing w:line="480" w:lineRule="exact"/>
        <w:ind w:firstLine="482" w:firstLineChars="200"/>
        <w:rPr>
          <w:sz w:val="24"/>
        </w:rPr>
      </w:pPr>
      <w:r>
        <w:rPr>
          <w:rFonts w:hint="eastAsia"/>
          <w:b/>
          <w:sz w:val="24"/>
        </w:rPr>
        <w:t>考 核 方 式：考查</w:t>
      </w:r>
    </w:p>
    <w:p w14:paraId="2ACD8437">
      <w:pPr>
        <w:spacing w:line="480" w:lineRule="exact"/>
        <w:ind w:firstLine="482" w:firstLineChars="200"/>
        <w:rPr>
          <w:sz w:val="24"/>
        </w:rPr>
      </w:pPr>
      <w:r>
        <w:rPr>
          <w:rFonts w:hint="eastAsia"/>
          <w:b/>
          <w:sz w:val="24"/>
        </w:rPr>
        <w:t>成绩录入方式： 百分制</w:t>
      </w:r>
    </w:p>
    <w:p w14:paraId="2144C5BD">
      <w:pPr>
        <w:spacing w:line="480" w:lineRule="exact"/>
        <w:ind w:firstLine="360" w:firstLineChars="150"/>
        <w:rPr>
          <w:sz w:val="24"/>
        </w:rPr>
      </w:pPr>
      <w:r>
        <w:rPr>
          <w:rFonts w:hint="eastAsia"/>
          <w:sz w:val="24"/>
        </w:rPr>
        <w:t>一、总成绩构成：平时考核占比40%，期末考核占比60%。</w:t>
      </w:r>
    </w:p>
    <w:p w14:paraId="2874ADE7">
      <w:pPr>
        <w:spacing w:line="480" w:lineRule="exact"/>
        <w:ind w:firstLine="360" w:firstLineChars="150"/>
        <w:rPr>
          <w:sz w:val="24"/>
        </w:rPr>
      </w:pPr>
      <w:r>
        <w:rPr>
          <w:rFonts w:hint="eastAsia"/>
          <w:sz w:val="24"/>
        </w:rPr>
        <w:t>二、平时考核说明：</w:t>
      </w:r>
    </w:p>
    <w:p w14:paraId="75794FA3">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56DB904E">
      <w:pPr>
        <w:spacing w:line="480" w:lineRule="exact"/>
        <w:ind w:firstLine="360" w:firstLineChars="150"/>
        <w:rPr>
          <w:sz w:val="24"/>
        </w:rPr>
      </w:pPr>
      <w:r>
        <w:rPr>
          <w:rFonts w:hint="eastAsia"/>
          <w:sz w:val="24"/>
        </w:rPr>
        <w:t>（2）三次课后作业（占平时成绩90%）。根据教学进度安排3次课后作业，每次作业30分。主要考察学生对讲授内容的理解和运用能力，由任课教师批阅并给分。未交、缓交作业的，当次不给分。因请假造成缓交作业的，须于销假时补交作业，否则按未交作业处理。</w:t>
      </w:r>
    </w:p>
    <w:p w14:paraId="4362BEA0">
      <w:pPr>
        <w:spacing w:line="480" w:lineRule="exact"/>
        <w:ind w:firstLine="360" w:firstLineChars="150"/>
        <w:rPr>
          <w:sz w:val="24"/>
        </w:rPr>
      </w:pPr>
      <w:r>
        <w:rPr>
          <w:rFonts w:hint="eastAsia"/>
          <w:sz w:val="24"/>
        </w:rPr>
        <w:t>三、期末考核说明：</w:t>
      </w:r>
    </w:p>
    <w:p w14:paraId="6EF3585D">
      <w:pPr>
        <w:spacing w:line="480" w:lineRule="exact"/>
        <w:ind w:firstLine="360" w:firstLineChars="150"/>
        <w:rPr>
          <w:sz w:val="24"/>
        </w:rPr>
      </w:pPr>
      <w:r>
        <w:rPr>
          <w:rFonts w:hint="eastAsia"/>
          <w:sz w:val="24"/>
        </w:rPr>
        <w:t>期末考核采用考查，考查内容为学生在本课程范围内，按照指定的论文格式撰写1份学术报告。评分标准包括论述的条理性、创新性、完整性和学术规范性。</w:t>
      </w:r>
    </w:p>
    <w:p w14:paraId="6EBBC4D6">
      <w:pPr>
        <w:spacing w:line="480" w:lineRule="exact"/>
        <w:rPr>
          <w:sz w:val="24"/>
        </w:rPr>
      </w:pPr>
    </w:p>
    <w:p w14:paraId="14BEEF82">
      <w:pPr>
        <w:spacing w:line="480" w:lineRule="exact"/>
        <w:rPr>
          <w:sz w:val="24"/>
        </w:rPr>
      </w:pPr>
    </w:p>
    <w:p w14:paraId="02FBFA28">
      <w:pPr>
        <w:spacing w:line="480" w:lineRule="exact"/>
        <w:rPr>
          <w:sz w:val="24"/>
        </w:rPr>
      </w:pPr>
    </w:p>
    <w:p w14:paraId="01B446A6">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021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2026-04-12T06:23:45Z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43C18C4AB4E542C29977D5B414F134C0_13</vt:lpwstr>
  </property>
</Properties>
</file>