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EB896">
      <w:pPr>
        <w:spacing w:line="480" w:lineRule="exact"/>
        <w:rPr>
          <w:sz w:val="24"/>
        </w:rPr>
      </w:pPr>
      <w:bookmarkStart w:id="0" w:name="_GoBack"/>
      <w:bookmarkEnd w:id="0"/>
    </w:p>
    <w:p w14:paraId="1733ED23">
      <w:pPr>
        <w:spacing w:line="1480" w:lineRule="exact"/>
        <w:jc w:val="center"/>
        <w:rPr>
          <w:rFonts w:eastAsia="楷体_GB2312"/>
          <w:b/>
          <w:bCs/>
          <w:spacing w:val="40"/>
          <w:sz w:val="72"/>
        </w:rPr>
      </w:pPr>
      <w:r>
        <w:rPr>
          <w:rFonts w:eastAsia="楷体_GB2312"/>
          <w:b/>
          <w:bCs/>
          <w:spacing w:val="40"/>
          <w:sz w:val="72"/>
        </w:rPr>
        <w:t>中山大学</w:t>
      </w:r>
    </w:p>
    <w:p w14:paraId="2D60BBDA">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4E8FDAB1">
      <w:pPr>
        <w:spacing w:line="1480" w:lineRule="exact"/>
        <w:jc w:val="center"/>
        <w:rPr>
          <w:sz w:val="52"/>
        </w:rPr>
      </w:pPr>
    </w:p>
    <w:p w14:paraId="595E1040">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FE4CC4C">
      <w:pPr>
        <w:spacing w:line="480" w:lineRule="exact"/>
        <w:ind w:firstLine="2127" w:firstLineChars="709"/>
        <w:rPr>
          <w:rFonts w:eastAsia="黑体"/>
          <w:sz w:val="30"/>
          <w:u w:val="single"/>
        </w:rPr>
      </w:pPr>
    </w:p>
    <w:p w14:paraId="12AE48A0">
      <w:pPr>
        <w:spacing w:line="480" w:lineRule="exact"/>
        <w:ind w:firstLine="2127" w:firstLineChars="709"/>
        <w:rPr>
          <w:sz w:val="30"/>
          <w:u w:val="single"/>
        </w:rPr>
      </w:pPr>
      <w:r>
        <w:rPr>
          <w:rFonts w:eastAsia="黑体"/>
          <w:sz w:val="30"/>
        </w:rPr>
        <w:t>课程名称</w:t>
      </w:r>
      <w:r>
        <w:rPr>
          <w:rFonts w:eastAsia="黑体"/>
          <w:sz w:val="30"/>
          <w:u w:val="single"/>
        </w:rPr>
        <w:t xml:space="preserve"> 研究前沿与学术规范</w:t>
      </w:r>
    </w:p>
    <w:p w14:paraId="55C7FD4F">
      <w:pPr>
        <w:spacing w:line="900" w:lineRule="exact"/>
        <w:ind w:firstLine="3600" w:firstLineChars="1200"/>
        <w:rPr>
          <w:sz w:val="30"/>
        </w:rPr>
      </w:pPr>
    </w:p>
    <w:p w14:paraId="480424B7">
      <w:pPr>
        <w:spacing w:line="900" w:lineRule="exact"/>
        <w:jc w:val="center"/>
        <w:rPr>
          <w:rFonts w:eastAsia="仿宋_GB2312"/>
          <w:b/>
          <w:bCs/>
          <w:kern w:val="28"/>
          <w:sz w:val="32"/>
          <w:szCs w:val="32"/>
        </w:rPr>
      </w:pPr>
    </w:p>
    <w:p w14:paraId="563786B1">
      <w:pPr>
        <w:spacing w:line="900" w:lineRule="exact"/>
        <w:jc w:val="center"/>
        <w:rPr>
          <w:rFonts w:eastAsia="仿宋_GB2312"/>
          <w:b/>
          <w:bCs/>
          <w:kern w:val="28"/>
          <w:sz w:val="32"/>
          <w:szCs w:val="32"/>
        </w:rPr>
      </w:pPr>
    </w:p>
    <w:p w14:paraId="37BE6DEF">
      <w:pPr>
        <w:spacing w:line="900" w:lineRule="exact"/>
        <w:jc w:val="center"/>
        <w:rPr>
          <w:rFonts w:eastAsia="仿宋_GB2312"/>
          <w:b/>
          <w:bCs/>
          <w:kern w:val="28"/>
          <w:sz w:val="32"/>
          <w:szCs w:val="32"/>
        </w:rPr>
      </w:pPr>
    </w:p>
    <w:p w14:paraId="4EA934F6">
      <w:pPr>
        <w:spacing w:line="900" w:lineRule="exact"/>
        <w:jc w:val="center"/>
        <w:rPr>
          <w:rFonts w:eastAsia="仿宋_GB2312"/>
          <w:b/>
          <w:bCs/>
          <w:kern w:val="28"/>
          <w:sz w:val="32"/>
          <w:szCs w:val="32"/>
        </w:rPr>
      </w:pPr>
    </w:p>
    <w:p w14:paraId="1017B064">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733CE24">
      <w:pPr>
        <w:spacing w:line="900" w:lineRule="exact"/>
        <w:jc w:val="center"/>
        <w:rPr>
          <w:rFonts w:ascii="仿宋_GB2312" w:hAnsi="仿宋_GB2312" w:eastAsia="仿宋_GB2312" w:cs="仿宋_GB2312"/>
          <w:b/>
          <w:bCs/>
          <w:kern w:val="28"/>
          <w:sz w:val="32"/>
          <w:szCs w:val="32"/>
        </w:rPr>
      </w:pPr>
    </w:p>
    <w:p w14:paraId="069530D1">
      <w:pPr>
        <w:spacing w:line="900" w:lineRule="exact"/>
        <w:jc w:val="center"/>
        <w:rPr>
          <w:rFonts w:hint="eastAsia" w:ascii="仿宋_GB2312" w:hAnsi="仿宋_GB2312" w:eastAsia="仿宋_GB2312" w:cs="仿宋_GB2312"/>
          <w:b/>
          <w:bCs/>
          <w:kern w:val="28"/>
          <w:sz w:val="32"/>
          <w:szCs w:val="32"/>
        </w:rPr>
      </w:pPr>
    </w:p>
    <w:p w14:paraId="6B292E87">
      <w:pPr>
        <w:spacing w:line="900" w:lineRule="exact"/>
        <w:jc w:val="center"/>
        <w:rPr>
          <w:rFonts w:hint="eastAsia" w:eastAsia="仿宋_GB2312"/>
          <w:b/>
          <w:bCs/>
          <w:kern w:val="28"/>
          <w:sz w:val="32"/>
          <w:szCs w:val="32"/>
        </w:rPr>
      </w:pPr>
    </w:p>
    <w:p w14:paraId="66427757">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133A7BF">
      <w:pPr>
        <w:pStyle w:val="2"/>
        <w:spacing w:line="480" w:lineRule="exact"/>
        <w:ind w:firstLine="0" w:firstLineChars="0"/>
        <w:jc w:val="center"/>
        <w:rPr>
          <w:rFonts w:eastAsia="宋体"/>
          <w:sz w:val="24"/>
        </w:rPr>
      </w:pPr>
      <w:r>
        <w:rPr>
          <w:rFonts w:eastAsia="宋体"/>
          <w:sz w:val="24"/>
        </w:rPr>
        <w:t>（编写日期：2025年06月）</w:t>
      </w:r>
    </w:p>
    <w:p w14:paraId="431E54DA">
      <w:pPr>
        <w:pStyle w:val="2"/>
        <w:spacing w:line="480" w:lineRule="exact"/>
        <w:ind w:firstLine="0" w:firstLineChars="0"/>
        <w:jc w:val="center"/>
        <w:rPr>
          <w:rFonts w:eastAsia="宋体"/>
          <w:sz w:val="24"/>
        </w:rPr>
      </w:pPr>
    </w:p>
    <w:p w14:paraId="6325CD94">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2959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BCE5A76">
            <w:pPr>
              <w:pStyle w:val="2"/>
              <w:spacing w:line="480" w:lineRule="exact"/>
              <w:ind w:firstLine="0" w:firstLineChars="0"/>
              <w:jc w:val="center"/>
              <w:rPr>
                <w:rFonts w:eastAsia="宋体"/>
                <w:sz w:val="24"/>
              </w:rPr>
            </w:pPr>
          </w:p>
          <w:p w14:paraId="5EACD191">
            <w:pPr>
              <w:pStyle w:val="2"/>
              <w:adjustRightInd w:val="0"/>
              <w:snapToGrid w:val="0"/>
              <w:ind w:firstLine="0" w:firstLineChars="0"/>
              <w:jc w:val="center"/>
              <w:rPr>
                <w:rFonts w:eastAsia="宋体"/>
                <w:sz w:val="24"/>
                <w:lang w:val="en-US" w:eastAsia="zh-CN"/>
              </w:rPr>
            </w:pPr>
            <w:r>
              <w:rPr>
                <w:rFonts w:eastAsia="宋体"/>
                <w:sz w:val="24"/>
                <w:lang w:val="en-US" w:eastAsia="zh-CN"/>
              </w:rPr>
              <w:t>研究前沿与学术规范</w:t>
            </w:r>
          </w:p>
          <w:p w14:paraId="78A79143">
            <w:pPr>
              <w:pStyle w:val="2"/>
              <w:adjustRightInd w:val="0"/>
              <w:snapToGrid w:val="0"/>
              <w:ind w:firstLine="0" w:firstLineChars="0"/>
              <w:jc w:val="center"/>
              <w:rPr>
                <w:rFonts w:eastAsia="宋体"/>
                <w:sz w:val="24"/>
                <w:lang w:val="en-US" w:eastAsia="zh-CN"/>
              </w:rPr>
            </w:pPr>
            <w:r>
              <w:rPr>
                <w:rFonts w:eastAsia="宋体"/>
                <w:sz w:val="24"/>
                <w:lang w:val="en-US" w:eastAsia="zh-CN"/>
              </w:rPr>
              <w:t>Research Frontier and Academic Standard</w:t>
            </w:r>
          </w:p>
          <w:p w14:paraId="2FC08CD5">
            <w:pPr>
              <w:pStyle w:val="2"/>
              <w:spacing w:line="480" w:lineRule="exact"/>
              <w:ind w:firstLine="0" w:firstLineChars="0"/>
              <w:jc w:val="center"/>
              <w:rPr>
                <w:rFonts w:eastAsia="宋体"/>
                <w:sz w:val="24"/>
              </w:rPr>
            </w:pPr>
          </w:p>
        </w:tc>
      </w:tr>
      <w:tr w14:paraId="487F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25C0EFB4">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2D54DF05">
            <w:pPr>
              <w:jc w:val="center"/>
              <w:rPr>
                <w:sz w:val="24"/>
              </w:rPr>
            </w:pPr>
            <w:r>
              <w:rPr>
                <w:rFonts w:hint="eastAsia" w:eastAsia="宋体"/>
                <w:sz w:val="24"/>
                <w:lang w:val="en-US" w:eastAsia="zh-CN"/>
              </w:rPr>
              <w:t>专选</w:t>
            </w:r>
          </w:p>
        </w:tc>
        <w:tc>
          <w:tcPr>
            <w:tcW w:w="1598" w:type="dxa"/>
            <w:vAlign w:val="center"/>
          </w:tcPr>
          <w:p w14:paraId="34D2A8BC">
            <w:pPr>
              <w:rPr>
                <w:sz w:val="24"/>
              </w:rPr>
            </w:pPr>
            <w:r>
              <w:rPr>
                <w:sz w:val="24"/>
              </w:rPr>
              <w:t>课程编码</w:t>
            </w:r>
          </w:p>
        </w:tc>
        <w:tc>
          <w:tcPr>
            <w:tcW w:w="1435" w:type="dxa"/>
            <w:vAlign w:val="center"/>
          </w:tcPr>
          <w:p w14:paraId="166118DA">
            <w:pPr>
              <w:jc w:val="center"/>
              <w:rPr>
                <w:sz w:val="24"/>
              </w:rPr>
            </w:pPr>
            <w:r>
              <w:rPr>
                <w:sz w:val="24"/>
              </w:rPr>
              <w:t>IM437</w:t>
            </w:r>
          </w:p>
        </w:tc>
        <w:tc>
          <w:tcPr>
            <w:tcW w:w="1400" w:type="dxa"/>
            <w:vAlign w:val="center"/>
          </w:tcPr>
          <w:p w14:paraId="3D9199AE">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0627630">
            <w:pPr>
              <w:jc w:val="center"/>
              <w:rPr>
                <w:sz w:val="24"/>
              </w:rPr>
            </w:pPr>
            <w:r>
              <w:rPr>
                <w:rFonts w:eastAsia="宋体"/>
                <w:sz w:val="24"/>
                <w:lang w:val="en-US" w:eastAsia="zh-CN"/>
              </w:rPr>
              <w:t>信息管理学院</w:t>
            </w:r>
          </w:p>
        </w:tc>
      </w:tr>
      <w:tr w14:paraId="2BFF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52B69B8">
            <w:pPr>
              <w:jc w:val="center"/>
              <w:rPr>
                <w:sz w:val="24"/>
              </w:rPr>
            </w:pPr>
            <w:r>
              <w:rPr>
                <w:sz w:val="24"/>
              </w:rPr>
              <w:t>学分</w:t>
            </w:r>
          </w:p>
        </w:tc>
        <w:tc>
          <w:tcPr>
            <w:tcW w:w="1379" w:type="dxa"/>
            <w:vAlign w:val="center"/>
          </w:tcPr>
          <w:p w14:paraId="5BC11E4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1</w:t>
            </w:r>
          </w:p>
        </w:tc>
        <w:tc>
          <w:tcPr>
            <w:tcW w:w="1598" w:type="dxa"/>
            <w:vAlign w:val="center"/>
          </w:tcPr>
          <w:p w14:paraId="26BEF1A8">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D828A5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18</w:t>
            </w:r>
          </w:p>
        </w:tc>
        <w:tc>
          <w:tcPr>
            <w:tcW w:w="1400" w:type="dxa"/>
            <w:vAlign w:val="center"/>
          </w:tcPr>
          <w:p w14:paraId="60C6FA96">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65036C2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4</w:t>
            </w:r>
          </w:p>
        </w:tc>
      </w:tr>
      <w:tr w14:paraId="2D86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525C57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0739BE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3287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94B0075">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4CE91E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彭国超</w:t>
            </w:r>
          </w:p>
        </w:tc>
      </w:tr>
      <w:tr w14:paraId="166C0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0481B9E">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0526120">
            <w:pPr>
              <w:pStyle w:val="2"/>
              <w:adjustRightInd w:val="0"/>
              <w:snapToGrid w:val="0"/>
              <w:ind w:firstLine="0" w:firstLineChars="0"/>
              <w:jc w:val="left"/>
              <w:rPr>
                <w:rFonts w:hint="eastAsia" w:eastAsia="宋体"/>
                <w:sz w:val="24"/>
                <w:lang w:val="en-US" w:eastAsia="zh-CN"/>
              </w:rPr>
            </w:pPr>
          </w:p>
        </w:tc>
      </w:tr>
      <w:tr w14:paraId="1EB9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34707AD">
            <w:pPr>
              <w:pStyle w:val="2"/>
              <w:spacing w:line="480" w:lineRule="exact"/>
              <w:ind w:firstLine="0" w:firstLineChars="0"/>
              <w:jc w:val="center"/>
              <w:rPr>
                <w:rFonts w:eastAsia="宋体"/>
                <w:sz w:val="24"/>
                <w:lang w:val="en-US" w:eastAsia="zh-CN"/>
              </w:rPr>
            </w:pPr>
          </w:p>
          <w:p w14:paraId="6ACB9464">
            <w:pPr>
              <w:pStyle w:val="2"/>
              <w:spacing w:line="480" w:lineRule="exact"/>
              <w:ind w:firstLine="0" w:firstLineChars="0"/>
              <w:jc w:val="center"/>
              <w:rPr>
                <w:rFonts w:eastAsia="宋体"/>
                <w:sz w:val="24"/>
                <w:lang w:val="en-US" w:eastAsia="zh-CN"/>
              </w:rPr>
            </w:pPr>
          </w:p>
          <w:p w14:paraId="7FA4F245">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6D0B459">
            <w:pPr>
              <w:pStyle w:val="2"/>
              <w:spacing w:line="480" w:lineRule="exact"/>
              <w:ind w:firstLine="0" w:firstLineChars="0"/>
              <w:jc w:val="center"/>
              <w:rPr>
                <w:rFonts w:eastAsia="宋体"/>
                <w:sz w:val="24"/>
                <w:lang w:val="en-US" w:eastAsia="zh-CN"/>
              </w:rPr>
            </w:pPr>
          </w:p>
          <w:p w14:paraId="7BE267DE">
            <w:pPr>
              <w:pStyle w:val="2"/>
              <w:spacing w:line="480" w:lineRule="exact"/>
              <w:ind w:firstLine="0" w:firstLineChars="0"/>
              <w:jc w:val="center"/>
              <w:rPr>
                <w:rFonts w:eastAsia="宋体"/>
                <w:sz w:val="24"/>
                <w:lang w:val="en-US" w:eastAsia="zh-CN"/>
              </w:rPr>
            </w:pPr>
          </w:p>
        </w:tc>
        <w:tc>
          <w:tcPr>
            <w:tcW w:w="7157" w:type="dxa"/>
            <w:gridSpan w:val="5"/>
            <w:vAlign w:val="center"/>
          </w:tcPr>
          <w:p w14:paraId="0A3096C6">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学生将深入理解：</w:t>
            </w:r>
          </w:p>
          <w:p w14:paraId="6FE3BA1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科学研究的本质及信息资源管理科学研究的主要范畴；</w:t>
            </w:r>
          </w:p>
          <w:p w14:paraId="7447E05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实证主义、解释主义和自然科学、人文社科研究的区别；</w:t>
            </w:r>
          </w:p>
          <w:p w14:paraId="46F663B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我国在人文社科研究方面的前期成果与成就；</w:t>
            </w:r>
          </w:p>
          <w:p w14:paraId="2206739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演绎、归纳和混合方法研究的设计和实施路径；</w:t>
            </w:r>
          </w:p>
          <w:p w14:paraId="2331756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定性研究数据的收集、分析和解释方法；</w:t>
            </w:r>
          </w:p>
          <w:p w14:paraId="5683FB7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定量研究数据的收集、分析和解释方法；</w:t>
            </w:r>
          </w:p>
          <w:p w14:paraId="58569FE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结合国家经济与社会发展需求进行研究问题的设计，并基于研究问题，选择合适的研究方法与技术路线。</w:t>
            </w:r>
          </w:p>
        </w:tc>
      </w:tr>
    </w:tbl>
    <w:p w14:paraId="6E13D247">
      <w:pPr>
        <w:spacing w:line="480" w:lineRule="exact"/>
        <w:ind w:firstLine="480" w:firstLineChars="200"/>
        <w:rPr>
          <w:sz w:val="24"/>
        </w:rPr>
      </w:pPr>
    </w:p>
    <w:p w14:paraId="582D274B">
      <w:pPr>
        <w:spacing w:line="480" w:lineRule="exact"/>
        <w:ind w:firstLine="480" w:firstLineChars="200"/>
        <w:rPr>
          <w:sz w:val="24"/>
        </w:rPr>
      </w:pPr>
      <w:r>
        <w:rPr>
          <w:sz w:val="24"/>
        </w:rPr>
        <w:t>二、课程基本内容（要求有一定的字数，不能过于简单）</w:t>
      </w:r>
    </w:p>
    <w:p w14:paraId="74EC761A">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64"/>
        <w:gridCol w:w="1363"/>
        <w:gridCol w:w="1240"/>
        <w:gridCol w:w="1160"/>
        <w:gridCol w:w="1365"/>
        <w:gridCol w:w="703"/>
        <w:gridCol w:w="1240"/>
      </w:tblGrid>
      <w:tr w14:paraId="30E375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7C9DC0B8">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79EAC1BE">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7F4D73D6">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ABAC6AB">
            <w:pPr>
              <w:jc w:val="center"/>
              <w:rPr>
                <w:rFonts w:hint="eastAsia"/>
                <w:b/>
                <w:bCs/>
                <w:sz w:val="24"/>
                <w:szCs w:val="20"/>
              </w:rPr>
            </w:pPr>
            <w:r>
              <w:rPr>
                <w:rFonts w:hint="eastAsia" w:ascii="24x12 宋体"/>
                <w:b/>
                <w:bCs/>
                <w:sz w:val="24"/>
                <w:szCs w:val="20"/>
              </w:rPr>
              <w:t>育人元素</w:t>
            </w:r>
          </w:p>
        </w:tc>
        <w:tc>
          <w:tcPr>
            <w:tcW w:w="1920" w:type="dxa"/>
            <w:vAlign w:val="center"/>
          </w:tcPr>
          <w:p w14:paraId="2245A00F">
            <w:pPr>
              <w:jc w:val="center"/>
              <w:rPr>
                <w:rFonts w:hint="eastAsia"/>
                <w:b/>
                <w:bCs/>
                <w:sz w:val="24"/>
                <w:szCs w:val="20"/>
              </w:rPr>
            </w:pPr>
            <w:r>
              <w:rPr>
                <w:rFonts w:hint="eastAsia" w:ascii="24x12 宋体"/>
                <w:b/>
                <w:bCs/>
                <w:sz w:val="24"/>
                <w:szCs w:val="20"/>
              </w:rPr>
              <w:t>重点、难点(选填)</w:t>
            </w:r>
          </w:p>
        </w:tc>
        <w:tc>
          <w:tcPr>
            <w:tcW w:w="1419" w:type="dxa"/>
            <w:vAlign w:val="center"/>
          </w:tcPr>
          <w:p w14:paraId="1CAEBF32">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A576729">
            <w:pPr>
              <w:jc w:val="center"/>
              <w:rPr>
                <w:rFonts w:hint="eastAsia"/>
                <w:b/>
                <w:bCs/>
                <w:sz w:val="24"/>
                <w:szCs w:val="20"/>
              </w:rPr>
            </w:pPr>
            <w:r>
              <w:rPr>
                <w:rFonts w:hint="eastAsia" w:ascii="24x12 宋体"/>
                <w:b/>
                <w:bCs/>
                <w:sz w:val="24"/>
                <w:szCs w:val="20"/>
              </w:rPr>
              <w:t>备注(选填)</w:t>
            </w:r>
          </w:p>
        </w:tc>
      </w:tr>
      <w:tr w14:paraId="7C64C0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0C27ABB">
            <w:pPr>
              <w:rPr>
                <w:rFonts w:ascii="宋体" w:hAnsi="宋体" w:eastAsia="宋体"/>
                <w:sz w:val="24"/>
                <w:szCs w:val="24"/>
              </w:rPr>
            </w:pPr>
            <w:r>
              <w:rPr>
                <w:rFonts w:hint="eastAsia" w:ascii="宋体" w:hAnsi="宋体" w:eastAsia="宋体"/>
                <w:sz w:val="24"/>
                <w:szCs w:val="24"/>
              </w:rPr>
              <w:t>1. 课程简介</w:t>
            </w:r>
          </w:p>
        </w:tc>
        <w:tc>
          <w:tcPr>
            <w:tcW w:w="5096" w:type="dxa"/>
            <w:vAlign w:val="center"/>
          </w:tcPr>
          <w:p w14:paraId="57A20424">
            <w:pPr>
              <w:rPr>
                <w:rFonts w:ascii="宋体" w:hAnsi="宋体" w:eastAsia="宋体"/>
                <w:sz w:val="24"/>
                <w:szCs w:val="24"/>
              </w:rPr>
            </w:pPr>
            <w:r>
              <w:rPr>
                <w:rFonts w:hint="eastAsia" w:ascii="宋体" w:hAnsi="宋体" w:eastAsia="宋体"/>
                <w:sz w:val="24"/>
                <w:szCs w:val="24"/>
              </w:rPr>
              <w:t>科学研究本质论述；实证主义、解释主义和自然科学、人文社科研究的对比</w:t>
            </w:r>
          </w:p>
        </w:tc>
        <w:tc>
          <w:tcPr>
            <w:tcW w:w="5096" w:type="dxa"/>
            <w:vAlign w:val="center"/>
          </w:tcPr>
          <w:p w14:paraId="6DB85D9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63A8E19">
            <w:pPr>
              <w:rPr>
                <w:rFonts w:ascii="宋体" w:hAnsi="宋体" w:eastAsia="宋体"/>
                <w:sz w:val="24"/>
                <w:szCs w:val="24"/>
              </w:rPr>
            </w:pPr>
          </w:p>
        </w:tc>
        <w:tc>
          <w:tcPr>
            <w:tcW w:w="5096" w:type="dxa"/>
            <w:vAlign w:val="center"/>
          </w:tcPr>
          <w:p w14:paraId="1AA2B04F">
            <w:pPr>
              <w:rPr>
                <w:rFonts w:ascii="宋体" w:hAnsi="宋体" w:eastAsia="宋体"/>
                <w:sz w:val="24"/>
                <w:szCs w:val="24"/>
              </w:rPr>
            </w:pPr>
          </w:p>
        </w:tc>
        <w:tc>
          <w:tcPr>
            <w:tcW w:w="1555" w:type="dxa"/>
            <w:vMerge w:val="restart"/>
            <w:vAlign w:val="center"/>
          </w:tcPr>
          <w:p w14:paraId="15C8F4DC">
            <w:pPr>
              <w:jc w:val="center"/>
              <w:rPr>
                <w:rFonts w:ascii="宋体" w:hAnsi="宋体" w:eastAsia="宋体"/>
                <w:sz w:val="24"/>
                <w:szCs w:val="24"/>
              </w:rPr>
            </w:pPr>
          </w:p>
        </w:tc>
        <w:tc>
          <w:tcPr>
            <w:tcW w:w="5096" w:type="dxa"/>
            <w:vAlign w:val="center"/>
          </w:tcPr>
          <w:p w14:paraId="5ECD510A">
            <w:pPr>
              <w:rPr>
                <w:rFonts w:ascii="宋体" w:hAnsi="宋体" w:eastAsia="宋体"/>
                <w:sz w:val="24"/>
                <w:szCs w:val="24"/>
              </w:rPr>
            </w:pPr>
          </w:p>
        </w:tc>
      </w:tr>
      <w:tr w14:paraId="2F390B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93F788">
            <w:pPr>
              <w:rPr>
                <w:rFonts w:ascii="宋体" w:hAnsi="宋体" w:eastAsia="宋体"/>
                <w:sz w:val="24"/>
                <w:szCs w:val="24"/>
              </w:rPr>
            </w:pPr>
            <w:r>
              <w:rPr>
                <w:rFonts w:hint="eastAsia" w:ascii="宋体" w:hAnsi="宋体" w:eastAsia="宋体"/>
                <w:sz w:val="24"/>
                <w:szCs w:val="24"/>
              </w:rPr>
              <w:t>2. 演绎及归纳研究</w:t>
            </w:r>
          </w:p>
        </w:tc>
        <w:tc>
          <w:tcPr>
            <w:tcW w:w="5096" w:type="dxa"/>
            <w:vAlign w:val="center"/>
          </w:tcPr>
          <w:p w14:paraId="63EC6E3D">
            <w:pPr>
              <w:rPr>
                <w:rFonts w:ascii="宋体" w:hAnsi="宋体" w:eastAsia="宋体"/>
                <w:sz w:val="24"/>
                <w:szCs w:val="24"/>
              </w:rPr>
            </w:pPr>
            <w:r>
              <w:rPr>
                <w:rFonts w:hint="eastAsia" w:ascii="宋体" w:hAnsi="宋体" w:eastAsia="宋体"/>
                <w:sz w:val="24"/>
                <w:szCs w:val="24"/>
              </w:rPr>
              <w:t>演绎及归纳研究的设计和实施路径</w:t>
            </w:r>
          </w:p>
        </w:tc>
        <w:tc>
          <w:tcPr>
            <w:tcW w:w="5096" w:type="dxa"/>
            <w:vAlign w:val="center"/>
          </w:tcPr>
          <w:p w14:paraId="7AF8E4F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12D8227">
            <w:pPr>
              <w:rPr>
                <w:rFonts w:ascii="宋体" w:hAnsi="宋体" w:eastAsia="宋体"/>
                <w:sz w:val="24"/>
                <w:szCs w:val="24"/>
              </w:rPr>
            </w:pPr>
            <w:r>
              <w:rPr>
                <w:rFonts w:hint="eastAsia" w:ascii="宋体" w:hAnsi="宋体" w:eastAsia="宋体"/>
                <w:sz w:val="24"/>
                <w:szCs w:val="24"/>
              </w:rPr>
              <w:t>我国在人文社科研究方面的前期成果与成就</w:t>
            </w:r>
          </w:p>
        </w:tc>
        <w:tc>
          <w:tcPr>
            <w:tcW w:w="5096" w:type="dxa"/>
            <w:vAlign w:val="center"/>
          </w:tcPr>
          <w:p w14:paraId="57EFCF37">
            <w:pPr>
              <w:rPr>
                <w:rFonts w:ascii="宋体" w:hAnsi="宋体" w:eastAsia="宋体"/>
                <w:sz w:val="24"/>
                <w:szCs w:val="24"/>
              </w:rPr>
            </w:pPr>
          </w:p>
        </w:tc>
        <w:tc>
          <w:tcPr>
            <w:tcW w:w="1555" w:type="dxa"/>
            <w:vMerge w:val="restart"/>
            <w:vAlign w:val="center"/>
          </w:tcPr>
          <w:p w14:paraId="3DF7D48B">
            <w:pPr>
              <w:jc w:val="center"/>
              <w:rPr>
                <w:rFonts w:ascii="宋体" w:hAnsi="宋体" w:eastAsia="宋体"/>
                <w:sz w:val="24"/>
                <w:szCs w:val="24"/>
              </w:rPr>
            </w:pPr>
          </w:p>
        </w:tc>
        <w:tc>
          <w:tcPr>
            <w:tcW w:w="5096" w:type="dxa"/>
            <w:vAlign w:val="center"/>
          </w:tcPr>
          <w:p w14:paraId="5BE400DD">
            <w:pPr>
              <w:rPr>
                <w:rFonts w:ascii="宋体" w:hAnsi="宋体" w:eastAsia="宋体"/>
                <w:sz w:val="24"/>
                <w:szCs w:val="24"/>
              </w:rPr>
            </w:pPr>
          </w:p>
        </w:tc>
      </w:tr>
      <w:tr w14:paraId="6F43258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DD6078">
            <w:pPr>
              <w:rPr>
                <w:rFonts w:ascii="宋体" w:hAnsi="宋体" w:eastAsia="宋体"/>
                <w:sz w:val="24"/>
                <w:szCs w:val="24"/>
              </w:rPr>
            </w:pPr>
            <w:r>
              <w:rPr>
                <w:rFonts w:hint="eastAsia" w:ascii="宋体" w:hAnsi="宋体" w:eastAsia="宋体"/>
                <w:sz w:val="24"/>
                <w:szCs w:val="24"/>
              </w:rPr>
              <w:t>3. 混合研究法</w:t>
            </w:r>
          </w:p>
        </w:tc>
        <w:tc>
          <w:tcPr>
            <w:tcW w:w="5096" w:type="dxa"/>
            <w:vAlign w:val="center"/>
          </w:tcPr>
          <w:p w14:paraId="29061837">
            <w:pPr>
              <w:rPr>
                <w:rFonts w:ascii="宋体" w:hAnsi="宋体" w:eastAsia="宋体"/>
                <w:sz w:val="24"/>
                <w:szCs w:val="24"/>
              </w:rPr>
            </w:pPr>
            <w:r>
              <w:rPr>
                <w:rFonts w:hint="eastAsia" w:ascii="宋体" w:hAnsi="宋体" w:eastAsia="宋体"/>
                <w:sz w:val="24"/>
                <w:szCs w:val="24"/>
              </w:rPr>
              <w:t>混合方法研究的设计和实施路径</w:t>
            </w:r>
          </w:p>
        </w:tc>
        <w:tc>
          <w:tcPr>
            <w:tcW w:w="5096" w:type="dxa"/>
            <w:vAlign w:val="center"/>
          </w:tcPr>
          <w:p w14:paraId="599ECEF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22B7AA4">
            <w:pPr>
              <w:rPr>
                <w:rFonts w:ascii="宋体" w:hAnsi="宋体" w:eastAsia="宋体"/>
                <w:sz w:val="24"/>
                <w:szCs w:val="24"/>
              </w:rPr>
            </w:pPr>
          </w:p>
        </w:tc>
        <w:tc>
          <w:tcPr>
            <w:tcW w:w="5096" w:type="dxa"/>
            <w:vAlign w:val="center"/>
          </w:tcPr>
          <w:p w14:paraId="3AC5D84D">
            <w:pPr>
              <w:rPr>
                <w:rFonts w:ascii="宋体" w:hAnsi="宋体" w:eastAsia="宋体"/>
                <w:sz w:val="24"/>
                <w:szCs w:val="24"/>
              </w:rPr>
            </w:pPr>
          </w:p>
        </w:tc>
        <w:tc>
          <w:tcPr>
            <w:tcW w:w="1555" w:type="dxa"/>
            <w:vMerge w:val="restart"/>
            <w:vAlign w:val="center"/>
          </w:tcPr>
          <w:p w14:paraId="76A9F5A9">
            <w:pPr>
              <w:jc w:val="center"/>
              <w:rPr>
                <w:rFonts w:ascii="宋体" w:hAnsi="宋体" w:eastAsia="宋体"/>
                <w:sz w:val="24"/>
                <w:szCs w:val="24"/>
              </w:rPr>
            </w:pPr>
          </w:p>
        </w:tc>
        <w:tc>
          <w:tcPr>
            <w:tcW w:w="5096" w:type="dxa"/>
            <w:vAlign w:val="center"/>
          </w:tcPr>
          <w:p w14:paraId="404D9E03">
            <w:pPr>
              <w:rPr>
                <w:rFonts w:ascii="宋体" w:hAnsi="宋体" w:eastAsia="宋体"/>
                <w:sz w:val="24"/>
                <w:szCs w:val="24"/>
              </w:rPr>
            </w:pPr>
          </w:p>
        </w:tc>
      </w:tr>
      <w:tr w14:paraId="0785F4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550000">
            <w:pPr>
              <w:rPr>
                <w:rFonts w:ascii="宋体" w:hAnsi="宋体" w:eastAsia="宋体"/>
                <w:sz w:val="24"/>
                <w:szCs w:val="24"/>
              </w:rPr>
            </w:pPr>
            <w:r>
              <w:rPr>
                <w:rFonts w:hint="eastAsia" w:ascii="宋体" w:hAnsi="宋体" w:eastAsia="宋体"/>
                <w:sz w:val="24"/>
                <w:szCs w:val="24"/>
              </w:rPr>
              <w:t>4. 定量研究</w:t>
            </w:r>
          </w:p>
        </w:tc>
        <w:tc>
          <w:tcPr>
            <w:tcW w:w="5096" w:type="dxa"/>
            <w:vAlign w:val="center"/>
          </w:tcPr>
          <w:p w14:paraId="19AA2019">
            <w:pPr>
              <w:rPr>
                <w:rFonts w:ascii="宋体" w:hAnsi="宋体" w:eastAsia="宋体"/>
                <w:sz w:val="24"/>
                <w:szCs w:val="24"/>
              </w:rPr>
            </w:pPr>
            <w:r>
              <w:rPr>
                <w:rFonts w:hint="eastAsia" w:ascii="宋体" w:hAnsi="宋体" w:eastAsia="宋体"/>
                <w:sz w:val="24"/>
                <w:szCs w:val="24"/>
              </w:rPr>
              <w:t>定量数据采集与分析方法的介绍与实践练习</w:t>
            </w:r>
          </w:p>
        </w:tc>
        <w:tc>
          <w:tcPr>
            <w:tcW w:w="5096" w:type="dxa"/>
            <w:vAlign w:val="center"/>
          </w:tcPr>
          <w:p w14:paraId="4EBC3F7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9E6A93A">
            <w:pPr>
              <w:rPr>
                <w:rFonts w:ascii="宋体" w:hAnsi="宋体" w:eastAsia="宋体"/>
                <w:sz w:val="24"/>
                <w:szCs w:val="24"/>
              </w:rPr>
            </w:pPr>
            <w:r>
              <w:rPr>
                <w:rFonts w:hint="eastAsia" w:ascii="宋体" w:hAnsi="宋体" w:eastAsia="宋体"/>
                <w:sz w:val="24"/>
                <w:szCs w:val="24"/>
              </w:rPr>
              <w:t>我国定量研究的典型案例</w:t>
            </w:r>
          </w:p>
        </w:tc>
        <w:tc>
          <w:tcPr>
            <w:tcW w:w="5096" w:type="dxa"/>
            <w:vAlign w:val="center"/>
          </w:tcPr>
          <w:p w14:paraId="2DDA44ED">
            <w:pPr>
              <w:rPr>
                <w:rFonts w:ascii="宋体" w:hAnsi="宋体" w:eastAsia="宋体"/>
                <w:sz w:val="24"/>
                <w:szCs w:val="24"/>
              </w:rPr>
            </w:pPr>
          </w:p>
        </w:tc>
        <w:tc>
          <w:tcPr>
            <w:tcW w:w="1555" w:type="dxa"/>
            <w:vMerge w:val="restart"/>
            <w:vAlign w:val="center"/>
          </w:tcPr>
          <w:p w14:paraId="5E5FF623">
            <w:pPr>
              <w:jc w:val="center"/>
              <w:rPr>
                <w:rFonts w:ascii="宋体" w:hAnsi="宋体" w:eastAsia="宋体"/>
                <w:sz w:val="24"/>
                <w:szCs w:val="24"/>
              </w:rPr>
            </w:pPr>
          </w:p>
        </w:tc>
        <w:tc>
          <w:tcPr>
            <w:tcW w:w="5096" w:type="dxa"/>
            <w:vAlign w:val="center"/>
          </w:tcPr>
          <w:p w14:paraId="51270EFF">
            <w:pPr>
              <w:rPr>
                <w:rFonts w:ascii="宋体" w:hAnsi="宋体" w:eastAsia="宋体"/>
                <w:sz w:val="24"/>
                <w:szCs w:val="24"/>
              </w:rPr>
            </w:pPr>
          </w:p>
        </w:tc>
      </w:tr>
      <w:tr w14:paraId="375FFC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0E0EC1">
            <w:pPr>
              <w:rPr>
                <w:rFonts w:ascii="宋体" w:hAnsi="宋体" w:eastAsia="宋体"/>
                <w:sz w:val="24"/>
                <w:szCs w:val="24"/>
              </w:rPr>
            </w:pPr>
            <w:r>
              <w:rPr>
                <w:rFonts w:hint="eastAsia" w:ascii="宋体" w:hAnsi="宋体" w:eastAsia="宋体"/>
                <w:sz w:val="24"/>
                <w:szCs w:val="24"/>
              </w:rPr>
              <w:t>5. 定性研究</w:t>
            </w:r>
          </w:p>
        </w:tc>
        <w:tc>
          <w:tcPr>
            <w:tcW w:w="5096" w:type="dxa"/>
            <w:vAlign w:val="center"/>
          </w:tcPr>
          <w:p w14:paraId="3EE0B609">
            <w:pPr>
              <w:rPr>
                <w:rFonts w:ascii="宋体" w:hAnsi="宋体" w:eastAsia="宋体"/>
                <w:sz w:val="24"/>
                <w:szCs w:val="24"/>
              </w:rPr>
            </w:pPr>
            <w:r>
              <w:rPr>
                <w:rFonts w:hint="eastAsia" w:ascii="宋体" w:hAnsi="宋体" w:eastAsia="宋体"/>
                <w:sz w:val="24"/>
                <w:szCs w:val="24"/>
              </w:rPr>
              <w:t>定性数据采集与分析方法的介绍与实践练习</w:t>
            </w:r>
          </w:p>
        </w:tc>
        <w:tc>
          <w:tcPr>
            <w:tcW w:w="5096" w:type="dxa"/>
            <w:vAlign w:val="center"/>
          </w:tcPr>
          <w:p w14:paraId="4B19EDA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BAA8A29">
            <w:pPr>
              <w:rPr>
                <w:rFonts w:ascii="宋体" w:hAnsi="宋体" w:eastAsia="宋体"/>
                <w:sz w:val="24"/>
                <w:szCs w:val="24"/>
              </w:rPr>
            </w:pPr>
            <w:r>
              <w:rPr>
                <w:rFonts w:hint="eastAsia" w:ascii="宋体" w:hAnsi="宋体" w:eastAsia="宋体"/>
                <w:sz w:val="24"/>
                <w:szCs w:val="24"/>
              </w:rPr>
              <w:t>我国定性研究的典型案例</w:t>
            </w:r>
          </w:p>
        </w:tc>
        <w:tc>
          <w:tcPr>
            <w:tcW w:w="5096" w:type="dxa"/>
            <w:vAlign w:val="center"/>
          </w:tcPr>
          <w:p w14:paraId="23AB931A">
            <w:pPr>
              <w:rPr>
                <w:rFonts w:ascii="宋体" w:hAnsi="宋体" w:eastAsia="宋体"/>
                <w:sz w:val="24"/>
                <w:szCs w:val="24"/>
              </w:rPr>
            </w:pPr>
          </w:p>
        </w:tc>
        <w:tc>
          <w:tcPr>
            <w:tcW w:w="1555" w:type="dxa"/>
            <w:vMerge w:val="restart"/>
            <w:vAlign w:val="center"/>
          </w:tcPr>
          <w:p w14:paraId="72EA2E64">
            <w:pPr>
              <w:jc w:val="center"/>
              <w:rPr>
                <w:rFonts w:ascii="宋体" w:hAnsi="宋体" w:eastAsia="宋体"/>
                <w:sz w:val="24"/>
                <w:szCs w:val="24"/>
              </w:rPr>
            </w:pPr>
          </w:p>
        </w:tc>
        <w:tc>
          <w:tcPr>
            <w:tcW w:w="5096" w:type="dxa"/>
            <w:vAlign w:val="center"/>
          </w:tcPr>
          <w:p w14:paraId="474F976A">
            <w:pPr>
              <w:rPr>
                <w:rFonts w:ascii="宋体" w:hAnsi="宋体" w:eastAsia="宋体"/>
                <w:sz w:val="24"/>
                <w:szCs w:val="24"/>
              </w:rPr>
            </w:pPr>
          </w:p>
        </w:tc>
      </w:tr>
      <w:tr w14:paraId="3701F0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05AA961">
            <w:pPr>
              <w:rPr>
                <w:rFonts w:ascii="宋体" w:hAnsi="宋体" w:eastAsia="宋体"/>
                <w:sz w:val="24"/>
                <w:szCs w:val="24"/>
              </w:rPr>
            </w:pPr>
            <w:r>
              <w:rPr>
                <w:rFonts w:hint="eastAsia" w:ascii="宋体" w:hAnsi="宋体" w:eastAsia="宋体"/>
                <w:sz w:val="24"/>
                <w:szCs w:val="24"/>
              </w:rPr>
              <w:t>6. 研究问题VS研究方法</w:t>
            </w:r>
          </w:p>
        </w:tc>
        <w:tc>
          <w:tcPr>
            <w:tcW w:w="5096" w:type="dxa"/>
            <w:vAlign w:val="center"/>
          </w:tcPr>
          <w:p w14:paraId="3850C7D4">
            <w:pPr>
              <w:rPr>
                <w:rFonts w:ascii="宋体" w:hAnsi="宋体" w:eastAsia="宋体"/>
                <w:sz w:val="24"/>
                <w:szCs w:val="24"/>
              </w:rPr>
            </w:pPr>
            <w:r>
              <w:rPr>
                <w:rFonts w:hint="eastAsia" w:ascii="宋体" w:hAnsi="宋体" w:eastAsia="宋体"/>
                <w:sz w:val="24"/>
                <w:szCs w:val="24"/>
              </w:rPr>
              <w:t>研究问题的设计及研究方法的选择</w:t>
            </w:r>
          </w:p>
        </w:tc>
        <w:tc>
          <w:tcPr>
            <w:tcW w:w="5096" w:type="dxa"/>
            <w:vAlign w:val="center"/>
          </w:tcPr>
          <w:p w14:paraId="5B878D3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3A15B50">
            <w:pPr>
              <w:rPr>
                <w:rFonts w:ascii="宋体" w:hAnsi="宋体" w:eastAsia="宋体"/>
                <w:sz w:val="24"/>
                <w:szCs w:val="24"/>
              </w:rPr>
            </w:pPr>
            <w:r>
              <w:rPr>
                <w:rFonts w:hint="eastAsia" w:ascii="宋体" w:hAnsi="宋体" w:eastAsia="宋体"/>
                <w:sz w:val="24"/>
                <w:szCs w:val="24"/>
              </w:rPr>
              <w:t>结合国家经济与社会发展需求进行研究问题的设计及研究方法的选择</w:t>
            </w:r>
          </w:p>
        </w:tc>
        <w:tc>
          <w:tcPr>
            <w:tcW w:w="5096" w:type="dxa"/>
            <w:vAlign w:val="center"/>
          </w:tcPr>
          <w:p w14:paraId="6075A31A">
            <w:pPr>
              <w:rPr>
                <w:rFonts w:ascii="宋体" w:hAnsi="宋体" w:eastAsia="宋体"/>
                <w:sz w:val="24"/>
                <w:szCs w:val="24"/>
              </w:rPr>
            </w:pPr>
          </w:p>
        </w:tc>
        <w:tc>
          <w:tcPr>
            <w:tcW w:w="1555" w:type="dxa"/>
            <w:vAlign w:val="center"/>
          </w:tcPr>
          <w:p w14:paraId="263CD508">
            <w:pPr>
              <w:jc w:val="center"/>
              <w:rPr>
                <w:rFonts w:ascii="宋体" w:hAnsi="宋体" w:eastAsia="宋体"/>
                <w:sz w:val="24"/>
                <w:szCs w:val="24"/>
              </w:rPr>
            </w:pPr>
          </w:p>
        </w:tc>
        <w:tc>
          <w:tcPr>
            <w:tcW w:w="5096" w:type="dxa"/>
            <w:vAlign w:val="center"/>
          </w:tcPr>
          <w:p w14:paraId="45291D55">
            <w:pPr>
              <w:rPr>
                <w:rFonts w:ascii="宋体" w:hAnsi="宋体" w:eastAsia="宋体"/>
                <w:sz w:val="24"/>
                <w:szCs w:val="24"/>
              </w:rPr>
            </w:pPr>
          </w:p>
        </w:tc>
      </w:tr>
    </w:tbl>
    <w:p w14:paraId="339F9405">
      <w:pPr>
        <w:spacing w:line="480" w:lineRule="exact"/>
        <w:ind w:firstLine="360" w:firstLineChars="150"/>
        <w:rPr>
          <w:rFonts w:hint="eastAsia"/>
          <w:sz w:val="24"/>
        </w:rPr>
      </w:pPr>
      <w:r>
        <w:rPr>
          <w:sz w:val="24"/>
        </w:rPr>
        <w:t>合计:18</w:t>
      </w:r>
    </w:p>
    <w:p w14:paraId="2947B28A">
      <w:pPr>
        <w:spacing w:line="480" w:lineRule="exact"/>
        <w:rPr>
          <w:sz w:val="24"/>
        </w:rPr>
      </w:pPr>
    </w:p>
    <w:p w14:paraId="69A67A39">
      <w:pPr>
        <w:spacing w:line="480" w:lineRule="exact"/>
        <w:rPr>
          <w:rFonts w:hint="eastAsia"/>
          <w:sz w:val="24"/>
        </w:rPr>
      </w:pPr>
    </w:p>
    <w:p w14:paraId="6D7EE6D3">
      <w:pPr>
        <w:spacing w:line="480" w:lineRule="exact"/>
        <w:ind w:firstLine="480" w:firstLineChars="200"/>
        <w:rPr>
          <w:sz w:val="24"/>
        </w:rPr>
      </w:pPr>
      <w:r>
        <w:rPr>
          <w:sz w:val="24"/>
        </w:rPr>
        <w:t>（二）</w:t>
      </w:r>
      <w:r>
        <w:rPr>
          <w:b/>
          <w:sz w:val="24"/>
        </w:rPr>
        <w:t>教学环节安排</w:t>
      </w:r>
    </w:p>
    <w:p w14:paraId="54A1158A">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62F55CA6">
      <w:pPr>
        <w:spacing w:line="480" w:lineRule="exact"/>
        <w:ind w:firstLine="360" w:firstLineChars="150"/>
        <w:rPr>
          <w:rFonts w:hint="eastAsia"/>
          <w:sz w:val="24"/>
        </w:rPr>
      </w:pPr>
      <w:r>
        <w:rPr>
          <w:sz w:val="24"/>
        </w:rPr>
        <w:t>根据教学进度表开展相关教学环节。</w:t>
      </w:r>
    </w:p>
    <w:p w14:paraId="0B106AEB">
      <w:pPr>
        <w:spacing w:line="480" w:lineRule="exact"/>
        <w:rPr>
          <w:sz w:val="24"/>
        </w:rPr>
      </w:pPr>
    </w:p>
    <w:p w14:paraId="1BA1DECE">
      <w:pPr>
        <w:spacing w:line="480" w:lineRule="exact"/>
        <w:ind w:firstLine="480" w:firstLineChars="200"/>
        <w:rPr>
          <w:rFonts w:hint="eastAsia"/>
          <w:sz w:val="24"/>
        </w:rPr>
      </w:pPr>
      <w:r>
        <w:rPr>
          <w:sz w:val="24"/>
        </w:rPr>
        <w:t>（三）</w:t>
      </w:r>
      <w:r>
        <w:rPr>
          <w:b/>
          <w:sz w:val="24"/>
        </w:rPr>
        <w:t>教学方法</w:t>
      </w:r>
    </w:p>
    <w:p w14:paraId="30231AF5">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57B162A3">
      <w:pPr>
        <w:spacing w:line="480" w:lineRule="exact"/>
        <w:ind w:firstLine="360" w:firstLineChars="150"/>
        <w:rPr>
          <w:rFonts w:hint="eastAsia"/>
          <w:sz w:val="24"/>
        </w:rPr>
      </w:pPr>
      <w:r>
        <w:rPr>
          <w:sz w:val="24"/>
        </w:rPr>
        <w:t>课堂讲授、提问研讨、小组研讨</w:t>
      </w:r>
    </w:p>
    <w:p w14:paraId="7F326261">
      <w:pPr>
        <w:spacing w:line="480" w:lineRule="exact"/>
        <w:ind w:firstLine="360" w:firstLineChars="150"/>
        <w:rPr>
          <w:sz w:val="24"/>
        </w:rPr>
      </w:pPr>
    </w:p>
    <w:p w14:paraId="6AC791F5">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BD76226">
      <w:pPr>
        <w:spacing w:line="480" w:lineRule="exact"/>
        <w:ind w:firstLine="360" w:firstLineChars="150"/>
        <w:rPr>
          <w:sz w:val="24"/>
        </w:rPr>
      </w:pPr>
      <w:r>
        <w:rPr>
          <w:rFonts w:hint="eastAsia"/>
          <w:sz w:val="24"/>
        </w:rPr>
        <w:t>Saunders. M.; Lewis, P. Thornhill, A.  (2015) Research Methods for Business Students (7th Edition). London, England: Pearson.</w:t>
      </w:r>
    </w:p>
    <w:p w14:paraId="6D6F52F7">
      <w:pPr>
        <w:spacing w:line="480" w:lineRule="exact"/>
        <w:ind w:firstLine="360" w:firstLineChars="150"/>
        <w:rPr>
          <w:sz w:val="24"/>
        </w:rPr>
      </w:pPr>
    </w:p>
    <w:p w14:paraId="7E9C257E">
      <w:pPr>
        <w:spacing w:line="480" w:lineRule="exact"/>
        <w:ind w:firstLine="480" w:firstLineChars="200"/>
        <w:rPr>
          <w:sz w:val="24"/>
        </w:rPr>
      </w:pPr>
      <w:r>
        <w:rPr>
          <w:sz w:val="24"/>
        </w:rPr>
        <w:t>（五）</w:t>
      </w:r>
      <w:r>
        <w:rPr>
          <w:b/>
          <w:sz w:val="24"/>
        </w:rPr>
        <w:t>主要参考书目</w:t>
      </w:r>
    </w:p>
    <w:p w14:paraId="096F7E57">
      <w:pPr>
        <w:spacing w:line="480" w:lineRule="exact"/>
        <w:ind w:firstLine="482" w:firstLineChars="200"/>
        <w:rPr>
          <w:sz w:val="24"/>
        </w:rPr>
      </w:pPr>
      <w:r>
        <w:rPr>
          <w:b/>
          <w:sz w:val="24"/>
        </w:rPr>
        <w:t>（推荐若干参考书，并注明书名、作者、出版社、版本、出版日期等，每个章节指定一定数量、明确的阅读资料）</w:t>
      </w:r>
    </w:p>
    <w:p w14:paraId="4C690EAB">
      <w:pPr>
        <w:spacing w:line="480" w:lineRule="exact"/>
        <w:ind w:firstLine="360" w:firstLineChars="150"/>
        <w:rPr>
          <w:sz w:val="24"/>
        </w:rPr>
      </w:pPr>
      <w:r>
        <w:rPr>
          <w:rFonts w:hint="eastAsia"/>
          <w:sz w:val="24"/>
        </w:rPr>
        <w:t>Blastland, M. &amp; Dilnot, A. (2008). The tiger that isn’t.  London, England: Profile Book</w:t>
      </w:r>
    </w:p>
    <w:p w14:paraId="7DF8D8D6">
      <w:pPr>
        <w:spacing w:line="480" w:lineRule="exact"/>
        <w:ind w:firstLine="360" w:firstLineChars="150"/>
        <w:rPr>
          <w:sz w:val="24"/>
        </w:rPr>
      </w:pPr>
      <w:r>
        <w:rPr>
          <w:rFonts w:hint="eastAsia"/>
          <w:sz w:val="24"/>
        </w:rPr>
        <w:t>Bryman, A. (2008). Social research methods.  (4th edition). Oxford, England: Oxford University Press</w:t>
      </w:r>
    </w:p>
    <w:p w14:paraId="12CE1AF5">
      <w:pPr>
        <w:spacing w:line="480" w:lineRule="exact"/>
        <w:ind w:firstLine="360" w:firstLineChars="150"/>
        <w:rPr>
          <w:sz w:val="24"/>
        </w:rPr>
      </w:pPr>
      <w:r>
        <w:rPr>
          <w:rFonts w:hint="eastAsia"/>
          <w:sz w:val="24"/>
        </w:rPr>
        <w:t>Creswell, J.W. (2009) Research design: qualitative, quantitative, and mixed methods approaches. (3rd edition). London, England: Sage.</w:t>
      </w:r>
    </w:p>
    <w:p w14:paraId="41D2F177">
      <w:pPr>
        <w:spacing w:line="480" w:lineRule="exact"/>
        <w:ind w:firstLine="480" w:firstLineChars="200"/>
        <w:rPr>
          <w:sz w:val="24"/>
        </w:rPr>
      </w:pPr>
      <w:r>
        <w:rPr>
          <w:sz w:val="24"/>
        </w:rPr>
        <w:t>（六）</w:t>
      </w:r>
      <w:r>
        <w:rPr>
          <w:b/>
          <w:sz w:val="24"/>
        </w:rPr>
        <w:t>成绩评定方式</w:t>
      </w:r>
    </w:p>
    <w:p w14:paraId="1C7B9E96">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C327121">
      <w:pPr>
        <w:spacing w:line="480" w:lineRule="exact"/>
        <w:ind w:firstLine="482" w:firstLineChars="200"/>
        <w:rPr>
          <w:sz w:val="24"/>
        </w:rPr>
      </w:pPr>
      <w:r>
        <w:rPr>
          <w:rFonts w:hint="eastAsia"/>
          <w:b/>
          <w:sz w:val="24"/>
        </w:rPr>
        <w:t>考 核 方 式：考查</w:t>
      </w:r>
    </w:p>
    <w:p w14:paraId="7FA1463C">
      <w:pPr>
        <w:spacing w:line="480" w:lineRule="exact"/>
        <w:ind w:firstLine="482" w:firstLineChars="200"/>
        <w:rPr>
          <w:sz w:val="24"/>
        </w:rPr>
      </w:pPr>
      <w:r>
        <w:rPr>
          <w:rFonts w:hint="eastAsia"/>
          <w:b/>
          <w:sz w:val="24"/>
        </w:rPr>
        <w:t>成绩录入方式： 百分制</w:t>
      </w:r>
    </w:p>
    <w:p w14:paraId="384E8C84">
      <w:pPr>
        <w:spacing w:line="480" w:lineRule="exact"/>
        <w:ind w:firstLine="360" w:firstLineChars="150"/>
        <w:rPr>
          <w:sz w:val="24"/>
        </w:rPr>
      </w:pPr>
      <w:r>
        <w:rPr>
          <w:rFonts w:hint="eastAsia"/>
          <w:sz w:val="24"/>
        </w:rPr>
        <w:t>平时成绩（占50%）=考勤（10%）+研究方法汇报（40%）</w:t>
      </w:r>
    </w:p>
    <w:p w14:paraId="35AF43CA">
      <w:pPr>
        <w:spacing w:line="480" w:lineRule="exact"/>
        <w:ind w:firstLine="360" w:firstLineChars="150"/>
        <w:rPr>
          <w:sz w:val="24"/>
        </w:rPr>
      </w:pPr>
      <w:r>
        <w:rPr>
          <w:rFonts w:hint="eastAsia"/>
          <w:sz w:val="24"/>
        </w:rPr>
        <w:t>期末考查（占50%）=研究方法报告，重点考查研究问题的意义及研究方法的合理性、实操性。</w:t>
      </w:r>
    </w:p>
    <w:p w14:paraId="3D6D6754">
      <w:pPr>
        <w:spacing w:line="480" w:lineRule="exact"/>
        <w:rPr>
          <w:sz w:val="24"/>
        </w:rPr>
      </w:pPr>
    </w:p>
    <w:p w14:paraId="726E83E6">
      <w:pPr>
        <w:spacing w:line="480" w:lineRule="exact"/>
        <w:rPr>
          <w:sz w:val="24"/>
        </w:rPr>
      </w:pPr>
    </w:p>
    <w:p w14:paraId="4F16B7E2">
      <w:pPr>
        <w:spacing w:line="480" w:lineRule="exact"/>
        <w:rPr>
          <w:sz w:val="24"/>
        </w:rPr>
      </w:pPr>
    </w:p>
    <w:p w14:paraId="0438DD10">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D591836"/>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5</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2026-04-12T06:23:46Z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7A94D3D9A8E24119A8F246D3E103CFE5_13</vt:lpwstr>
  </property>
</Properties>
</file>