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E94A5">
      <w:pPr>
        <w:spacing w:line="480" w:lineRule="exact"/>
        <w:rPr>
          <w:sz w:val="24"/>
        </w:rPr>
      </w:pPr>
      <w:bookmarkStart w:id="0" w:name="_GoBack"/>
      <w:bookmarkEnd w:id="0"/>
    </w:p>
    <w:p w14:paraId="2E0A6138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11D97018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5FFF70B5">
      <w:pPr>
        <w:spacing w:line="1480" w:lineRule="exact"/>
        <w:jc w:val="center"/>
        <w:rPr>
          <w:sz w:val="52"/>
        </w:rPr>
      </w:pPr>
    </w:p>
    <w:p w14:paraId="40B7D5BD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3980A9AC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161E3A76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信息用户与参考咨询服务</w:t>
      </w:r>
    </w:p>
    <w:p w14:paraId="2E0E225D">
      <w:pPr>
        <w:spacing w:line="900" w:lineRule="exact"/>
        <w:ind w:firstLine="3600" w:firstLineChars="1200"/>
        <w:rPr>
          <w:sz w:val="30"/>
        </w:rPr>
      </w:pPr>
    </w:p>
    <w:p w14:paraId="6416865B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EEF4036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0434BA5E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245864F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46A44BF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23E9449F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437E8BDF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1542EE2E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7F4017E8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35B0F1FE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2C305FA6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495FBE89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594CD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7FECD8E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6E642BE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信息用户与参考咨询服务</w:t>
            </w:r>
          </w:p>
          <w:p w14:paraId="6F1DF20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Information User and Consultation Service</w:t>
            </w:r>
          </w:p>
          <w:p w14:paraId="02118C2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2DADD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2FFAB2BD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27D048A5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</w:t>
            </w:r>
          </w:p>
        </w:tc>
        <w:tc>
          <w:tcPr>
            <w:tcW w:w="1598" w:type="dxa"/>
            <w:vAlign w:val="center"/>
          </w:tcPr>
          <w:p w14:paraId="2EB0F042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2B8E085F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IM439</w:t>
            </w:r>
          </w:p>
        </w:tc>
        <w:tc>
          <w:tcPr>
            <w:tcW w:w="1400" w:type="dxa"/>
            <w:vAlign w:val="center"/>
          </w:tcPr>
          <w:p w14:paraId="1A0CD72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7072B3FD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7B761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19135664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23CE1F1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695A26A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5F03E6A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56DD972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63BE176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大四</w:t>
            </w:r>
          </w:p>
        </w:tc>
      </w:tr>
      <w:tr w14:paraId="11579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1BDB585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4BC9B8A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图书馆学Library Science</w:t>
            </w:r>
          </w:p>
        </w:tc>
      </w:tr>
      <w:tr w14:paraId="22904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1426B4C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491E35E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李晶,陈明红</w:t>
            </w:r>
          </w:p>
        </w:tc>
      </w:tr>
      <w:tr w14:paraId="0EFFC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345A8D4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7BD4A498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</w:p>
        </w:tc>
      </w:tr>
      <w:tr w14:paraId="575CA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04ACC5B5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12A5F53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03EFA3D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2C0BC149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1E8B7AB8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229FB493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通过本课程的学习，使学生系统掌握用户信息需求、社会交往与信息交流、用户信息获取、利用的特征和规律，掌握和了解新信息技术环境下信息服务的现代化发展和基本业务、组织与管理方式，初步具备从事图书馆参考咨询服务等信息服务相关工作的职业素养。学习者应严格按照教学要求认真完成课堂讨论、问题回答以及期末考核，经任课教师确认全部合格，才可通过本课程的学习。</w:t>
            </w:r>
          </w:p>
        </w:tc>
      </w:tr>
    </w:tbl>
    <w:p w14:paraId="6EB8169B">
      <w:pPr>
        <w:spacing w:line="480" w:lineRule="exact"/>
        <w:ind w:firstLine="480" w:firstLineChars="200"/>
        <w:rPr>
          <w:sz w:val="24"/>
        </w:rPr>
      </w:pPr>
    </w:p>
    <w:p w14:paraId="020FA709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255FD0D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1298"/>
        <w:gridCol w:w="1173"/>
        <w:gridCol w:w="1298"/>
        <w:gridCol w:w="1300"/>
        <w:gridCol w:w="688"/>
        <w:gridCol w:w="1173"/>
      </w:tblGrid>
      <w:tr w14:paraId="420FEF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537C5C35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6FC7BCDB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40AD4DB3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250EC6DE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6E2BAE30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7B1AF351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7918C3DD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3C2AB3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C6E4D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 导论，第1节 信息用、信息用户与信息服务，第2节 信息服务的演化与现代发展</w:t>
            </w:r>
          </w:p>
        </w:tc>
        <w:tc>
          <w:tcPr>
            <w:tcW w:w="5096" w:type="dxa"/>
            <w:vAlign w:val="center"/>
          </w:tcPr>
          <w:p w14:paraId="2A0FD0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介绍信息用户与信息服务的相关概念、信息服务的演化与现代发展。</w:t>
            </w:r>
          </w:p>
        </w:tc>
        <w:tc>
          <w:tcPr>
            <w:tcW w:w="5096" w:type="dxa"/>
            <w:vAlign w:val="center"/>
          </w:tcPr>
          <w:p w14:paraId="16CB7EC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7E0933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从事信息服务的基本素养需要诚信、友善、关怀，要具备基本的职业素养。</w:t>
            </w:r>
          </w:p>
        </w:tc>
        <w:tc>
          <w:tcPr>
            <w:tcW w:w="5096" w:type="dxa"/>
            <w:vAlign w:val="center"/>
          </w:tcPr>
          <w:p w14:paraId="3B77713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3446EAF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2B3676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47480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68146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 导论，第3节 信息服务与用户理论的进展，第4节 现代信息服务与用户研究的基本内容和方法论</w:t>
            </w:r>
          </w:p>
        </w:tc>
        <w:tc>
          <w:tcPr>
            <w:tcW w:w="5096" w:type="dxa"/>
            <w:vAlign w:val="center"/>
          </w:tcPr>
          <w:p w14:paraId="3C37488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介绍信息服务与用户理论的进展、现代信息服务与用户研究内容和方法论。</w:t>
            </w:r>
          </w:p>
        </w:tc>
        <w:tc>
          <w:tcPr>
            <w:tcW w:w="5096" w:type="dxa"/>
            <w:vAlign w:val="center"/>
          </w:tcPr>
          <w:p w14:paraId="4045306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9EE6B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知识点联系国际视野、信任、创新精神。</w:t>
            </w:r>
          </w:p>
        </w:tc>
        <w:tc>
          <w:tcPr>
            <w:tcW w:w="5096" w:type="dxa"/>
            <w:vAlign w:val="center"/>
          </w:tcPr>
          <w:p w14:paraId="1DC7A09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6B02EFF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3B61DF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69702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A0988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 基于用户交互式体验的信息服务设计方法，第1节 用户体验的概念，第2节 用户体验设计模型</w:t>
            </w:r>
          </w:p>
        </w:tc>
        <w:tc>
          <w:tcPr>
            <w:tcW w:w="5096" w:type="dxa"/>
            <w:vAlign w:val="center"/>
          </w:tcPr>
          <w:p w14:paraId="381582F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介绍用户体验的概念、体验可用性，主流的交互式设计模型。</w:t>
            </w:r>
          </w:p>
        </w:tc>
        <w:tc>
          <w:tcPr>
            <w:tcW w:w="5096" w:type="dxa"/>
            <w:vAlign w:val="center"/>
          </w:tcPr>
          <w:p w14:paraId="6A0FA0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FFF5EF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9BB7E8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2E11A6C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1A19E0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CD710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907BA6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 基于用户交互式体验的信息服务设计方法，第3节 用户体验设计方法</w:t>
            </w:r>
          </w:p>
        </w:tc>
        <w:tc>
          <w:tcPr>
            <w:tcW w:w="5096" w:type="dxa"/>
            <w:vAlign w:val="center"/>
          </w:tcPr>
          <w:p w14:paraId="2370893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介绍主流的用户体验设计方法，具体包括体验地图、观察与访谈法、现场走访法、问卷与统计等。</w:t>
            </w:r>
          </w:p>
        </w:tc>
        <w:tc>
          <w:tcPr>
            <w:tcW w:w="5096" w:type="dxa"/>
            <w:vAlign w:val="center"/>
          </w:tcPr>
          <w:p w14:paraId="7C3FAED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90CAC8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68136A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243B3DF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535793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5FD06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2C7E77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 基于用户交互式体验的信息服务设计方法，第4节 实践案例分析</w:t>
            </w:r>
          </w:p>
        </w:tc>
        <w:tc>
          <w:tcPr>
            <w:tcW w:w="5096" w:type="dxa"/>
            <w:vAlign w:val="center"/>
          </w:tcPr>
          <w:p w14:paraId="236F5B3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详细结合“智慧图书馆”等案例，举例说明如何利用体验设计方法来创新信息服务。</w:t>
            </w:r>
          </w:p>
        </w:tc>
        <w:tc>
          <w:tcPr>
            <w:tcW w:w="5096" w:type="dxa"/>
            <w:vAlign w:val="center"/>
          </w:tcPr>
          <w:p w14:paraId="136BF78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4E836F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知识点联系到诚信、友善、关怀、责任与使命。</w:t>
            </w:r>
          </w:p>
        </w:tc>
        <w:tc>
          <w:tcPr>
            <w:tcW w:w="5096" w:type="dxa"/>
            <w:vAlign w:val="center"/>
          </w:tcPr>
          <w:p w14:paraId="5905726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3C35A44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7D11F5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B3636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0EDDF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 个性化服务与数字用户，第1节 个性化服务，第2节 用户画像</w:t>
            </w:r>
          </w:p>
        </w:tc>
        <w:tc>
          <w:tcPr>
            <w:tcW w:w="5096" w:type="dxa"/>
            <w:vAlign w:val="center"/>
          </w:tcPr>
          <w:p w14:paraId="6C4B313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介绍个性化服务的概念，个性化服务的主要应用，介绍用户画像工具和技术，如何通过用户画像设计个性化的信息服务。</w:t>
            </w:r>
          </w:p>
        </w:tc>
        <w:tc>
          <w:tcPr>
            <w:tcW w:w="5096" w:type="dxa"/>
            <w:vAlign w:val="center"/>
          </w:tcPr>
          <w:p w14:paraId="0AAE9A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7944FA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1A4FFF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2CCD747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9E785F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60633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84B1E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 个性化服务与数字用户，第3节 数字图书馆用户个性化服务，第4节 学术推荐方法与实现案例</w:t>
            </w:r>
          </w:p>
        </w:tc>
        <w:tc>
          <w:tcPr>
            <w:tcW w:w="5096" w:type="dxa"/>
            <w:vAlign w:val="center"/>
          </w:tcPr>
          <w:p w14:paraId="638058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介绍用户个性化信息服务的代表性案例，如个人数字图书馆，讲授学术推荐服务的发展历程、存在的问题及技术趋势。</w:t>
            </w:r>
          </w:p>
        </w:tc>
        <w:tc>
          <w:tcPr>
            <w:tcW w:w="5096" w:type="dxa"/>
            <w:vAlign w:val="center"/>
          </w:tcPr>
          <w:p w14:paraId="290B5BE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3DAAC4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EC357A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3168D61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11B05E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F5A80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DF76B6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信息服务业务及组织，第1节 信息服务的业务类型与要求，第2节 信息提供与信息保障服务</w:t>
            </w:r>
          </w:p>
        </w:tc>
        <w:tc>
          <w:tcPr>
            <w:tcW w:w="5096" w:type="dxa"/>
            <w:vAlign w:val="center"/>
          </w:tcPr>
          <w:p w14:paraId="32993B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介绍信息服务业务的业务类型与要求、信息提供与信息保障服务。</w:t>
            </w:r>
          </w:p>
        </w:tc>
        <w:tc>
          <w:tcPr>
            <w:tcW w:w="5096" w:type="dxa"/>
            <w:vAlign w:val="center"/>
          </w:tcPr>
          <w:p w14:paraId="25B1272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A1ADF8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369E9D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5401619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F31F71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DB16A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0B511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信息服务业务及组织，第3节 信息发布、信息传递与交流服务，第4节 信息检索和基于检索的专项信息服务</w:t>
            </w:r>
          </w:p>
        </w:tc>
        <w:tc>
          <w:tcPr>
            <w:tcW w:w="5096" w:type="dxa"/>
            <w:vAlign w:val="center"/>
          </w:tcPr>
          <w:p w14:paraId="5CF10B7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介绍信息发布、信息传递和交流服务环节的信息服务业务，介绍信息检索、基于检索的专项信息服务等。</w:t>
            </w:r>
          </w:p>
        </w:tc>
        <w:tc>
          <w:tcPr>
            <w:tcW w:w="5096" w:type="dxa"/>
            <w:vAlign w:val="center"/>
          </w:tcPr>
          <w:p w14:paraId="475B6B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B9576F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374720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7E2DE88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C78E70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0053B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4A00E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信息服务业务及组织，第4节 图书馆参考咨询服务（I）</w:t>
            </w:r>
          </w:p>
        </w:tc>
        <w:tc>
          <w:tcPr>
            <w:tcW w:w="5096" w:type="dxa"/>
            <w:vAlign w:val="center"/>
          </w:tcPr>
          <w:p w14:paraId="46E2CD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介绍图书馆参考咨询服务的概念、历史沿革和现代发展。</w:t>
            </w:r>
          </w:p>
        </w:tc>
        <w:tc>
          <w:tcPr>
            <w:tcW w:w="5096" w:type="dxa"/>
            <w:vAlign w:val="center"/>
          </w:tcPr>
          <w:p w14:paraId="0BCDFC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F33464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5752D2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1B46D27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6ED70E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56D11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E0DD9C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课外实践课</w:t>
            </w:r>
          </w:p>
        </w:tc>
        <w:tc>
          <w:tcPr>
            <w:tcW w:w="5096" w:type="dxa"/>
            <w:vAlign w:val="center"/>
          </w:tcPr>
          <w:p w14:paraId="1914630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参观代表性的图书馆参考咨询服务部，学习和掌握新时期图书馆信息服务的业务发展。</w:t>
            </w:r>
          </w:p>
        </w:tc>
        <w:tc>
          <w:tcPr>
            <w:tcW w:w="5096" w:type="dxa"/>
            <w:vAlign w:val="center"/>
          </w:tcPr>
          <w:p w14:paraId="670C95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099CE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实践活动激发学生的专业责任感和使命感。</w:t>
            </w:r>
          </w:p>
        </w:tc>
        <w:tc>
          <w:tcPr>
            <w:tcW w:w="5096" w:type="dxa"/>
            <w:vAlign w:val="center"/>
          </w:tcPr>
          <w:p w14:paraId="69C1479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7F3FEF9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D8DCFC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AB3B7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F441A2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课外实践课</w:t>
            </w:r>
          </w:p>
        </w:tc>
        <w:tc>
          <w:tcPr>
            <w:tcW w:w="5096" w:type="dxa"/>
            <w:vAlign w:val="center"/>
          </w:tcPr>
          <w:p w14:paraId="3C6409C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参观代表性的图书馆参考咨询服务部，学习和掌握新时期图书馆信息服务的业务发展。</w:t>
            </w:r>
          </w:p>
        </w:tc>
        <w:tc>
          <w:tcPr>
            <w:tcW w:w="5096" w:type="dxa"/>
            <w:vAlign w:val="center"/>
          </w:tcPr>
          <w:p w14:paraId="344C22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F787B5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实践活动激发学生的专业责任感和使命感。</w:t>
            </w:r>
          </w:p>
        </w:tc>
        <w:tc>
          <w:tcPr>
            <w:tcW w:w="5096" w:type="dxa"/>
            <w:vAlign w:val="center"/>
          </w:tcPr>
          <w:p w14:paraId="05030C3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3B4702C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83F0D0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BB99D8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16D26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信息服务业务及组织，第4节 图书馆参考咨询服务（II）</w:t>
            </w:r>
          </w:p>
        </w:tc>
        <w:tc>
          <w:tcPr>
            <w:tcW w:w="5096" w:type="dxa"/>
            <w:vAlign w:val="center"/>
          </w:tcPr>
          <w:p w14:paraId="3DF21D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介绍参考咨询服务的业务组成及数字时代的变革与发展。</w:t>
            </w:r>
          </w:p>
        </w:tc>
        <w:tc>
          <w:tcPr>
            <w:tcW w:w="5096" w:type="dxa"/>
            <w:vAlign w:val="center"/>
          </w:tcPr>
          <w:p w14:paraId="3529733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63508D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219A4A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7322D4C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253688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B449E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273A03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国外图书馆数字参考咨询调研成果展示</w:t>
            </w:r>
          </w:p>
        </w:tc>
        <w:tc>
          <w:tcPr>
            <w:tcW w:w="5096" w:type="dxa"/>
            <w:vAlign w:val="center"/>
          </w:tcPr>
          <w:p w14:paraId="5641CA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通过网络调研、文献分析等方法全面调研国外代表性图书馆的参考咨询业务，选择优秀作业进行展示汇报。</w:t>
            </w:r>
          </w:p>
        </w:tc>
        <w:tc>
          <w:tcPr>
            <w:tcW w:w="5096" w:type="dxa"/>
            <w:vAlign w:val="center"/>
          </w:tcPr>
          <w:p w14:paraId="68EE90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A96CAB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434E3A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5BE380D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C987C8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BDE86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BCBA64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第5章 信息集成服务，第1节 以资源为中心的信息集成服务，第2节 以技术为中心的信息集成服务</w:t>
            </w:r>
          </w:p>
        </w:tc>
        <w:tc>
          <w:tcPr>
            <w:tcW w:w="5096" w:type="dxa"/>
            <w:vAlign w:val="center"/>
          </w:tcPr>
          <w:p w14:paraId="470660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介绍两类信息服务，以资源为中心的信息集成服务，以技术为中心的信息集成服务。</w:t>
            </w:r>
          </w:p>
        </w:tc>
        <w:tc>
          <w:tcPr>
            <w:tcW w:w="5096" w:type="dxa"/>
            <w:vAlign w:val="center"/>
          </w:tcPr>
          <w:p w14:paraId="416AC8B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5B490C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2C64AD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2A7C08F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5FFDA3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9F982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5E9FC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第6章 信息服务市场机制，第1节 信息商品流通与信息服务市场活动，第2节  信息服务市场类型与市场运行</w:t>
            </w:r>
          </w:p>
        </w:tc>
        <w:tc>
          <w:tcPr>
            <w:tcW w:w="5096" w:type="dxa"/>
            <w:vAlign w:val="center"/>
          </w:tcPr>
          <w:p w14:paraId="4AB1A0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介绍信息商品流通与信息服务市场的主要活动，分析信息服务市场的类型与市场运行机制。</w:t>
            </w:r>
          </w:p>
        </w:tc>
        <w:tc>
          <w:tcPr>
            <w:tcW w:w="5096" w:type="dxa"/>
            <w:vAlign w:val="center"/>
          </w:tcPr>
          <w:p w14:paraId="0B2AFC3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BE99AF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52F535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5B1D668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BE83DE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F4923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2E7CC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第7章信息服务中的法律保障，第1节 信息服务政策与法律的社会作用机制，第2节  信息服务政策与政策管理</w:t>
            </w:r>
          </w:p>
        </w:tc>
        <w:tc>
          <w:tcPr>
            <w:tcW w:w="5096" w:type="dxa"/>
            <w:vAlign w:val="center"/>
          </w:tcPr>
          <w:p w14:paraId="5CAE27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介绍信息政策与信息法律，信息服务政策与法律的社会作用机制。</w:t>
            </w:r>
          </w:p>
        </w:tc>
        <w:tc>
          <w:tcPr>
            <w:tcW w:w="5096" w:type="dxa"/>
            <w:vAlign w:val="center"/>
          </w:tcPr>
          <w:p w14:paraId="0B2261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30480C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480E37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6AA3C66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77DAE2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4BD73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CC262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总结复习</w:t>
            </w:r>
          </w:p>
        </w:tc>
        <w:tc>
          <w:tcPr>
            <w:tcW w:w="5096" w:type="dxa"/>
            <w:vAlign w:val="center"/>
          </w:tcPr>
          <w:p w14:paraId="6B294D1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课程总结，复习</w:t>
            </w:r>
          </w:p>
        </w:tc>
        <w:tc>
          <w:tcPr>
            <w:tcW w:w="5096" w:type="dxa"/>
            <w:vAlign w:val="center"/>
          </w:tcPr>
          <w:p w14:paraId="22FD642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CFE06D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7B9BE2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838E6F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2F81B4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76FFA35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合计:36</w:t>
      </w:r>
    </w:p>
    <w:p w14:paraId="06B00A57">
      <w:pPr>
        <w:spacing w:line="480" w:lineRule="exact"/>
        <w:rPr>
          <w:sz w:val="24"/>
        </w:rPr>
      </w:pPr>
    </w:p>
    <w:p w14:paraId="2942C292">
      <w:pPr>
        <w:spacing w:line="480" w:lineRule="exact"/>
        <w:rPr>
          <w:rFonts w:hint="eastAsia"/>
          <w:sz w:val="24"/>
        </w:rPr>
      </w:pPr>
    </w:p>
    <w:p w14:paraId="672251BB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71A46318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79750E6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本课程由教师主讲30学时，实践课和学生研究设计展示共6个学时。</w:t>
      </w:r>
    </w:p>
    <w:p w14:paraId="74BD9171">
      <w:pPr>
        <w:spacing w:line="480" w:lineRule="exact"/>
        <w:rPr>
          <w:sz w:val="24"/>
        </w:rPr>
      </w:pPr>
    </w:p>
    <w:p w14:paraId="291A19F0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2A45DF8D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79AC052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本课程的教学方法包括讲授、参考实践、分小组进行研究设计展示。布置小组大作业一次，独立作业两次。</w:t>
      </w:r>
    </w:p>
    <w:p w14:paraId="7A64B073">
      <w:pPr>
        <w:spacing w:line="480" w:lineRule="exact"/>
        <w:ind w:firstLine="360" w:firstLineChars="150"/>
        <w:rPr>
          <w:sz w:val="24"/>
        </w:rPr>
      </w:pPr>
    </w:p>
    <w:p w14:paraId="28FBEBC8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3C083D5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胡昌平, 胡潜，邓胜利. 信息服务与用户[M]. 武汉大学出版社， 2015（第四版）.</w:t>
      </w:r>
    </w:p>
    <w:p w14:paraId="68B733D5">
      <w:pPr>
        <w:spacing w:line="480" w:lineRule="exact"/>
        <w:ind w:firstLine="360" w:firstLineChars="150"/>
        <w:rPr>
          <w:sz w:val="24"/>
        </w:rPr>
      </w:pPr>
    </w:p>
    <w:p w14:paraId="0849DAE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177CD1F7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0BFF9FD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初景利. 网络用户与网络信息服务[M]. 中国海洋出版社，2018.</w:t>
      </w:r>
    </w:p>
    <w:p w14:paraId="78B1472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7D2B656A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181C73BE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61449AB0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438C6D8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一、总成绩构成：平时考核占比40%，期末考核占比60%。</w:t>
      </w:r>
    </w:p>
    <w:p w14:paraId="02C40DB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二、平时考核说明：</w:t>
      </w:r>
    </w:p>
    <w:p w14:paraId="79B9823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参与度与出勤情况（占平时成绩10%）。每学期考勤次数不少于5次，每次考勤2分，无故旷课、迟到、早退等情况扣除当次考勤分数。请假须按照学校规定执行，须提前请假，不得由他人代请假；却因特殊情况未提前请假的，须事后1周内补齐请假手续，否则按旷课处理。</w:t>
      </w:r>
    </w:p>
    <w:p w14:paraId="406E86F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三次课后作业（占平时成绩90%）。根据教学进度安排3次课后作业，每次作业30分。主要考察学生对讲授内容的理解和运用能力，由任课教师批阅并给分。未交、缓交作业的，当次不给分。因请假造成缓交作业的，须于销假时补交作业，否则按未交作业处理。</w:t>
      </w:r>
    </w:p>
    <w:p w14:paraId="0231A0B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三、期末考核说明：</w:t>
      </w:r>
    </w:p>
    <w:p w14:paraId="49AC0A3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期末考核采用闭卷笔试，卷面为百分制。考试内容涵盖全部章节，每章节分数基本平均。题型包括名词解释题、简答题、综合论述题等。</w:t>
      </w:r>
    </w:p>
    <w:p w14:paraId="46BE9A0F">
      <w:pPr>
        <w:spacing w:line="480" w:lineRule="exact"/>
        <w:rPr>
          <w:sz w:val="24"/>
        </w:rPr>
      </w:pPr>
    </w:p>
    <w:p w14:paraId="295D22B3">
      <w:pPr>
        <w:spacing w:line="480" w:lineRule="exact"/>
        <w:rPr>
          <w:sz w:val="24"/>
        </w:rPr>
      </w:pPr>
    </w:p>
    <w:p w14:paraId="0755994D">
      <w:pPr>
        <w:spacing w:line="480" w:lineRule="exact"/>
        <w:rPr>
          <w:sz w:val="24"/>
        </w:rPr>
      </w:pPr>
    </w:p>
    <w:p w14:paraId="2EBE6AAF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54094259"/>
    <w:rsid w:val="781F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8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2026-04-12T06:23:47Z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B62CDA4599484C59967902587A93A69D_13</vt:lpwstr>
  </property>
</Properties>
</file>