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5FE1AE">
      <w:pPr>
        <w:spacing w:line="480" w:lineRule="exact"/>
        <w:rPr>
          <w:sz w:val="24"/>
          <w:szCs w:val="24"/>
        </w:rPr>
      </w:pPr>
      <w:bookmarkStart w:id="0" w:name="_GoBack"/>
      <w:bookmarkEnd w:id="0"/>
    </w:p>
    <w:p w14:paraId="186199A5">
      <w:pPr>
        <w:spacing w:line="1480" w:lineRule="exact"/>
        <w:jc w:val="center"/>
        <w:rPr>
          <w:rFonts w:eastAsia="楷体_GB2312"/>
          <w:b/>
          <w:bCs/>
          <w:spacing w:val="40"/>
          <w:sz w:val="72"/>
          <w:szCs w:val="72"/>
        </w:rPr>
      </w:pPr>
      <w:r>
        <w:rPr>
          <w:rFonts w:hint="eastAsia" w:ascii="宋体" w:hAnsi="宋体" w:eastAsia="宋体" w:cs="宋体"/>
          <w:b/>
          <w:bCs/>
          <w:spacing w:val="40"/>
          <w:sz w:val="72"/>
          <w:szCs w:val="72"/>
        </w:rPr>
        <w:t>中山大学</w:t>
      </w:r>
    </w:p>
    <w:p w14:paraId="735002B7">
      <w:pPr>
        <w:spacing w:before="435" w:beforeLines="100" w:line="640" w:lineRule="exact"/>
        <w:jc w:val="center"/>
        <w:rPr>
          <w:rFonts w:eastAsia="黑体"/>
          <w:sz w:val="56"/>
          <w:szCs w:val="56"/>
        </w:rPr>
      </w:pPr>
      <w:r>
        <w:rPr>
          <w:rFonts w:ascii="黑体" w:hAnsi="黑体" w:eastAsia="黑体"/>
          <w:sz w:val="56"/>
          <w:szCs w:val="56"/>
        </w:rPr>
        <w:t>本科公选课程教学大纲</w:t>
      </w:r>
    </w:p>
    <w:p w14:paraId="5F851406">
      <w:pPr>
        <w:spacing w:line="1480" w:lineRule="exact"/>
        <w:jc w:val="center"/>
        <w:rPr>
          <w:rFonts w:eastAsia="宋体"/>
          <w:sz w:val="52"/>
          <w:szCs w:val="52"/>
        </w:rPr>
      </w:pPr>
    </w:p>
    <w:p w14:paraId="0F5E199A">
      <w:pPr>
        <w:spacing w:line="480" w:lineRule="exact"/>
        <w:ind w:firstLine="2127" w:firstLineChars="709"/>
        <w:rPr>
          <w:rFonts w:eastAsia="黑体"/>
          <w:sz w:val="30"/>
          <w:szCs w:val="30"/>
          <w:u w:val="single"/>
        </w:rPr>
      </w:pPr>
      <w:r>
        <w:rPr>
          <w:rFonts w:ascii="黑体" w:hAnsi="黑体" w:eastAsia="黑体"/>
          <w:sz w:val="30"/>
          <w:szCs w:val="30"/>
        </w:rPr>
        <w:t>学院（系）</w:t>
      </w:r>
      <w:r>
        <w:rPr>
          <w:rFonts w:eastAsia="黑体"/>
          <w:sz w:val="30"/>
          <w:szCs w:val="30"/>
          <w:u w:val="single"/>
        </w:rPr>
        <w:t>信息管理学院</w:t>
      </w:r>
    </w:p>
    <w:p w14:paraId="2808E03F">
      <w:pPr>
        <w:spacing w:line="480" w:lineRule="exact"/>
        <w:ind w:firstLine="2127" w:firstLineChars="709"/>
        <w:rPr>
          <w:rFonts w:eastAsia="黑体"/>
          <w:sz w:val="30"/>
          <w:szCs w:val="30"/>
          <w:u w:val="single"/>
        </w:rPr>
      </w:pPr>
    </w:p>
    <w:p w14:paraId="778F864F">
      <w:pPr>
        <w:spacing w:line="480" w:lineRule="exact"/>
        <w:ind w:firstLine="2127" w:firstLineChars="709"/>
        <w:rPr>
          <w:rFonts w:eastAsia="宋体"/>
          <w:sz w:val="30"/>
          <w:szCs w:val="30"/>
          <w:u w:val="single"/>
        </w:rPr>
      </w:pPr>
      <w:r>
        <w:rPr>
          <w:rFonts w:ascii="黑体" w:hAnsi="黑体" w:eastAsia="黑体"/>
          <w:sz w:val="30"/>
          <w:szCs w:val="30"/>
        </w:rPr>
        <w:t>课程名称</w:t>
      </w:r>
      <w:r>
        <w:rPr>
          <w:rFonts w:eastAsia="黑体"/>
          <w:sz w:val="30"/>
          <w:szCs w:val="30"/>
          <w:u w:val="single"/>
        </w:rPr>
        <w:t xml:space="preserve"> 社交媒体</w:t>
      </w:r>
    </w:p>
    <w:p w14:paraId="58207218">
      <w:pPr>
        <w:spacing w:line="900" w:lineRule="exact"/>
        <w:ind w:firstLine="3600" w:firstLineChars="1200"/>
        <w:rPr>
          <w:sz w:val="30"/>
          <w:szCs w:val="30"/>
        </w:rPr>
      </w:pPr>
    </w:p>
    <w:p w14:paraId="6FC5E40C">
      <w:pPr>
        <w:spacing w:line="900" w:lineRule="exact"/>
        <w:jc w:val="center"/>
        <w:rPr>
          <w:b/>
          <w:bCs/>
          <w:kern w:val="28"/>
        </w:rPr>
      </w:pPr>
    </w:p>
    <w:p w14:paraId="15CA9EB1">
      <w:pPr>
        <w:spacing w:line="900" w:lineRule="exact"/>
        <w:jc w:val="center"/>
        <w:rPr>
          <w:b/>
          <w:bCs/>
          <w:kern w:val="28"/>
        </w:rPr>
      </w:pPr>
    </w:p>
    <w:p w14:paraId="1936A95F">
      <w:pPr>
        <w:spacing w:line="900" w:lineRule="exact"/>
        <w:jc w:val="center"/>
        <w:rPr>
          <w:b/>
          <w:bCs/>
          <w:kern w:val="28"/>
        </w:rPr>
      </w:pPr>
    </w:p>
    <w:p w14:paraId="315BDD20">
      <w:pPr>
        <w:widowControl/>
        <w:ind w:firstLine="2891" w:firstLineChars="900"/>
        <w:jc w:val="left"/>
        <w:rPr>
          <w:rFonts w:ascii="仿宋_GB2312"/>
          <w:b/>
          <w:bCs/>
          <w:kern w:val="28"/>
        </w:rPr>
      </w:pPr>
      <w:r>
        <w:rPr>
          <w:rFonts w:ascii="仿宋_GB2312"/>
          <w:b/>
          <w:bCs/>
          <w:kern w:val="28"/>
        </w:rPr>
        <w:t>中山大学教务部制</w:t>
      </w:r>
    </w:p>
    <w:p w14:paraId="2C3EEC71">
      <w:pPr>
        <w:spacing w:line="900" w:lineRule="exact"/>
        <w:jc w:val="center"/>
        <w:rPr>
          <w:rFonts w:ascii="仿宋_GB2312"/>
          <w:b/>
          <w:bCs/>
          <w:kern w:val="28"/>
        </w:rPr>
      </w:pPr>
    </w:p>
    <w:p w14:paraId="05018066">
      <w:pPr>
        <w:widowControl/>
        <w:jc w:val="left"/>
        <w:rPr>
          <w:rFonts w:ascii="仿宋_GB2312"/>
          <w:b/>
          <w:bCs/>
          <w:kern w:val="28"/>
        </w:rPr>
      </w:pPr>
      <w:r>
        <w:rPr>
          <w:rFonts w:ascii="仿宋_GB2312"/>
          <w:b/>
          <w:bCs/>
          <w:kern w:val="28"/>
        </w:rPr>
        <w:br w:type="page"/>
      </w:r>
    </w:p>
    <w:p w14:paraId="3636D1FA">
      <w:pPr>
        <w:pStyle w:val="8"/>
        <w:spacing w:line="480" w:lineRule="exact"/>
        <w:rPr>
          <w:rFonts w:ascii="Times New Roman" w:hAnsi="Times New Roman" w:eastAsia="黑体" w:cs="Times New Roman"/>
        </w:rPr>
      </w:pPr>
      <w:r>
        <w:rPr>
          <w:rFonts w:hint="eastAsia" w:ascii="宋体" w:hAnsi="宋体" w:cs="宋体"/>
          <w:bCs w:val="0"/>
        </w:rPr>
        <w:t>社交媒体</w:t>
      </w:r>
      <w:r>
        <w:rPr>
          <w:rFonts w:ascii="Times New Roman" w:hAnsi="Times New Roman" w:eastAsia="黑体" w:cs="Times New Roman"/>
        </w:rPr>
        <w:t>教学大纲</w:t>
      </w:r>
    </w:p>
    <w:p w14:paraId="70223291">
      <w:pPr>
        <w:pStyle w:val="3"/>
        <w:spacing w:line="480" w:lineRule="exact"/>
        <w:ind w:firstLine="0" w:firstLineChars="0"/>
        <w:jc w:val="center"/>
        <w:rPr>
          <w:rFonts w:eastAsia="宋体"/>
          <w:sz w:val="24"/>
        </w:rPr>
      </w:pPr>
      <w:r>
        <w:rPr>
          <w:rFonts w:eastAsia="宋体"/>
          <w:sz w:val="24"/>
        </w:rPr>
        <w:t>（编写日期：2025年12月）</w:t>
      </w:r>
    </w:p>
    <w:p w14:paraId="4EBFFC17">
      <w:pPr>
        <w:pStyle w:val="3"/>
        <w:spacing w:line="480" w:lineRule="exact"/>
        <w:ind w:firstLine="0" w:firstLineChars="0"/>
        <w:rPr>
          <w:rFonts w:ascii="宋体" w:hAnsi="宋体" w:eastAsia="宋体"/>
          <w:b/>
          <w:sz w:val="24"/>
          <w:szCs w:val="24"/>
        </w:rPr>
      </w:pPr>
    </w:p>
    <w:p w14:paraId="25A77843">
      <w:pPr>
        <w:pStyle w:val="3"/>
        <w:spacing w:line="480" w:lineRule="exact"/>
        <w:ind w:firstLine="0" w:firstLineChars="0"/>
        <w:rPr>
          <w:rFonts w:eastAsia="宋体"/>
          <w:b/>
          <w:sz w:val="21"/>
          <w:szCs w:val="21"/>
        </w:rPr>
      </w:pPr>
      <w:r>
        <w:rPr>
          <w:rFonts w:ascii="宋体" w:hAnsi="宋体" w:eastAsia="宋体"/>
          <w:b/>
          <w:sz w:val="24"/>
          <w:szCs w:val="24"/>
        </w:rPr>
        <w:t>一、课程基本说明</w:t>
      </w:r>
    </w:p>
    <w:tbl>
      <w:tblPr>
        <w:tblStyle w:val="11"/>
        <w:tblW w:w="11057" w:type="dxa"/>
        <w:tblInd w:w="-142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8"/>
        <w:gridCol w:w="1560"/>
        <w:gridCol w:w="2693"/>
        <w:gridCol w:w="1701"/>
        <w:gridCol w:w="1276"/>
        <w:gridCol w:w="2409"/>
      </w:tblGrid>
      <w:tr w14:paraId="445586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3" w:hRule="atLeast"/>
        </w:trPr>
        <w:tc>
          <w:tcPr>
            <w:tcW w:w="14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D76B9BA">
            <w:pPr>
              <w:pStyle w:val="16"/>
            </w:pPr>
            <w:r>
              <w:t>课程名称</w:t>
            </w:r>
          </w:p>
        </w:tc>
        <w:tc>
          <w:tcPr>
            <w:tcW w:w="4253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3F365CD9">
            <w:pPr>
              <w:pStyle w:val="16"/>
              <w:rPr>
                <w:rFonts w:hint="eastAsia"/>
              </w:rPr>
            </w:pPr>
            <w:r>
              <w:rPr>
                <w:rFonts w:hint="eastAsia"/>
              </w:rPr>
              <w:t>社交媒体</w:t>
            </w:r>
          </w:p>
        </w:tc>
        <w:tc>
          <w:tcPr>
            <w:tcW w:w="170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2394D889">
            <w:pPr>
              <w:pStyle w:val="16"/>
              <w:rPr>
                <w:rFonts w:hint="eastAsia"/>
              </w:rPr>
            </w:pPr>
            <w:r>
              <w:t>课程英文名称</w:t>
            </w:r>
          </w:p>
        </w:tc>
        <w:tc>
          <w:tcPr>
            <w:tcW w:w="3685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627F2FB1">
            <w:pPr>
              <w:pStyle w:val="16"/>
            </w:pPr>
            <w:r>
              <w:rPr>
                <w:rFonts w:hint="eastAsia"/>
              </w:rPr>
              <w:t>Social Media</w:t>
            </w:r>
          </w:p>
        </w:tc>
      </w:tr>
      <w:tr w14:paraId="56276F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3" w:hRule="atLeast"/>
        </w:trPr>
        <w:tc>
          <w:tcPr>
            <w:tcW w:w="14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430B12F">
            <w:pPr>
              <w:pStyle w:val="16"/>
            </w:pPr>
            <w:r>
              <w:t>课程类别</w:t>
            </w:r>
          </w:p>
        </w:tc>
        <w:tc>
          <w:tcPr>
            <w:tcW w:w="15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B0A0EC5">
            <w:pPr>
              <w:pStyle w:val="16"/>
              <w:rPr>
                <w:rFonts w:hint="eastAsia"/>
              </w:rPr>
            </w:pPr>
            <w:r>
              <w:rPr>
                <w:rFonts w:hint="eastAsia"/>
              </w:rPr>
              <w:t>公选</w:t>
            </w:r>
          </w:p>
        </w:tc>
        <w:tc>
          <w:tcPr>
            <w:tcW w:w="269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2BE58C56">
            <w:pPr>
              <w:pStyle w:val="16"/>
              <w:rPr>
                <w:rFonts w:hint="eastAsia"/>
              </w:rPr>
            </w:pPr>
            <w:r>
              <w:rPr>
                <w:rFonts w:hint="eastAsia"/>
              </w:rPr>
              <w:t>课程编码</w:t>
            </w:r>
          </w:p>
        </w:tc>
        <w:tc>
          <w:tcPr>
            <w:tcW w:w="170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204580E2">
            <w:pPr>
              <w:pStyle w:val="16"/>
              <w:rPr>
                <w:rFonts w:hint="eastAsia"/>
              </w:rPr>
            </w:pPr>
            <w:r>
              <w:rPr>
                <w:rFonts w:hint="eastAsia"/>
              </w:rPr>
              <w:t>IM137</w:t>
            </w:r>
          </w:p>
        </w:tc>
        <w:tc>
          <w:tcPr>
            <w:tcW w:w="127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256E1613">
            <w:pPr>
              <w:pStyle w:val="16"/>
            </w:pPr>
            <w:r>
              <w:t>课程细类</w:t>
            </w:r>
          </w:p>
        </w:tc>
        <w:tc>
          <w:tcPr>
            <w:tcW w:w="240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0B51A4AE">
            <w:pPr>
              <w:pStyle w:val="16"/>
            </w:pPr>
            <w:r>
              <w:rPr>
                <w:rFonts w:hint="eastAsia"/>
              </w:rPr>
              <w:t>科技与未来</w:t>
            </w:r>
          </w:p>
        </w:tc>
      </w:tr>
      <w:tr w14:paraId="7FBB6B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3" w:hRule="atLeast"/>
        </w:trPr>
        <w:tc>
          <w:tcPr>
            <w:tcW w:w="14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FC83AEA">
            <w:pPr>
              <w:pStyle w:val="16"/>
              <w:rPr>
                <w:rFonts w:hint="eastAsia"/>
              </w:rPr>
            </w:pPr>
            <w:r>
              <w:rPr>
                <w:rFonts w:hint="eastAsia"/>
              </w:rPr>
              <w:t>艺术教育板块</w:t>
            </w:r>
          </w:p>
        </w:tc>
        <w:tc>
          <w:tcPr>
            <w:tcW w:w="15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7F89004A">
            <w:pPr>
              <w:pStyle w:val="16"/>
              <w:rPr>
                <w:rFonts w:hint="eastAsia"/>
              </w:rPr>
            </w:pPr>
          </w:p>
        </w:tc>
        <w:tc>
          <w:tcPr>
            <w:tcW w:w="269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45DD1C8E">
            <w:pPr>
              <w:pStyle w:val="16"/>
              <w:rPr>
                <w:rFonts w:hint="eastAsia"/>
              </w:rPr>
            </w:pPr>
            <w:r>
              <w:rPr>
                <w:rFonts w:hint="eastAsia"/>
              </w:rPr>
              <w:t>课程教学类型</w:t>
            </w:r>
          </w:p>
        </w:tc>
        <w:tc>
          <w:tcPr>
            <w:tcW w:w="170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4E9D4F39">
            <w:pPr>
              <w:pStyle w:val="16"/>
              <w:rPr>
                <w:rFonts w:hint="eastAsia"/>
              </w:rPr>
            </w:pPr>
            <w:r>
              <w:rPr>
                <w:rFonts w:hint="eastAsia"/>
              </w:rPr>
              <w:t>理论</w:t>
            </w:r>
          </w:p>
        </w:tc>
        <w:tc>
          <w:tcPr>
            <w:tcW w:w="127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03F51D2B">
            <w:pPr>
              <w:pStyle w:val="16"/>
              <w:rPr>
                <w:rFonts w:hint="eastAsia"/>
              </w:rPr>
            </w:pPr>
            <w:r>
              <w:rPr>
                <w:rFonts w:hint="eastAsia"/>
              </w:rPr>
              <w:t>学分</w:t>
            </w:r>
          </w:p>
        </w:tc>
        <w:tc>
          <w:tcPr>
            <w:tcW w:w="240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6D6CBDD4">
            <w:pPr>
              <w:pStyle w:val="16"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</w:tr>
      <w:tr w14:paraId="5A3192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3" w:hRule="atLeast"/>
        </w:trPr>
        <w:tc>
          <w:tcPr>
            <w:tcW w:w="14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18BF4A9">
            <w:pPr>
              <w:pStyle w:val="16"/>
              <w:rPr>
                <w:rFonts w:hint="eastAsia"/>
              </w:rPr>
            </w:pPr>
            <w:r>
              <w:rPr>
                <w:rFonts w:hint="eastAsia"/>
              </w:rPr>
              <w:t>总学时</w:t>
            </w:r>
          </w:p>
        </w:tc>
        <w:tc>
          <w:tcPr>
            <w:tcW w:w="15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3135C399">
            <w:pPr>
              <w:pStyle w:val="16"/>
              <w:rPr>
                <w:rFonts w:hint="eastAsia"/>
              </w:rPr>
            </w:pPr>
            <w:r>
              <w:rPr>
                <w:rFonts w:hint="eastAsia"/>
              </w:rPr>
              <w:t>36</w:t>
            </w:r>
          </w:p>
        </w:tc>
        <w:tc>
          <w:tcPr>
            <w:tcW w:w="269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769D9401">
            <w:pPr>
              <w:pStyle w:val="16"/>
              <w:rPr>
                <w:rFonts w:hint="eastAsia"/>
              </w:rPr>
            </w:pPr>
            <w:r>
              <w:rPr>
                <w:rFonts w:hint="eastAsia"/>
              </w:rPr>
              <w:t>理论学时</w:t>
            </w:r>
          </w:p>
        </w:tc>
        <w:tc>
          <w:tcPr>
            <w:tcW w:w="170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643D8E3">
            <w:pPr>
              <w:pStyle w:val="16"/>
              <w:rPr>
                <w:rFonts w:hint="eastAsia"/>
              </w:rPr>
            </w:pPr>
            <w:r>
              <w:rPr>
                <w:rFonts w:hint="eastAsia"/>
              </w:rPr>
              <w:t>36</w:t>
            </w:r>
          </w:p>
        </w:tc>
        <w:tc>
          <w:tcPr>
            <w:tcW w:w="127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43E42CF2">
            <w:pPr>
              <w:pStyle w:val="16"/>
              <w:rPr>
                <w:rFonts w:hint="eastAsia"/>
              </w:rPr>
            </w:pPr>
            <w:r>
              <w:rPr>
                <w:rFonts w:hint="eastAsia"/>
              </w:rPr>
              <w:t>实践（含实验）学时</w:t>
            </w:r>
          </w:p>
        </w:tc>
        <w:tc>
          <w:tcPr>
            <w:tcW w:w="240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239D0766">
            <w:pPr>
              <w:pStyle w:val="16"/>
              <w:rPr>
                <w:rFonts w:hint="eastAsia"/>
              </w:rPr>
            </w:pPr>
          </w:p>
        </w:tc>
      </w:tr>
      <w:tr w14:paraId="618825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3" w:hRule="atLeast"/>
        </w:trPr>
        <w:tc>
          <w:tcPr>
            <w:tcW w:w="14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E770919">
            <w:pPr>
              <w:pStyle w:val="16"/>
              <w:rPr>
                <w:rFonts w:hint="eastAsia"/>
              </w:rPr>
            </w:pPr>
            <w:r>
              <w:rPr>
                <w:rFonts w:hint="eastAsia"/>
              </w:rPr>
              <w:t>总学时备注</w:t>
            </w:r>
          </w:p>
        </w:tc>
        <w:tc>
          <w:tcPr>
            <w:tcW w:w="15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37A502C9">
            <w:pPr>
              <w:pStyle w:val="16"/>
              <w:rPr>
                <w:rFonts w:hint="eastAsia"/>
              </w:rPr>
            </w:pPr>
            <w:r>
              <w:rPr>
                <w:rFonts w:hint="eastAsia"/>
              </w:rPr>
              <w:t>36</w:t>
            </w:r>
          </w:p>
        </w:tc>
        <w:tc>
          <w:tcPr>
            <w:tcW w:w="269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068B8DA">
            <w:pPr>
              <w:pStyle w:val="16"/>
              <w:rPr>
                <w:rFonts w:hint="eastAsia"/>
              </w:rPr>
            </w:pPr>
            <w:r>
              <w:rPr>
                <w:rFonts w:hint="eastAsia"/>
              </w:rPr>
              <w:t>周学时</w:t>
            </w:r>
          </w:p>
        </w:tc>
        <w:tc>
          <w:tcPr>
            <w:tcW w:w="170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C88693F">
            <w:pPr>
              <w:pStyle w:val="16"/>
              <w:rPr>
                <w:rFonts w:hint="eastAsia"/>
              </w:rPr>
            </w:pPr>
            <w:r>
              <w:rPr>
                <w:rFonts w:hint="eastAsia"/>
              </w:rPr>
              <w:t>3</w:t>
            </w:r>
          </w:p>
        </w:tc>
        <w:tc>
          <w:tcPr>
            <w:tcW w:w="127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783A7EDC">
            <w:pPr>
              <w:pStyle w:val="16"/>
              <w:rPr>
                <w:rFonts w:hint="eastAsia"/>
              </w:rPr>
            </w:pPr>
            <w:r>
              <w:rPr>
                <w:rFonts w:hint="eastAsia"/>
              </w:rPr>
              <w:t>授课语种</w:t>
            </w:r>
          </w:p>
        </w:tc>
        <w:tc>
          <w:tcPr>
            <w:tcW w:w="240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7721AA1E">
            <w:pPr>
              <w:pStyle w:val="16"/>
              <w:rPr>
                <w:rFonts w:hint="eastAsia"/>
              </w:rPr>
            </w:pPr>
            <w:r>
              <w:rPr>
                <w:rFonts w:hint="eastAsia"/>
              </w:rPr>
              <w:t>中文</w:t>
            </w:r>
          </w:p>
        </w:tc>
      </w:tr>
      <w:tr w14:paraId="3B6522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3" w:hRule="atLeast"/>
        </w:trPr>
        <w:tc>
          <w:tcPr>
            <w:tcW w:w="14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ADC2FAD">
            <w:pPr>
              <w:pStyle w:val="16"/>
              <w:rPr>
                <w:rFonts w:hint="eastAsia"/>
              </w:rPr>
            </w:pPr>
            <w:r>
              <w:rPr>
                <w:rFonts w:hint="eastAsia"/>
              </w:rPr>
              <w:t>开课单位</w:t>
            </w:r>
          </w:p>
        </w:tc>
        <w:tc>
          <w:tcPr>
            <w:tcW w:w="15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C1DEB5F">
            <w:pPr>
              <w:pStyle w:val="16"/>
              <w:rPr>
                <w:rFonts w:hint="eastAsia"/>
              </w:rPr>
            </w:pPr>
            <w:r>
              <w:rPr>
                <w:rFonts w:hint="eastAsia"/>
              </w:rPr>
              <w:t>信息管理学院</w:t>
            </w:r>
          </w:p>
        </w:tc>
        <w:tc>
          <w:tcPr>
            <w:tcW w:w="269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42DB682A">
            <w:pPr>
              <w:pStyle w:val="16"/>
              <w:rPr>
                <w:rFonts w:hint="eastAsia"/>
              </w:rPr>
            </w:pPr>
            <w:r>
              <w:rPr>
                <w:rFonts w:hint="eastAsia"/>
              </w:rPr>
              <w:t>接收人数</w:t>
            </w:r>
          </w:p>
        </w:tc>
        <w:tc>
          <w:tcPr>
            <w:tcW w:w="170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7637E620">
            <w:pPr>
              <w:pStyle w:val="16"/>
              <w:rPr>
                <w:rFonts w:hint="eastAsia"/>
              </w:rPr>
            </w:pPr>
            <w:r>
              <w:rPr>
                <w:rFonts w:hint="eastAsia"/>
              </w:rPr>
              <w:t>30</w:t>
            </w:r>
          </w:p>
        </w:tc>
        <w:tc>
          <w:tcPr>
            <w:tcW w:w="127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98455C8">
            <w:pPr>
              <w:pStyle w:val="16"/>
              <w:rPr>
                <w:rFonts w:hint="eastAsia"/>
              </w:rPr>
            </w:pPr>
            <w:r>
              <w:rPr>
                <w:rFonts w:hint="eastAsia"/>
              </w:rPr>
              <w:t>是否有意向开设跨校园同步课程</w:t>
            </w:r>
          </w:p>
        </w:tc>
        <w:tc>
          <w:tcPr>
            <w:tcW w:w="240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44DBB2BF">
            <w:pPr>
              <w:pStyle w:val="16"/>
              <w:rPr>
                <w:rFonts w:hint="eastAsia"/>
              </w:rPr>
            </w:pPr>
            <w:r>
              <w:rPr>
                <w:rFonts w:hint="eastAsia"/>
              </w:rPr>
              <w:t>否</w:t>
            </w:r>
          </w:p>
        </w:tc>
      </w:tr>
      <w:tr w14:paraId="2D1AA4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3" w:hRule="atLeast"/>
        </w:trPr>
        <w:tc>
          <w:tcPr>
            <w:tcW w:w="14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E6D3984">
            <w:pPr>
              <w:pStyle w:val="16"/>
              <w:rPr>
                <w:rFonts w:hint="eastAsia"/>
              </w:rPr>
            </w:pPr>
            <w:r>
              <w:rPr>
                <w:rFonts w:hint="eastAsia"/>
              </w:rPr>
              <w:t>主讲教师</w:t>
            </w:r>
          </w:p>
        </w:tc>
        <w:tc>
          <w:tcPr>
            <w:tcW w:w="15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0F44262B">
            <w:pPr>
              <w:pStyle w:val="16"/>
              <w:rPr>
                <w:rFonts w:hint="eastAsia"/>
              </w:rPr>
            </w:pPr>
            <w:r>
              <w:rPr>
                <w:rFonts w:hint="eastAsia"/>
              </w:rPr>
              <w:t>甘春梅</w:t>
            </w:r>
          </w:p>
        </w:tc>
        <w:tc>
          <w:tcPr>
            <w:tcW w:w="269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4478EF5A">
            <w:pPr>
              <w:pStyle w:val="16"/>
              <w:rPr>
                <w:rFonts w:hint="eastAsia"/>
              </w:rPr>
            </w:pPr>
            <w:r>
              <w:rPr>
                <w:rFonts w:hint="eastAsia"/>
              </w:rPr>
              <w:t>意向开课学期</w:t>
            </w:r>
          </w:p>
        </w:tc>
        <w:tc>
          <w:tcPr>
            <w:tcW w:w="170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6E831E38">
            <w:pPr>
              <w:pStyle w:val="16"/>
              <w:rPr>
                <w:rFonts w:hint="eastAsia"/>
              </w:rPr>
            </w:pPr>
            <w:r>
              <w:rPr>
                <w:rFonts w:hint="eastAsia"/>
              </w:rPr>
              <w:t>春季学期,秋季学期</w:t>
            </w:r>
          </w:p>
        </w:tc>
        <w:tc>
          <w:tcPr>
            <w:tcW w:w="127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372B31F8">
            <w:pPr>
              <w:pStyle w:val="16"/>
              <w:rPr>
                <w:rFonts w:hint="eastAsia"/>
              </w:rPr>
            </w:pPr>
            <w:r>
              <w:t>意向线下上课校区</w:t>
            </w:r>
          </w:p>
        </w:tc>
        <w:tc>
          <w:tcPr>
            <w:tcW w:w="240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0F28D907">
            <w:pPr>
              <w:pStyle w:val="16"/>
              <w:rPr>
                <w:rFonts w:hint="eastAsia"/>
              </w:rPr>
            </w:pPr>
            <w:r>
              <w:rPr>
                <w:rFonts w:hint="eastAsia"/>
              </w:rPr>
              <w:t>南校园</w:t>
            </w:r>
          </w:p>
        </w:tc>
      </w:tr>
    </w:tbl>
    <w:p w14:paraId="412DBA3E">
      <w:pPr>
        <w:rPr>
          <w:rFonts w:ascii="宋体" w:hAnsi="宋体" w:eastAsia="宋体"/>
          <w:b/>
          <w:bCs/>
          <w:sz w:val="24"/>
          <w:szCs w:val="24"/>
        </w:rPr>
      </w:pPr>
    </w:p>
    <w:p w14:paraId="05640645">
      <w:pPr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</w:rPr>
        <w:t>二、课程目标</w:t>
      </w:r>
    </w:p>
    <w:p w14:paraId="023C77AB">
      <w:pPr>
        <w:rPr>
          <w:rFonts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bCs/>
          <w:sz w:val="24"/>
          <w:szCs w:val="24"/>
        </w:rPr>
        <w:t>提示：请从知识、技能、价值观三个层面阐述课程目标。</w:t>
      </w:r>
    </w:p>
    <w:p w14:paraId="0614C33F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line="560" w:lineRule="exact"/>
        <w:rPr>
          <w:rFonts w:cs="仿宋" w:asciiTheme="minorEastAsia" w:hAnsiTheme="minorEastAsia" w:eastAsiaTheme="minorEastAsia"/>
          <w:sz w:val="24"/>
          <w:szCs w:val="24"/>
        </w:rPr>
      </w:pPr>
      <w:r>
        <w:rPr>
          <w:rFonts w:hint="eastAsia" w:cs="仿宋" w:asciiTheme="minorEastAsia" w:hAnsiTheme="minorEastAsia" w:eastAsiaTheme="minorEastAsia"/>
          <w:sz w:val="24"/>
          <w:szCs w:val="24"/>
        </w:rPr>
        <w:t>本课程旨在引导学生深入理解新媒体时代“节点化、媒介化、赛博格化的人”这一核心命题，通过系列人机协作实践活动，帮助学生掌握传播网络、社会互动与人机关系的理论知识，培养信息批判、伦理思辨及人机协同设计等关键技能，塑造其作为理性、负责且具有人文关怀的数字公民的价值观，使其能够积极地参与并负责任地塑造智能时代的未来社会。</w:t>
      </w:r>
    </w:p>
    <w:p w14:paraId="1315FA39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line="560" w:lineRule="exact"/>
        <w:rPr>
          <w:rFonts w:cs="仿宋" w:asciiTheme="minorEastAsia" w:hAnsiTheme="minorEastAsia" w:eastAsiaTheme="minorEastAsia"/>
          <w:sz w:val="24"/>
          <w:szCs w:val="24"/>
        </w:rPr>
      </w:pPr>
    </w:p>
    <w:p w14:paraId="7CAFBF10">
      <w:pPr>
        <w:widowControl/>
        <w:jc w:val="left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</w:rPr>
        <w:t>三、课程基本内容</w:t>
      </w:r>
    </w:p>
    <w:p w14:paraId="7BBD66ED">
      <w:pPr>
        <w:rPr>
          <w:rFonts w:ascii="宋体" w:hAnsi="宋体" w:eastAsia="宋体"/>
          <w:bCs/>
          <w:sz w:val="24"/>
          <w:szCs w:val="24"/>
        </w:rPr>
      </w:pPr>
      <w:r>
        <w:rPr>
          <w:rFonts w:hint="eastAsia" w:ascii="宋体" w:hAnsi="宋体" w:eastAsia="宋体"/>
          <w:bCs/>
          <w:sz w:val="24"/>
          <w:szCs w:val="24"/>
        </w:rPr>
        <w:t>（一）教学内容简介</w:t>
      </w:r>
    </w:p>
    <w:p w14:paraId="40EEE954">
      <w:pPr>
        <w:rPr>
          <w:rFonts w:ascii="仿宋" w:hAnsi="仿宋" w:eastAsia="仿宋"/>
          <w:bCs/>
          <w:sz w:val="24"/>
          <w:szCs w:val="24"/>
        </w:rPr>
      </w:pPr>
      <w:r>
        <w:rPr>
          <w:rFonts w:hint="eastAsia" w:ascii="仿宋" w:hAnsi="仿宋" w:eastAsia="仿宋"/>
          <w:bCs/>
          <w:sz w:val="24"/>
          <w:szCs w:val="24"/>
        </w:rPr>
        <w:t>课程内容应</w:t>
      </w:r>
      <w:r>
        <w:rPr>
          <w:rFonts w:hint="eastAsia" w:ascii="仿宋" w:hAnsi="仿宋" w:eastAsia="仿宋"/>
          <w:b/>
          <w:bCs/>
          <w:sz w:val="24"/>
          <w:szCs w:val="24"/>
        </w:rPr>
        <w:t>支撑课程目标达成</w:t>
      </w:r>
    </w:p>
    <w:p w14:paraId="5CBFE99E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line="480" w:lineRule="exact"/>
        <w:ind w:firstLine="480" w:firstLineChars="200"/>
        <w:rPr>
          <w:rFonts w:ascii="宋体" w:hAnsi="宋体" w:eastAsia="宋体"/>
          <w:bCs/>
          <w:sz w:val="24"/>
          <w:szCs w:val="24"/>
        </w:rPr>
      </w:pPr>
      <w:r>
        <w:rPr>
          <w:rFonts w:ascii="宋体" w:hAnsi="宋体" w:eastAsia="宋体"/>
          <w:bCs/>
          <w:sz w:val="24"/>
          <w:szCs w:val="24"/>
        </w:rPr>
        <w:t>本课程的主要内容包括：社交媒体的概述、节点化的用户、媒介化的用户、赛博格化的用户，涉及系列紧密相连、层层递进的理论学习与人机协作实践。</w:t>
      </w:r>
    </w:p>
    <w:p w14:paraId="524231FD">
      <w:pPr>
        <w:rPr>
          <w:rFonts w:ascii="宋体" w:hAnsi="宋体" w:eastAsia="宋体"/>
          <w:bCs/>
          <w:sz w:val="24"/>
          <w:szCs w:val="24"/>
        </w:rPr>
      </w:pPr>
      <w:r>
        <w:rPr>
          <w:rFonts w:hint="eastAsia" w:ascii="宋体" w:hAnsi="宋体" w:eastAsia="宋体"/>
          <w:bCs/>
          <w:sz w:val="24"/>
          <w:szCs w:val="24"/>
        </w:rPr>
        <w:t>（二）教学内容安排</w:t>
      </w:r>
    </w:p>
    <w:p w14:paraId="355FFF0D">
      <w:pPr>
        <w:widowControl/>
        <w:jc w:val="left"/>
        <w:rPr>
          <w:rFonts w:ascii="仿宋" w:hAnsi="仿宋" w:eastAsia="仿宋"/>
          <w:bCs/>
          <w:sz w:val="24"/>
          <w:szCs w:val="24"/>
        </w:rPr>
      </w:pPr>
    </w:p>
    <w:tbl>
      <w:tblPr>
        <w:tblStyle w:val="11"/>
        <w:tblW w:w="7876" w:type="dxa"/>
        <w:jc w:val="center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9"/>
        <w:gridCol w:w="1252"/>
        <w:gridCol w:w="785"/>
        <w:gridCol w:w="1252"/>
        <w:gridCol w:w="1254"/>
        <w:gridCol w:w="810"/>
        <w:gridCol w:w="1254"/>
      </w:tblGrid>
      <w:tr w14:paraId="532B46EA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5" w:hRule="atLeast"/>
          <w:jc w:val="center"/>
        </w:trPr>
        <w:tc>
          <w:tcPr>
            <w:tcW w:w="4958" w:type="dxa"/>
            <w:vAlign w:val="center"/>
          </w:tcPr>
          <w:p w14:paraId="0887734A">
            <w:pPr>
              <w:spacing w:line="400" w:lineRule="exact"/>
              <w:jc w:val="center"/>
              <w:rPr>
                <w:rFonts w:asciiTheme="majorEastAsia" w:hAnsiTheme="majorEastAsia" w:eastAsiaTheme="majorEastAsia"/>
                <w:b/>
                <w:bCs/>
                <w:sz w:val="24"/>
                <w:szCs w:val="20"/>
              </w:rPr>
            </w:pPr>
            <w:r>
              <w:rPr>
                <w:rFonts w:hint="eastAsia" w:asciiTheme="majorEastAsia" w:hAnsiTheme="majorEastAsia" w:eastAsiaTheme="majorEastAsia"/>
                <w:b/>
                <w:bCs/>
                <w:sz w:val="24"/>
                <w:szCs w:val="20"/>
              </w:rPr>
              <w:t>章节次序及名称(细化至节,必填)</w:t>
            </w:r>
          </w:p>
        </w:tc>
        <w:tc>
          <w:tcPr>
            <w:tcW w:w="4958" w:type="dxa"/>
            <w:vAlign w:val="center"/>
          </w:tcPr>
          <w:p w14:paraId="1B4BF999">
            <w:pPr>
              <w:spacing w:line="400" w:lineRule="exact"/>
              <w:jc w:val="center"/>
              <w:rPr>
                <w:rFonts w:asciiTheme="majorEastAsia" w:hAnsiTheme="majorEastAsia" w:eastAsiaTheme="majorEastAsia"/>
                <w:b/>
                <w:bCs/>
                <w:sz w:val="24"/>
                <w:szCs w:val="20"/>
              </w:rPr>
            </w:pPr>
            <w:r>
              <w:rPr>
                <w:rFonts w:hint="eastAsia" w:asciiTheme="majorEastAsia" w:hAnsiTheme="majorEastAsia" w:eastAsiaTheme="majorEastAsia"/>
                <w:b/>
                <w:bCs/>
                <w:sz w:val="24"/>
                <w:szCs w:val="20"/>
              </w:rPr>
              <w:t>主要教学内容(必填)</w:t>
            </w:r>
          </w:p>
        </w:tc>
        <w:tc>
          <w:tcPr>
            <w:tcW w:w="1363" w:type="dxa"/>
            <w:vAlign w:val="center"/>
          </w:tcPr>
          <w:p w14:paraId="5D4F7BFF">
            <w:pPr>
              <w:spacing w:line="400" w:lineRule="exact"/>
              <w:jc w:val="center"/>
              <w:rPr>
                <w:rFonts w:asciiTheme="majorEastAsia" w:hAnsiTheme="majorEastAsia" w:eastAsiaTheme="majorEastAsia"/>
                <w:b/>
                <w:bCs/>
                <w:sz w:val="24"/>
                <w:szCs w:val="20"/>
              </w:rPr>
            </w:pPr>
            <w:r>
              <w:rPr>
                <w:rFonts w:hint="eastAsia" w:asciiTheme="majorEastAsia" w:hAnsiTheme="majorEastAsia" w:eastAsiaTheme="majorEastAsia"/>
                <w:b/>
                <w:bCs/>
                <w:sz w:val="24"/>
                <w:szCs w:val="20"/>
              </w:rPr>
              <w:t>所需学时（必填）</w:t>
            </w:r>
          </w:p>
        </w:tc>
        <w:tc>
          <w:tcPr>
            <w:tcW w:w="4958" w:type="dxa"/>
            <w:vAlign w:val="center"/>
          </w:tcPr>
          <w:p w14:paraId="6886D47A">
            <w:pPr>
              <w:spacing w:line="400" w:lineRule="exact"/>
              <w:jc w:val="center"/>
              <w:rPr>
                <w:rFonts w:asciiTheme="majorEastAsia" w:hAnsiTheme="majorEastAsia" w:eastAsiaTheme="majorEastAsia"/>
                <w:b/>
                <w:bCs/>
                <w:sz w:val="24"/>
                <w:szCs w:val="20"/>
              </w:rPr>
            </w:pPr>
            <w:r>
              <w:rPr>
                <w:rFonts w:hint="eastAsia" w:asciiTheme="majorEastAsia" w:hAnsiTheme="majorEastAsia" w:eastAsiaTheme="majorEastAsia"/>
                <w:b/>
                <w:bCs/>
                <w:sz w:val="24"/>
                <w:szCs w:val="20"/>
              </w:rPr>
              <w:t>育人元素</w:t>
            </w:r>
          </w:p>
        </w:tc>
        <w:tc>
          <w:tcPr>
            <w:tcW w:w="4958" w:type="dxa"/>
            <w:vAlign w:val="center"/>
          </w:tcPr>
          <w:p w14:paraId="1F3A9E20">
            <w:pPr>
              <w:spacing w:line="400" w:lineRule="exact"/>
              <w:jc w:val="center"/>
              <w:rPr>
                <w:rFonts w:asciiTheme="majorEastAsia" w:hAnsiTheme="majorEastAsia" w:eastAsiaTheme="majorEastAsia"/>
                <w:b/>
                <w:bCs/>
                <w:sz w:val="24"/>
                <w:szCs w:val="20"/>
              </w:rPr>
            </w:pPr>
            <w:r>
              <w:rPr>
                <w:rFonts w:hint="eastAsia" w:asciiTheme="majorEastAsia" w:hAnsiTheme="majorEastAsia" w:eastAsiaTheme="majorEastAsia"/>
                <w:b/>
                <w:bCs/>
                <w:sz w:val="24"/>
                <w:szCs w:val="20"/>
              </w:rPr>
              <w:t>重点、难点</w:t>
            </w:r>
          </w:p>
        </w:tc>
        <w:tc>
          <w:tcPr>
            <w:tcW w:w="1555" w:type="dxa"/>
            <w:vAlign w:val="center"/>
          </w:tcPr>
          <w:p w14:paraId="20A8D7AF">
            <w:pPr>
              <w:spacing w:line="400" w:lineRule="exact"/>
              <w:jc w:val="center"/>
              <w:rPr>
                <w:rFonts w:asciiTheme="majorEastAsia" w:hAnsiTheme="majorEastAsia" w:eastAsiaTheme="majorEastAsia"/>
                <w:b/>
                <w:bCs/>
                <w:sz w:val="24"/>
                <w:szCs w:val="20"/>
              </w:rPr>
            </w:pPr>
            <w:r>
              <w:rPr>
                <w:rFonts w:hint="eastAsia" w:asciiTheme="majorEastAsia" w:hAnsiTheme="majorEastAsia" w:eastAsiaTheme="majorEastAsia"/>
                <w:b/>
                <w:bCs/>
                <w:sz w:val="24"/>
                <w:szCs w:val="20"/>
              </w:rPr>
              <w:t>周次（选填）</w:t>
            </w:r>
          </w:p>
        </w:tc>
        <w:tc>
          <w:tcPr>
            <w:tcW w:w="4958" w:type="dxa"/>
            <w:vAlign w:val="center"/>
          </w:tcPr>
          <w:p w14:paraId="27E9061A">
            <w:pPr>
              <w:spacing w:line="400" w:lineRule="exact"/>
              <w:jc w:val="center"/>
              <w:rPr>
                <w:rFonts w:asciiTheme="majorEastAsia" w:hAnsiTheme="majorEastAsia" w:eastAsiaTheme="majorEastAsia"/>
                <w:b/>
                <w:bCs/>
                <w:sz w:val="24"/>
                <w:szCs w:val="20"/>
              </w:rPr>
            </w:pPr>
            <w:r>
              <w:rPr>
                <w:rFonts w:hint="eastAsia" w:asciiTheme="majorEastAsia" w:hAnsiTheme="majorEastAsia" w:eastAsiaTheme="majorEastAsia"/>
                <w:b/>
                <w:bCs/>
                <w:sz w:val="24"/>
                <w:szCs w:val="20"/>
              </w:rPr>
              <w:t>备注（选填）</w:t>
            </w:r>
          </w:p>
        </w:tc>
      </w:tr>
      <w:tr w14:paraId="36E7ACD9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7F0287E1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 社交媒体概述</w:t>
            </w:r>
          </w:p>
          <w:p w14:paraId="2D608D85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4958" w:type="dxa"/>
            <w:vAlign w:val="center"/>
          </w:tcPr>
          <w:p w14:paraId="6823F464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- 课程简介</w:t>
            </w:r>
          </w:p>
          <w:p w14:paraId="348087F9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- 社交媒体的发展历程</w:t>
            </w:r>
          </w:p>
          <w:p w14:paraId="2F7BC0B9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- 社交媒体的社会影响</w:t>
            </w:r>
          </w:p>
        </w:tc>
        <w:tc>
          <w:tcPr>
            <w:tcW w:w="1363" w:type="dxa"/>
            <w:vAlign w:val="center"/>
          </w:tcPr>
          <w:p w14:paraId="063FE395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3</w:t>
            </w:r>
          </w:p>
        </w:tc>
        <w:tc>
          <w:tcPr>
            <w:tcW w:w="4958" w:type="dxa"/>
            <w:vAlign w:val="center"/>
          </w:tcPr>
          <w:p w14:paraId="179A227D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增强文化自信；强化承担国家发展的历史责任感</w:t>
            </w:r>
          </w:p>
        </w:tc>
        <w:tc>
          <w:tcPr>
            <w:tcW w:w="4958" w:type="dxa"/>
            <w:vAlign w:val="center"/>
          </w:tcPr>
          <w:p w14:paraId="5FFCFF74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1555" w:type="dxa"/>
            <w:vAlign w:val="center"/>
          </w:tcPr>
          <w:p w14:paraId="36C21F53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4958" w:type="dxa"/>
            <w:vAlign w:val="center"/>
          </w:tcPr>
          <w:p w14:paraId="5CD7180F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0A68949B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349A8E2F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 节点化的用户</w:t>
            </w:r>
          </w:p>
          <w:p w14:paraId="4B8F1A47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4958" w:type="dxa"/>
            <w:vAlign w:val="center"/>
          </w:tcPr>
          <w:p w14:paraId="103E6AB3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- 用户的数据化生存与节点化</w:t>
            </w:r>
          </w:p>
          <w:p w14:paraId="58B4FDEE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- 作为传播网络节点的用户</w:t>
            </w:r>
          </w:p>
          <w:p w14:paraId="55E0EED4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- 作为社会网络节点的用户</w:t>
            </w:r>
          </w:p>
          <w:p w14:paraId="5A792A68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- 作为服务网络节点的用户</w:t>
            </w:r>
          </w:p>
          <w:p w14:paraId="12529C91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- 矛盾的用户</w:t>
            </w:r>
          </w:p>
          <w:p w14:paraId="38BDBA83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- 人机协作主题实践</w:t>
            </w:r>
          </w:p>
        </w:tc>
        <w:tc>
          <w:tcPr>
            <w:tcW w:w="1363" w:type="dxa"/>
            <w:vAlign w:val="center"/>
          </w:tcPr>
          <w:p w14:paraId="2981979B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10</w:t>
            </w:r>
          </w:p>
        </w:tc>
        <w:tc>
          <w:tcPr>
            <w:tcW w:w="4958" w:type="dxa"/>
            <w:vAlign w:val="center"/>
          </w:tcPr>
          <w:p w14:paraId="6279135A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树立正确的人生观和价值观；适应不确定性、不完备性的能力</w:t>
            </w:r>
          </w:p>
        </w:tc>
        <w:tc>
          <w:tcPr>
            <w:tcW w:w="4958" w:type="dxa"/>
            <w:vAlign w:val="center"/>
          </w:tcPr>
          <w:p w14:paraId="7A787C82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1555" w:type="dxa"/>
            <w:vAlign w:val="center"/>
          </w:tcPr>
          <w:p w14:paraId="779B876A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4958" w:type="dxa"/>
            <w:vAlign w:val="center"/>
          </w:tcPr>
          <w:p w14:paraId="5174D768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6AD90E32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66CA9009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3 媒介化的用户</w:t>
            </w:r>
          </w:p>
        </w:tc>
        <w:tc>
          <w:tcPr>
            <w:tcW w:w="4958" w:type="dxa"/>
            <w:vAlign w:val="center"/>
          </w:tcPr>
          <w:p w14:paraId="37DCAD3A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- 现实时空与媒介化时空下的用户</w:t>
            </w:r>
          </w:p>
          <w:p w14:paraId="5251AEAC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- 用户的表演与媒介化生存</w:t>
            </w:r>
          </w:p>
          <w:p w14:paraId="015D8238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- 数据与算法框架下的用户</w:t>
            </w:r>
          </w:p>
          <w:p w14:paraId="2AD9E0F6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- 人机协作主题实践</w:t>
            </w:r>
          </w:p>
        </w:tc>
        <w:tc>
          <w:tcPr>
            <w:tcW w:w="1363" w:type="dxa"/>
            <w:vAlign w:val="center"/>
          </w:tcPr>
          <w:p w14:paraId="04AD79F5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8</w:t>
            </w:r>
          </w:p>
        </w:tc>
        <w:tc>
          <w:tcPr>
            <w:tcW w:w="4958" w:type="dxa"/>
            <w:vAlign w:val="center"/>
          </w:tcPr>
          <w:p w14:paraId="7B34C0DF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正确理解国家发展战略和产业政策</w:t>
            </w:r>
          </w:p>
        </w:tc>
        <w:tc>
          <w:tcPr>
            <w:tcW w:w="4958" w:type="dxa"/>
            <w:vAlign w:val="center"/>
          </w:tcPr>
          <w:p w14:paraId="3D4BAACD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1555" w:type="dxa"/>
            <w:vAlign w:val="center"/>
          </w:tcPr>
          <w:p w14:paraId="1D7D063B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4958" w:type="dxa"/>
            <w:vAlign w:val="center"/>
          </w:tcPr>
          <w:p w14:paraId="32A41D5E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6ADF0FDB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54E49610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4 赛博格化的用户</w:t>
            </w:r>
          </w:p>
          <w:p w14:paraId="2133FDE9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4958" w:type="dxa"/>
            <w:vAlign w:val="center"/>
          </w:tcPr>
          <w:p w14:paraId="3163A67B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- 智能时代新的数字化生存</w:t>
            </w:r>
          </w:p>
          <w:p w14:paraId="67DE76E5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- 智能时代新的人机关系</w:t>
            </w:r>
          </w:p>
          <w:p w14:paraId="140C2D61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- 人机协作主题实践</w:t>
            </w:r>
          </w:p>
        </w:tc>
        <w:tc>
          <w:tcPr>
            <w:tcW w:w="1363" w:type="dxa"/>
            <w:vAlign w:val="center"/>
          </w:tcPr>
          <w:p w14:paraId="222D7019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6</w:t>
            </w:r>
          </w:p>
        </w:tc>
        <w:tc>
          <w:tcPr>
            <w:tcW w:w="4958" w:type="dxa"/>
            <w:vAlign w:val="center"/>
          </w:tcPr>
          <w:p w14:paraId="7F14D1DB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适应不确定性、不完备性的能力；拥抱新技术与新科技</w:t>
            </w:r>
          </w:p>
        </w:tc>
        <w:tc>
          <w:tcPr>
            <w:tcW w:w="4958" w:type="dxa"/>
            <w:vAlign w:val="center"/>
          </w:tcPr>
          <w:p w14:paraId="7CDC0EC2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1555" w:type="dxa"/>
            <w:vAlign w:val="center"/>
          </w:tcPr>
          <w:p w14:paraId="4C8FA730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4958" w:type="dxa"/>
            <w:vAlign w:val="center"/>
          </w:tcPr>
          <w:p w14:paraId="20EC0AB5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78518FF9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0F704C37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5 专题调研与研讨：社交媒体现象的观察与思考</w:t>
            </w:r>
          </w:p>
        </w:tc>
        <w:tc>
          <w:tcPr>
            <w:tcW w:w="4958" w:type="dxa"/>
            <w:vAlign w:val="center"/>
          </w:tcPr>
          <w:p w14:paraId="13FE9866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社交媒体现象的观察与思考</w:t>
            </w:r>
          </w:p>
        </w:tc>
        <w:tc>
          <w:tcPr>
            <w:tcW w:w="1363" w:type="dxa"/>
            <w:vAlign w:val="center"/>
          </w:tcPr>
          <w:p w14:paraId="3F58E38F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6</w:t>
            </w:r>
          </w:p>
        </w:tc>
        <w:tc>
          <w:tcPr>
            <w:tcW w:w="4958" w:type="dxa"/>
            <w:vAlign w:val="center"/>
          </w:tcPr>
          <w:p w14:paraId="7D63191C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激发创新能力；培养严谨的治学态度</w:t>
            </w:r>
          </w:p>
        </w:tc>
        <w:tc>
          <w:tcPr>
            <w:tcW w:w="4958" w:type="dxa"/>
            <w:vAlign w:val="center"/>
          </w:tcPr>
          <w:p w14:paraId="649BC7FE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1555" w:type="dxa"/>
            <w:vAlign w:val="center"/>
          </w:tcPr>
          <w:p w14:paraId="063B6CA3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4958" w:type="dxa"/>
            <w:vAlign w:val="center"/>
          </w:tcPr>
          <w:p w14:paraId="100CEA91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2E76A605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5A35DCC7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6 课程回顾与答疑</w:t>
            </w:r>
          </w:p>
        </w:tc>
        <w:tc>
          <w:tcPr>
            <w:tcW w:w="4958" w:type="dxa"/>
            <w:vAlign w:val="center"/>
          </w:tcPr>
          <w:p w14:paraId="13117FE3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课程回顾；答疑与交流</w:t>
            </w:r>
          </w:p>
        </w:tc>
        <w:tc>
          <w:tcPr>
            <w:tcW w:w="1363" w:type="dxa"/>
            <w:vAlign w:val="center"/>
          </w:tcPr>
          <w:p w14:paraId="5061977F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3</w:t>
            </w:r>
          </w:p>
        </w:tc>
        <w:tc>
          <w:tcPr>
            <w:tcW w:w="4958" w:type="dxa"/>
            <w:vAlign w:val="center"/>
          </w:tcPr>
          <w:p w14:paraId="168E140E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4958" w:type="dxa"/>
            <w:vAlign w:val="center"/>
          </w:tcPr>
          <w:p w14:paraId="6077B513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1555" w:type="dxa"/>
            <w:vAlign w:val="center"/>
          </w:tcPr>
          <w:p w14:paraId="310876F2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4958" w:type="dxa"/>
            <w:vAlign w:val="center"/>
          </w:tcPr>
          <w:p w14:paraId="73F806EE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</w:tbl>
    <w:p w14:paraId="45A99E6D">
      <w:pPr>
        <w:rPr>
          <w:rFonts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/>
          <w:bCs/>
          <w:sz w:val="24"/>
          <w:szCs w:val="24"/>
        </w:rPr>
        <w:t>合计:36</w:t>
      </w:r>
    </w:p>
    <w:p w14:paraId="5E43895A">
      <w:pPr>
        <w:ind w:firstLine="480" w:firstLineChars="200"/>
        <w:rPr>
          <w:rFonts w:ascii="宋体" w:hAnsi="宋体" w:eastAsia="宋体"/>
          <w:bCs/>
          <w:sz w:val="24"/>
          <w:szCs w:val="24"/>
        </w:rPr>
      </w:pPr>
    </w:p>
    <w:p w14:paraId="278ACA75">
      <w:pPr>
        <w:rPr>
          <w:rFonts w:ascii="宋体" w:hAnsi="宋体" w:eastAsia="宋体"/>
          <w:bCs/>
          <w:sz w:val="24"/>
          <w:szCs w:val="24"/>
        </w:rPr>
      </w:pPr>
      <w:r>
        <w:rPr>
          <w:rFonts w:ascii="宋体" w:hAnsi="宋体" w:eastAsia="宋体"/>
          <w:bCs/>
          <w:sz w:val="24"/>
          <w:szCs w:val="24"/>
        </w:rPr>
        <w:t>（三）教学方法</w:t>
      </w:r>
    </w:p>
    <w:p w14:paraId="18475278">
      <w:pPr>
        <w:rPr>
          <w:rFonts w:ascii="仿宋" w:hAnsi="仿宋" w:eastAsia="仿宋"/>
          <w:bCs/>
          <w:sz w:val="24"/>
          <w:szCs w:val="24"/>
        </w:rPr>
      </w:pPr>
      <w:r>
        <w:rPr>
          <w:rFonts w:hint="eastAsia" w:ascii="仿宋" w:hAnsi="仿宋" w:eastAsia="仿宋"/>
          <w:bCs/>
          <w:sz w:val="24"/>
          <w:szCs w:val="24"/>
        </w:rPr>
        <w:t>请简要阐述本课程采用的教学方法及其实施方式。</w:t>
      </w:r>
    </w:p>
    <w:p w14:paraId="59429D51">
      <w:pPr>
        <w:pBdr>
          <w:top w:val="single" w:color="auto" w:sz="4" w:space="1"/>
          <w:left w:val="single" w:color="auto" w:sz="4" w:space="4"/>
          <w:bottom w:val="single" w:color="auto" w:sz="4" w:space="31"/>
          <w:right w:val="single" w:color="auto" w:sz="4" w:space="4"/>
        </w:pBdr>
        <w:spacing w:line="560" w:lineRule="exact"/>
        <w:ind w:firstLine="480" w:firstLineChars="200"/>
        <w:rPr>
          <w:rFonts w:ascii="宋体" w:hAnsi="宋体" w:eastAsia="宋体"/>
          <w:bCs/>
          <w:sz w:val="24"/>
          <w:szCs w:val="24"/>
        </w:rPr>
      </w:pPr>
      <w:r>
        <w:rPr>
          <w:rFonts w:ascii="宋体" w:hAnsi="宋体" w:eastAsia="宋体"/>
          <w:bCs/>
          <w:sz w:val="24"/>
          <w:szCs w:val="24"/>
        </w:rPr>
        <w:t>本课程拟采用多样化的教学方法：课程讲授+人机协作+主题研讨+课堂讨论+案例分析+专题调研。</w:t>
      </w:r>
    </w:p>
    <w:p w14:paraId="34BC2284">
      <w:pPr>
        <w:pBdr>
          <w:top w:val="single" w:color="auto" w:sz="4" w:space="1"/>
          <w:left w:val="single" w:color="auto" w:sz="4" w:space="4"/>
          <w:bottom w:val="single" w:color="auto" w:sz="4" w:space="31"/>
          <w:right w:val="single" w:color="auto" w:sz="4" w:space="4"/>
        </w:pBdr>
        <w:spacing w:line="560" w:lineRule="exact"/>
        <w:ind w:firstLine="480" w:firstLineChars="200"/>
        <w:rPr>
          <w:rFonts w:ascii="宋体" w:hAnsi="宋体" w:eastAsia="宋体"/>
          <w:bCs/>
          <w:sz w:val="24"/>
          <w:szCs w:val="24"/>
        </w:rPr>
      </w:pPr>
    </w:p>
    <w:p w14:paraId="1FD5E1AF">
      <w:pPr>
        <w:widowControl/>
        <w:jc w:val="left"/>
        <w:rPr>
          <w:rFonts w:ascii="宋体" w:hAnsi="宋体" w:eastAsia="宋体"/>
          <w:b/>
          <w:bCs/>
          <w:sz w:val="24"/>
          <w:szCs w:val="24"/>
        </w:rPr>
      </w:pPr>
      <w:r>
        <w:rPr>
          <w:rFonts w:ascii="宋体" w:hAnsi="宋体" w:eastAsia="宋体"/>
          <w:b/>
          <w:bCs/>
          <w:sz w:val="24"/>
          <w:szCs w:val="24"/>
        </w:rPr>
        <w:br w:type="page"/>
      </w:r>
    </w:p>
    <w:p w14:paraId="52684E21">
      <w:pPr>
        <w:pStyle w:val="18"/>
        <w:spacing w:line="480" w:lineRule="exact"/>
        <w:ind w:firstLine="0" w:firstLineChars="0"/>
        <w:rPr>
          <w:rFonts w:ascii="宋体" w:hAnsi="宋体" w:eastAsia="宋体"/>
          <w:b/>
          <w:bCs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</w:rPr>
        <w:t>四、</w:t>
      </w:r>
      <w:r>
        <w:rPr>
          <w:rFonts w:ascii="宋体" w:hAnsi="宋体" w:eastAsia="宋体"/>
          <w:b/>
          <w:bCs/>
          <w:sz w:val="24"/>
          <w:szCs w:val="24"/>
        </w:rPr>
        <w:t>课程</w:t>
      </w:r>
      <w:r>
        <w:rPr>
          <w:rFonts w:hint="eastAsia" w:ascii="宋体" w:hAnsi="宋体" w:eastAsia="宋体"/>
          <w:b/>
          <w:bCs/>
          <w:sz w:val="24"/>
          <w:szCs w:val="24"/>
        </w:rPr>
        <w:t xml:space="preserve">资源 </w:t>
      </w:r>
    </w:p>
    <w:p w14:paraId="2E7EB147">
      <w:pPr>
        <w:rPr>
          <w:rFonts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/>
          <w:bCs/>
          <w:sz w:val="24"/>
          <w:szCs w:val="24"/>
        </w:rPr>
        <w:t>请列出本课程便用的课程资源，如在线课程、各类文献资料、实习实践基地、教学团队与教学平台等。</w:t>
      </w:r>
    </w:p>
    <w:p w14:paraId="11A4A06D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line="560" w:lineRule="exact"/>
        <w:ind w:firstLine="480" w:firstLineChars="200"/>
        <w:rPr>
          <w:rFonts w:cs="仿宋" w:asciiTheme="minorEastAsia" w:hAnsiTheme="minorEastAsia" w:eastAsiaTheme="minorEastAsia"/>
          <w:sz w:val="24"/>
          <w:szCs w:val="24"/>
        </w:rPr>
      </w:pPr>
      <w:r>
        <w:rPr>
          <w:rFonts w:ascii="宋体" w:hAnsi="宋体" w:eastAsia="宋体"/>
          <w:bCs/>
          <w:sz w:val="24"/>
          <w:szCs w:val="24"/>
        </w:rPr>
        <w:t>1.本课程拟配备助教1-2名。</w:t>
      </w:r>
    </w:p>
    <w:p w14:paraId="7A1A6DF9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line="560" w:lineRule="exact"/>
        <w:ind w:firstLine="480" w:firstLineChars="200"/>
        <w:rPr>
          <w:rFonts w:cs="仿宋" w:asciiTheme="minorEastAsia" w:hAnsiTheme="minorEastAsia" w:eastAsiaTheme="minorEastAsia"/>
          <w:sz w:val="24"/>
          <w:szCs w:val="24"/>
        </w:rPr>
      </w:pPr>
      <w:r>
        <w:rPr>
          <w:rFonts w:ascii="宋体" w:hAnsi="宋体" w:eastAsia="宋体"/>
          <w:bCs/>
          <w:sz w:val="24"/>
          <w:szCs w:val="24"/>
        </w:rPr>
        <w:t>2.根据每讲内容，本课程拟推荐相关案例、线上资源等，供学生进行课外阅读与拓展学习。</w:t>
      </w:r>
    </w:p>
    <w:p w14:paraId="695287DB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line="560" w:lineRule="exact"/>
        <w:ind w:firstLine="480" w:firstLineChars="200"/>
        <w:rPr>
          <w:rFonts w:cs="仿宋" w:asciiTheme="minorEastAsia" w:hAnsiTheme="minorEastAsia" w:eastAsiaTheme="minorEastAsia"/>
          <w:sz w:val="24"/>
          <w:szCs w:val="24"/>
        </w:rPr>
      </w:pPr>
      <w:r>
        <w:rPr>
          <w:rFonts w:ascii="宋体" w:hAnsi="宋体" w:eastAsia="宋体"/>
          <w:bCs/>
          <w:sz w:val="24"/>
          <w:szCs w:val="24"/>
        </w:rPr>
        <w:t>3.本课程拟充分利用不同AI工具，进行人机协作教学探讨。</w:t>
      </w:r>
    </w:p>
    <w:p w14:paraId="2DE90B38">
      <w:pPr>
        <w:pStyle w:val="18"/>
        <w:spacing w:line="480" w:lineRule="exact"/>
        <w:ind w:firstLine="0" w:firstLineChars="0"/>
        <w:rPr>
          <w:rFonts w:ascii="宋体" w:hAnsi="宋体" w:eastAsia="宋体"/>
          <w:b/>
          <w:bCs/>
          <w:sz w:val="24"/>
          <w:szCs w:val="24"/>
        </w:rPr>
      </w:pPr>
    </w:p>
    <w:p w14:paraId="60601BEA">
      <w:pPr>
        <w:widowControl/>
        <w:jc w:val="left"/>
        <w:rPr>
          <w:rFonts w:ascii="宋体" w:hAnsi="宋体" w:eastAsia="宋体"/>
          <w:b/>
          <w:bCs/>
          <w:sz w:val="24"/>
          <w:szCs w:val="24"/>
        </w:rPr>
      </w:pPr>
      <w:r>
        <w:rPr>
          <w:rFonts w:ascii="宋体" w:hAnsi="宋体" w:eastAsia="宋体"/>
          <w:b/>
          <w:bCs/>
          <w:sz w:val="24"/>
          <w:szCs w:val="24"/>
        </w:rPr>
        <w:br w:type="page"/>
      </w:r>
    </w:p>
    <w:p w14:paraId="16B35E72">
      <w:pPr>
        <w:pStyle w:val="18"/>
        <w:spacing w:line="480" w:lineRule="exact"/>
        <w:ind w:firstLine="0" w:firstLineChars="0"/>
        <w:rPr>
          <w:rFonts w:ascii="宋体" w:hAnsi="宋体" w:eastAsia="宋体"/>
          <w:b/>
          <w:bCs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</w:rPr>
        <w:t>五、成绩评定方式</w:t>
      </w:r>
    </w:p>
    <w:p w14:paraId="13244B0E">
      <w:pPr>
        <w:rPr>
          <w:rFonts w:ascii="仿宋" w:hAnsi="仿宋" w:eastAsia="仿宋"/>
          <w:bCs/>
          <w:sz w:val="24"/>
          <w:szCs w:val="24"/>
        </w:rPr>
      </w:pPr>
      <w:r>
        <w:rPr>
          <w:rFonts w:hint="eastAsia" w:ascii="仿宋" w:hAnsi="仿宋" w:eastAsia="仿宋"/>
          <w:bCs/>
          <w:sz w:val="24"/>
          <w:szCs w:val="24"/>
        </w:rPr>
        <w:t>课程考核应坚持过程性与结果性考核相结合，采用多种形式、多个阶段的考核方式，平时成绩一般占 40%~60%左右。</w:t>
      </w:r>
    </w:p>
    <w:p w14:paraId="5F0F5A00">
      <w:pPr>
        <w:spacing w:line="480" w:lineRule="exact"/>
        <w:ind w:firstLine="482" w:firstLineChars="200"/>
        <w:rPr>
          <w:sz w:val="24"/>
        </w:rPr>
      </w:pPr>
      <w:r>
        <w:rPr>
          <w:rFonts w:hint="eastAsia"/>
          <w:b/>
          <w:sz w:val="24"/>
        </w:rPr>
        <w:t>考 核 方 式：考查</w:t>
      </w:r>
    </w:p>
    <w:p w14:paraId="0F0DE17B">
      <w:pPr>
        <w:spacing w:line="480" w:lineRule="exact"/>
        <w:ind w:firstLine="482" w:firstLineChars="200"/>
        <w:rPr>
          <w:sz w:val="24"/>
        </w:rPr>
      </w:pPr>
      <w:r>
        <w:rPr>
          <w:rFonts w:hint="eastAsia"/>
          <w:b/>
          <w:sz w:val="24"/>
        </w:rPr>
        <w:t>成绩录入方式： 百分制</w:t>
      </w:r>
    </w:p>
    <w:p w14:paraId="7CB814C0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line="560" w:lineRule="exact"/>
        <w:rPr>
          <w:rFonts w:asciiTheme="minorEastAsia" w:hAnsiTheme="minorEastAsia" w:eastAsiaTheme="minorEastAsia"/>
          <w:sz w:val="24"/>
          <w:szCs w:val="24"/>
        </w:rPr>
      </w:pPr>
      <w:r>
        <w:rPr>
          <w:rFonts w:ascii="宋体" w:hAnsi="宋体" w:eastAsia="宋体"/>
          <w:bCs/>
          <w:sz w:val="24"/>
          <w:szCs w:val="24"/>
        </w:rPr>
        <w:t>一、总成绩构成：平时考核占比60%，期末考核占比40%。</w:t>
      </w:r>
    </w:p>
    <w:p w14:paraId="729628E9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line="560" w:lineRule="exact"/>
        <w:rPr>
          <w:rFonts w:asciiTheme="minorEastAsia" w:hAnsiTheme="minorEastAsia" w:eastAsiaTheme="minorEastAsia"/>
          <w:sz w:val="24"/>
          <w:szCs w:val="24"/>
        </w:rPr>
      </w:pPr>
      <w:r>
        <w:rPr>
          <w:rFonts w:ascii="宋体" w:hAnsi="宋体" w:eastAsia="宋体"/>
          <w:bCs/>
          <w:sz w:val="24"/>
          <w:szCs w:val="24"/>
        </w:rPr>
        <w:t>二、平时考核说明：</w:t>
      </w:r>
    </w:p>
    <w:p w14:paraId="51035835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line="560" w:lineRule="exact"/>
        <w:rPr>
          <w:rFonts w:asciiTheme="minorEastAsia" w:hAnsiTheme="minorEastAsia" w:eastAsiaTheme="minorEastAsia"/>
          <w:sz w:val="24"/>
          <w:szCs w:val="24"/>
        </w:rPr>
      </w:pPr>
      <w:r>
        <w:rPr>
          <w:rFonts w:ascii="宋体" w:hAnsi="宋体" w:eastAsia="宋体"/>
          <w:bCs/>
          <w:sz w:val="24"/>
          <w:szCs w:val="24"/>
        </w:rPr>
        <w:t>（1）课堂参与度与出勤情况（占平时成绩5%）。考勤次数不少于3次，无故旷课、迟到、早退等情况扣除当次考勤分数。请假须按照学校规定执行，须提前请假，不得由他人代请假；因特殊情况未提前请假的，须事后1周内补齐请假手续，否则按旷课处理。</w:t>
      </w:r>
    </w:p>
    <w:p w14:paraId="307A29BB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line="560" w:lineRule="exact"/>
        <w:rPr>
          <w:rFonts w:asciiTheme="minorEastAsia" w:hAnsiTheme="minorEastAsia" w:eastAsiaTheme="minorEastAsia"/>
          <w:sz w:val="24"/>
          <w:szCs w:val="24"/>
        </w:rPr>
      </w:pPr>
      <w:r>
        <w:rPr>
          <w:rFonts w:ascii="宋体" w:hAnsi="宋体" w:eastAsia="宋体"/>
          <w:bCs/>
          <w:sz w:val="24"/>
          <w:szCs w:val="24"/>
        </w:rPr>
        <w:t>（2）平时作业（占平时成绩55%）。根据教学进度安排不少于2次平时作业。主要考察学生对讲授内容的理解和运用能力。未交、缓交作业的，当次不给分。因请假造成缓交作业的，须于销假时补交作业，否则按未交作业处理。</w:t>
      </w:r>
    </w:p>
    <w:p w14:paraId="78390E06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line="560" w:lineRule="exact"/>
        <w:rPr>
          <w:rFonts w:asciiTheme="minorEastAsia" w:hAnsiTheme="minorEastAsia" w:eastAsiaTheme="minorEastAsia"/>
          <w:sz w:val="24"/>
          <w:szCs w:val="24"/>
        </w:rPr>
      </w:pPr>
      <w:r>
        <w:rPr>
          <w:rFonts w:ascii="宋体" w:hAnsi="宋体" w:eastAsia="宋体"/>
          <w:bCs/>
          <w:sz w:val="24"/>
          <w:szCs w:val="24"/>
        </w:rPr>
        <w:t>三、期末考核说明：</w:t>
      </w:r>
    </w:p>
    <w:p w14:paraId="596BE6CC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line="560" w:lineRule="exact"/>
        <w:rPr>
          <w:rFonts w:asciiTheme="minorEastAsia" w:hAnsiTheme="minorEastAsia" w:eastAsiaTheme="minorEastAsia"/>
          <w:sz w:val="24"/>
          <w:szCs w:val="24"/>
        </w:rPr>
      </w:pPr>
      <w:r>
        <w:rPr>
          <w:rFonts w:ascii="宋体" w:hAnsi="宋体" w:eastAsia="宋体"/>
          <w:bCs/>
          <w:sz w:val="24"/>
          <w:szCs w:val="24"/>
        </w:rPr>
        <w:t>期末考核采用考查，考查内容为在本课程范围内，围绕一个主题，利用课堂所学的理论与方法，按照指定的格式撰写1份课程论文或调研报告。评分标准包括选题、研究内容、结构逻辑和学术规范性。</w:t>
      </w:r>
    </w:p>
    <w:p w14:paraId="6BE5EC33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line="560" w:lineRule="exact"/>
        <w:rPr>
          <w:rFonts w:asciiTheme="minorEastAsia" w:hAnsiTheme="minorEastAsia" w:eastAsiaTheme="minorEastAsia"/>
          <w:sz w:val="24"/>
          <w:szCs w:val="24"/>
        </w:rPr>
      </w:pPr>
    </w:p>
    <w:p w14:paraId="73DAB754">
      <w:pPr>
        <w:pStyle w:val="18"/>
        <w:spacing w:line="480" w:lineRule="exact"/>
        <w:ind w:left="480" w:firstLine="0" w:firstLineChars="0"/>
        <w:rPr>
          <w:rFonts w:ascii="宋体" w:hAnsi="宋体" w:eastAsia="宋体"/>
          <w:b/>
          <w:bCs/>
          <w:sz w:val="24"/>
          <w:szCs w:val="24"/>
        </w:rPr>
      </w:pPr>
    </w:p>
    <w:p w14:paraId="1468A97F">
      <w:pPr>
        <w:pStyle w:val="18"/>
        <w:spacing w:line="480" w:lineRule="exact"/>
        <w:ind w:firstLine="0" w:firstLineChars="0"/>
        <w:rPr>
          <w:rFonts w:ascii="宋体" w:hAnsi="宋体" w:eastAsia="宋体"/>
          <w:b/>
          <w:bCs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</w:rPr>
        <w:t>六、主要参考</w:t>
      </w:r>
      <w:r>
        <w:rPr>
          <w:rFonts w:ascii="宋体" w:hAnsi="宋体" w:eastAsia="宋体"/>
          <w:b/>
          <w:bCs/>
          <w:sz w:val="24"/>
          <w:szCs w:val="24"/>
        </w:rPr>
        <w:t>书目</w:t>
      </w:r>
    </w:p>
    <w:p w14:paraId="1064E386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line="480" w:lineRule="exact"/>
        <w:rPr>
          <w:rFonts w:cs="仿宋" w:asciiTheme="minorEastAsia" w:hAnsiTheme="minorEastAsia" w:eastAsiaTheme="minorEastAsia"/>
          <w:sz w:val="24"/>
          <w:szCs w:val="24"/>
        </w:rPr>
      </w:pPr>
      <w:r>
        <w:rPr>
          <w:rFonts w:ascii="宋体" w:hAnsi="宋体" w:eastAsia="宋体"/>
          <w:bCs/>
          <w:sz w:val="24"/>
          <w:szCs w:val="24"/>
        </w:rPr>
        <w:t>1. 彭兰. 社会化媒体：理论与实践解析[M]. 北京: 中国人民大学出版社, 2015.</w:t>
      </w:r>
    </w:p>
    <w:p w14:paraId="683A6F39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line="480" w:lineRule="exact"/>
        <w:rPr>
          <w:rFonts w:cs="仿宋" w:asciiTheme="minorEastAsia" w:hAnsiTheme="minorEastAsia" w:eastAsiaTheme="minorEastAsia"/>
          <w:sz w:val="24"/>
          <w:szCs w:val="24"/>
        </w:rPr>
      </w:pPr>
      <w:r>
        <w:rPr>
          <w:rFonts w:ascii="宋体" w:hAnsi="宋体" w:eastAsia="宋体"/>
          <w:bCs/>
          <w:sz w:val="24"/>
          <w:szCs w:val="24"/>
        </w:rPr>
        <w:t>2. 彭兰. 网络传播概论（第四版）[M]. 北京: 中国人民大学出版社, 2017.</w:t>
      </w:r>
    </w:p>
    <w:p w14:paraId="25335295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line="480" w:lineRule="exact"/>
        <w:rPr>
          <w:rFonts w:cs="仿宋" w:asciiTheme="minorEastAsia" w:hAnsiTheme="minorEastAsia" w:eastAsiaTheme="minorEastAsia"/>
          <w:sz w:val="24"/>
          <w:szCs w:val="24"/>
        </w:rPr>
      </w:pPr>
      <w:r>
        <w:rPr>
          <w:rFonts w:ascii="宋体" w:hAnsi="宋体" w:eastAsia="宋体"/>
          <w:bCs/>
          <w:sz w:val="24"/>
          <w:szCs w:val="24"/>
        </w:rPr>
        <w:t>3. 仇立平. 社会研究方法[M]. 重庆：重庆大学出版社, 2008.</w:t>
      </w:r>
    </w:p>
    <w:p w14:paraId="42ADC43C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line="480" w:lineRule="exact"/>
        <w:rPr>
          <w:rFonts w:cs="仿宋" w:asciiTheme="minorEastAsia" w:hAnsiTheme="minorEastAsia" w:eastAsiaTheme="minorEastAsia"/>
          <w:sz w:val="24"/>
          <w:szCs w:val="24"/>
        </w:rPr>
      </w:pPr>
    </w:p>
    <w:p w14:paraId="18FC795D">
      <w:pPr>
        <w:spacing w:line="480" w:lineRule="exact"/>
        <w:rPr>
          <w:b/>
          <w:bCs/>
          <w:i/>
          <w:iCs/>
          <w:sz w:val="24"/>
          <w:szCs w:val="24"/>
          <w:u w:val="single"/>
        </w:rPr>
      </w:pPr>
      <w:r>
        <w:rPr>
          <w:rFonts w:ascii="黑体" w:hAnsi="黑体" w:eastAsia="黑体"/>
          <w:b/>
          <w:bCs/>
          <w:sz w:val="28"/>
          <w:szCs w:val="28"/>
        </w:rPr>
        <w:t>注：</w:t>
      </w:r>
      <w:r>
        <w:rPr>
          <w:rFonts w:ascii="宋体" w:hAnsi="宋体"/>
          <w:b/>
          <w:bCs/>
          <w:i/>
          <w:iCs/>
          <w:sz w:val="24"/>
          <w:szCs w:val="24"/>
          <w:u w:val="single"/>
        </w:rPr>
        <w:t>正文为小四号</w:t>
      </w:r>
      <w:r>
        <w:rPr>
          <w:rFonts w:hint="eastAsia" w:ascii="宋体" w:hAnsi="宋体"/>
          <w:b/>
          <w:bCs/>
          <w:i/>
          <w:iCs/>
          <w:sz w:val="24"/>
          <w:szCs w:val="24"/>
          <w:u w:val="single"/>
        </w:rPr>
        <w:t>宋</w:t>
      </w:r>
      <w:r>
        <w:rPr>
          <w:rFonts w:ascii="宋体" w:hAnsi="宋体"/>
          <w:b/>
          <w:bCs/>
          <w:i/>
          <w:iCs/>
          <w:sz w:val="24"/>
          <w:szCs w:val="24"/>
          <w:u w:val="single"/>
        </w:rPr>
        <w:t>体。</w:t>
      </w:r>
    </w:p>
    <w:sectPr>
      <w:footerReference r:id="rId3" w:type="default"/>
      <w:pgSz w:w="11906" w:h="16838"/>
      <w:pgMar w:top="1440" w:right="1800" w:bottom="1440" w:left="1800" w:header="851" w:footer="992" w:gutter="0"/>
      <w:pgNumType w:start="0" w:chapStyle="1"/>
      <w:cols w:space="425" w:num="1"/>
      <w:titlePg/>
      <w:docGrid w:type="lines" w:linePitch="435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587A32">
    <w:pPr>
      <w:pStyle w:val="6"/>
      <w:jc w:val="center"/>
    </w:pPr>
    <w:r>
      <w:fldChar w:fldCharType="begin"/>
    </w:r>
    <w:r>
      <w:instrText xml:space="preserve">PAGE   \* MERGEFORMAT</w:instrText>
    </w:r>
    <w:r>
      <w:fldChar w:fldCharType="separate"/>
    </w:r>
    <w:r>
      <w:rPr>
        <w:lang w:val="zh-CN"/>
      </w:rPr>
      <w:t>1</w:t>
    </w:r>
    <w:r>
      <w:fldChar w:fldCharType="end"/>
    </w:r>
  </w:p>
  <w:p w14:paraId="5E54C966">
    <w:pPr>
      <w:pStyle w:val="6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drawingGridHorizontalSpacing w:val="160"/>
  <w:drawingGridVerticalSpacing w:val="435"/>
  <w:displayHorizontalDrawingGridEvery w:val="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1532"/>
    <w:rsid w:val="000156B4"/>
    <w:rsid w:val="000C589C"/>
    <w:rsid w:val="00100A9E"/>
    <w:rsid w:val="0011396B"/>
    <w:rsid w:val="00163D68"/>
    <w:rsid w:val="001E5BA8"/>
    <w:rsid w:val="001F27FE"/>
    <w:rsid w:val="00261C66"/>
    <w:rsid w:val="00323307"/>
    <w:rsid w:val="00334E6D"/>
    <w:rsid w:val="003C4767"/>
    <w:rsid w:val="003C4B7C"/>
    <w:rsid w:val="004C188A"/>
    <w:rsid w:val="004D6EF2"/>
    <w:rsid w:val="004F1A73"/>
    <w:rsid w:val="00537774"/>
    <w:rsid w:val="00575107"/>
    <w:rsid w:val="00634CEE"/>
    <w:rsid w:val="006B17A7"/>
    <w:rsid w:val="006D1BF4"/>
    <w:rsid w:val="006E5D54"/>
    <w:rsid w:val="00724C14"/>
    <w:rsid w:val="0077418E"/>
    <w:rsid w:val="007D022B"/>
    <w:rsid w:val="007F1532"/>
    <w:rsid w:val="00816C2B"/>
    <w:rsid w:val="00855DC4"/>
    <w:rsid w:val="0087443B"/>
    <w:rsid w:val="00900E7C"/>
    <w:rsid w:val="00975C55"/>
    <w:rsid w:val="009876B0"/>
    <w:rsid w:val="00996EBF"/>
    <w:rsid w:val="009A5908"/>
    <w:rsid w:val="00A71237"/>
    <w:rsid w:val="00A716D2"/>
    <w:rsid w:val="00A830B0"/>
    <w:rsid w:val="00AA2D87"/>
    <w:rsid w:val="00B029E3"/>
    <w:rsid w:val="00B239FA"/>
    <w:rsid w:val="00B46933"/>
    <w:rsid w:val="00B75139"/>
    <w:rsid w:val="00D04E18"/>
    <w:rsid w:val="00D52D2D"/>
    <w:rsid w:val="00E04836"/>
    <w:rsid w:val="00E11999"/>
    <w:rsid w:val="00ED410E"/>
    <w:rsid w:val="00F962D0"/>
    <w:rsid w:val="00FE3566"/>
    <w:rsid w:val="0EE7731A"/>
    <w:rsid w:val="1EBB67AC"/>
    <w:rsid w:val="2FA364BD"/>
    <w:rsid w:val="40222448"/>
    <w:rsid w:val="51C0783E"/>
    <w:rsid w:val="52820048"/>
    <w:rsid w:val="60C475AD"/>
    <w:rsid w:val="6ED24CB1"/>
    <w:rsid w:val="7AE604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mn-Mong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宋体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qFormat="1" w:unhideWhenUsed="0" w:uiPriority="0" w:semiHidden="0" w:name="footnote text"/>
    <w:lsdException w:qFormat="1" w:uiPriority="0" w:name="annotation text"/>
    <w:lsdException w:qFormat="1" w:unhideWhenUsed="0" w:uiPriority="99" w:semiHidden="0" w:name="header"/>
    <w:lsdException w:qFormat="1" w:unhideWhenUsed="0" w:uiPriority="99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qFormat="1" w:unhideWhenUsed="0" w:uiPriority="0" w:semiHidden="0" w:name="footnote reference"/>
    <w:lsdException w:qFormat="1" w:uiPriority="0" w:name="annotation reference"/>
    <w:lsdException w:uiPriority="0" w:name="line number"/>
    <w:lsdException w:uiPriority="0" w:name="page number"/>
    <w:lsdException w:uiPriority="0" w:name="endnote reference"/>
    <w:lsdException w:qFormat="1" w:unhideWhenUsed="0" w:uiPriority="0" w:semiHidden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uiPriority="0" w:name="Body Text"/>
    <w:lsdException w:unhideWhenUsed="0" w:uiPriority="99" w:semiHidden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0" w:name="Hyperlink"/>
    <w:lsdException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uiPriority="99" w:name="Normal Table"/>
    <w:lsdException w:qFormat="1"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3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仿宋_GB2312" w:cs="Times New Roman"/>
      <w:kern w:val="2"/>
      <w:sz w:val="32"/>
      <w:szCs w:val="32"/>
      <w:lang w:val="en-US" w:eastAsia="zh-CN" w:bidi="ar-SA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24"/>
    <w:semiHidden/>
    <w:unhideWhenUsed/>
    <w:qFormat/>
    <w:uiPriority w:val="0"/>
    <w:pPr>
      <w:jc w:val="left"/>
    </w:pPr>
  </w:style>
  <w:style w:type="paragraph" w:styleId="3">
    <w:name w:val="Body Text Indent"/>
    <w:basedOn w:val="1"/>
    <w:link w:val="20"/>
    <w:uiPriority w:val="99"/>
    <w:pPr>
      <w:ind w:firstLine="560" w:firstLineChars="200"/>
    </w:pPr>
    <w:rPr>
      <w:rFonts w:ascii="Arial" w:hAnsi="Arial" w:eastAsia="楷体_GB2312" w:cs="Arial"/>
      <w:sz w:val="28"/>
      <w:szCs w:val="28"/>
    </w:rPr>
  </w:style>
  <w:style w:type="paragraph" w:styleId="4">
    <w:name w:val="endnote text"/>
    <w:basedOn w:val="1"/>
    <w:qFormat/>
    <w:uiPriority w:val="0"/>
    <w:pPr>
      <w:snapToGrid w:val="0"/>
      <w:jc w:val="left"/>
    </w:pPr>
  </w:style>
  <w:style w:type="paragraph" w:styleId="5">
    <w:name w:val="Balloon Text"/>
    <w:basedOn w:val="1"/>
    <w:link w:val="23"/>
    <w:qFormat/>
    <w:uiPriority w:val="0"/>
    <w:rPr>
      <w:sz w:val="18"/>
      <w:szCs w:val="18"/>
    </w:rPr>
  </w:style>
  <w:style w:type="paragraph" w:styleId="6">
    <w:name w:val="footer"/>
    <w:basedOn w:val="1"/>
    <w:link w:val="22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21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Subtitle"/>
    <w:basedOn w:val="1"/>
    <w:link w:val="19"/>
    <w:qFormat/>
    <w:uiPriority w:val="0"/>
    <w:pPr>
      <w:spacing w:before="240" w:after="60" w:line="312" w:lineRule="auto"/>
      <w:jc w:val="center"/>
      <w:outlineLvl w:val="1"/>
    </w:pPr>
    <w:rPr>
      <w:rFonts w:ascii="Arial" w:hAnsi="Arial" w:eastAsia="宋体" w:cs="Arial"/>
      <w:b/>
      <w:bCs/>
      <w:kern w:val="28"/>
    </w:rPr>
  </w:style>
  <w:style w:type="paragraph" w:styleId="9">
    <w:name w:val="footnote text"/>
    <w:basedOn w:val="1"/>
    <w:qFormat/>
    <w:uiPriority w:val="0"/>
    <w:pPr>
      <w:snapToGrid w:val="0"/>
      <w:jc w:val="left"/>
    </w:pPr>
    <w:rPr>
      <w:sz w:val="18"/>
    </w:rPr>
  </w:style>
  <w:style w:type="paragraph" w:styleId="10">
    <w:name w:val="annotation subject"/>
    <w:basedOn w:val="2"/>
    <w:next w:val="2"/>
    <w:link w:val="25"/>
    <w:semiHidden/>
    <w:unhideWhenUsed/>
    <w:qFormat/>
    <w:uiPriority w:val="0"/>
    <w:rPr>
      <w:b/>
      <w:bCs/>
    </w:rPr>
  </w:style>
  <w:style w:type="table" w:styleId="12">
    <w:name w:val="Table Grid"/>
    <w:basedOn w:val="11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annotation reference"/>
    <w:basedOn w:val="13"/>
    <w:semiHidden/>
    <w:unhideWhenUsed/>
    <w:qFormat/>
    <w:uiPriority w:val="0"/>
    <w:rPr>
      <w:sz w:val="21"/>
      <w:szCs w:val="21"/>
    </w:rPr>
  </w:style>
  <w:style w:type="character" w:styleId="15">
    <w:name w:val="footnote reference"/>
    <w:basedOn w:val="13"/>
    <w:qFormat/>
    <w:uiPriority w:val="0"/>
    <w:rPr>
      <w:vertAlign w:val="superscript"/>
    </w:rPr>
  </w:style>
  <w:style w:type="paragraph" w:customStyle="1" w:styleId="16">
    <w:name w:val="MTable"/>
    <w:basedOn w:val="3"/>
    <w:link w:val="17"/>
    <w:qFormat/>
    <w:uiPriority w:val="0"/>
    <w:pPr>
      <w:adjustRightInd w:val="0"/>
      <w:snapToGrid w:val="0"/>
      <w:ind w:firstLine="0" w:firstLineChars="0"/>
      <w:jc w:val="center"/>
    </w:pPr>
    <w:rPr>
      <w:rFonts w:ascii="宋体" w:hAnsi="宋体" w:eastAsia="宋体"/>
      <w:sz w:val="24"/>
      <w:szCs w:val="24"/>
    </w:rPr>
  </w:style>
  <w:style w:type="character" w:customStyle="1" w:styleId="17">
    <w:name w:val="MTable 字符"/>
    <w:link w:val="16"/>
    <w:uiPriority w:val="0"/>
    <w:rPr>
      <w:rFonts w:ascii="宋体" w:hAnsi="宋体" w:eastAsia="楷体_GB2312" w:cs="Arial"/>
      <w:kern w:val="2"/>
      <w:sz w:val="24"/>
      <w:szCs w:val="24"/>
    </w:rPr>
  </w:style>
  <w:style w:type="paragraph" w:styleId="18">
    <w:name w:val="List Paragraph"/>
    <w:basedOn w:val="1"/>
    <w:qFormat/>
    <w:uiPriority w:val="34"/>
    <w:pPr>
      <w:ind w:firstLine="420" w:firstLineChars="200"/>
    </w:pPr>
  </w:style>
  <w:style w:type="character" w:customStyle="1" w:styleId="19">
    <w:name w:val="副标题 Char"/>
    <w:basedOn w:val="13"/>
    <w:link w:val="8"/>
    <w:qFormat/>
    <w:uiPriority w:val="99"/>
    <w:rPr>
      <w:rFonts w:ascii="Arial" w:hAnsi="Arial" w:eastAsia="宋体" w:cs="Arial"/>
      <w:b/>
      <w:bCs/>
      <w:kern w:val="28"/>
      <w:sz w:val="32"/>
      <w:szCs w:val="32"/>
    </w:rPr>
  </w:style>
  <w:style w:type="character" w:customStyle="1" w:styleId="20">
    <w:name w:val="正文文本缩进 Char"/>
    <w:basedOn w:val="13"/>
    <w:link w:val="3"/>
    <w:qFormat/>
    <w:uiPriority w:val="99"/>
    <w:rPr>
      <w:rFonts w:ascii="Arial" w:hAnsi="Arial" w:eastAsia="楷体_GB2312" w:cs="Arial"/>
      <w:sz w:val="28"/>
      <w:szCs w:val="28"/>
    </w:rPr>
  </w:style>
  <w:style w:type="character" w:customStyle="1" w:styleId="21">
    <w:name w:val="页眉 Char"/>
    <w:basedOn w:val="13"/>
    <w:link w:val="7"/>
    <w:qFormat/>
    <w:uiPriority w:val="99"/>
    <w:rPr>
      <w:rFonts w:ascii="Times New Roman" w:hAnsi="Times New Roman" w:eastAsia="仿宋_GB2312" w:cs="Times New Roman"/>
      <w:sz w:val="18"/>
      <w:szCs w:val="18"/>
    </w:rPr>
  </w:style>
  <w:style w:type="character" w:customStyle="1" w:styleId="22">
    <w:name w:val="页脚 Char"/>
    <w:basedOn w:val="13"/>
    <w:link w:val="6"/>
    <w:qFormat/>
    <w:uiPriority w:val="99"/>
    <w:rPr>
      <w:rFonts w:ascii="Times New Roman" w:hAnsi="Times New Roman" w:eastAsia="仿宋_GB2312" w:cs="Times New Roman"/>
      <w:sz w:val="18"/>
      <w:szCs w:val="18"/>
    </w:rPr>
  </w:style>
  <w:style w:type="character" w:customStyle="1" w:styleId="23">
    <w:name w:val="批注框文本 Char"/>
    <w:basedOn w:val="13"/>
    <w:link w:val="5"/>
    <w:qFormat/>
    <w:uiPriority w:val="0"/>
    <w:rPr>
      <w:rFonts w:ascii="Times New Roman" w:hAnsi="Times New Roman" w:eastAsia="仿宋_GB2312" w:cs="Times New Roman"/>
      <w:kern w:val="2"/>
      <w:sz w:val="18"/>
      <w:szCs w:val="18"/>
    </w:rPr>
  </w:style>
  <w:style w:type="character" w:customStyle="1" w:styleId="24">
    <w:name w:val="批注文字 Char"/>
    <w:basedOn w:val="13"/>
    <w:link w:val="2"/>
    <w:semiHidden/>
    <w:qFormat/>
    <w:uiPriority w:val="0"/>
    <w:rPr>
      <w:rFonts w:ascii="Times New Roman" w:hAnsi="Times New Roman" w:eastAsia="仿宋_GB2312" w:cs="Times New Roman"/>
      <w:kern w:val="2"/>
      <w:sz w:val="32"/>
      <w:szCs w:val="32"/>
    </w:rPr>
  </w:style>
  <w:style w:type="character" w:customStyle="1" w:styleId="25">
    <w:name w:val="批注主题 Char"/>
    <w:basedOn w:val="24"/>
    <w:link w:val="10"/>
    <w:semiHidden/>
    <w:qFormat/>
    <w:uiPriority w:val="0"/>
    <w:rPr>
      <w:rFonts w:ascii="Times New Roman" w:hAnsi="Times New Roman" w:eastAsia="仿宋_GB2312" w:cs="Times New Roman"/>
      <w:b/>
      <w:bCs/>
      <w:kern w:val="2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205</Words>
  <Characters>1172</Characters>
  <Lines>9</Lines>
  <Paragraphs>2</Paragraphs>
  <TotalTime>0</TotalTime>
  <ScaleCrop>false</ScaleCrop>
  <LinksUpToDate>false</LinksUpToDate>
  <CharactersWithSpaces>1375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2018-09-06T04:09:00Z</dcterms:created>
  <dc:creator>chen</dc:creator>
  <cp:lastModifiedBy>Vante.</cp:lastModifiedBy>
  <cp:lastPrinted>2018-06-28T02:23:00Z</cp:lastPrinted>
  <dcterms:modified xsi:type="dcterms:W3CDTF">2026-04-12T06:25:32Z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9388A996348E40108BC9AD280CD3A729_13</vt:lpwstr>
  </property>
</Properties>
</file>