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815BF2">
      <w:pPr>
        <w:spacing w:line="480" w:lineRule="exact"/>
        <w:rPr>
          <w:sz w:val="24"/>
        </w:rPr>
      </w:pPr>
      <w:bookmarkStart w:id="0" w:name="_GoBack"/>
      <w:bookmarkEnd w:id="0"/>
    </w:p>
    <w:p w14:paraId="357454AB">
      <w:pPr>
        <w:spacing w:line="1480" w:lineRule="exact"/>
        <w:jc w:val="center"/>
        <w:rPr>
          <w:rFonts w:eastAsia="楷体_GB2312"/>
          <w:b/>
          <w:bCs/>
          <w:spacing w:val="40"/>
          <w:sz w:val="72"/>
        </w:rPr>
      </w:pPr>
      <w:r>
        <w:rPr>
          <w:rFonts w:eastAsia="楷体_GB2312"/>
          <w:b/>
          <w:bCs/>
          <w:spacing w:val="40"/>
          <w:sz w:val="72"/>
        </w:rPr>
        <w:t>中山大学</w:t>
      </w:r>
    </w:p>
    <w:p w14:paraId="183D6743">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65841BF9">
      <w:pPr>
        <w:spacing w:line="1480" w:lineRule="exact"/>
        <w:jc w:val="center"/>
        <w:rPr>
          <w:sz w:val="52"/>
        </w:rPr>
      </w:pPr>
    </w:p>
    <w:p w14:paraId="534DF16F">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2FD75FAC">
      <w:pPr>
        <w:spacing w:line="480" w:lineRule="exact"/>
        <w:ind w:firstLine="2127" w:firstLineChars="709"/>
        <w:rPr>
          <w:rFonts w:eastAsia="黑体"/>
          <w:sz w:val="30"/>
          <w:u w:val="single"/>
        </w:rPr>
      </w:pPr>
    </w:p>
    <w:p w14:paraId="431232F8">
      <w:pPr>
        <w:spacing w:line="480" w:lineRule="exact"/>
        <w:ind w:firstLine="2127" w:firstLineChars="709"/>
        <w:rPr>
          <w:sz w:val="30"/>
          <w:u w:val="single"/>
        </w:rPr>
      </w:pPr>
      <w:r>
        <w:rPr>
          <w:rFonts w:eastAsia="黑体"/>
          <w:sz w:val="30"/>
        </w:rPr>
        <w:t>课程名称</w:t>
      </w:r>
      <w:r>
        <w:rPr>
          <w:rFonts w:eastAsia="黑体"/>
          <w:sz w:val="30"/>
          <w:u w:val="single"/>
        </w:rPr>
        <w:t xml:space="preserve"> 信息计量学</w:t>
      </w:r>
    </w:p>
    <w:p w14:paraId="47471231">
      <w:pPr>
        <w:spacing w:line="900" w:lineRule="exact"/>
        <w:ind w:firstLine="3600" w:firstLineChars="1200"/>
        <w:rPr>
          <w:sz w:val="30"/>
        </w:rPr>
      </w:pPr>
    </w:p>
    <w:p w14:paraId="7866D583">
      <w:pPr>
        <w:spacing w:line="900" w:lineRule="exact"/>
        <w:jc w:val="center"/>
        <w:rPr>
          <w:rFonts w:eastAsia="仿宋_GB2312"/>
          <w:b/>
          <w:bCs/>
          <w:kern w:val="28"/>
          <w:sz w:val="32"/>
          <w:szCs w:val="32"/>
        </w:rPr>
      </w:pPr>
    </w:p>
    <w:p w14:paraId="30B0D179">
      <w:pPr>
        <w:spacing w:line="900" w:lineRule="exact"/>
        <w:jc w:val="center"/>
        <w:rPr>
          <w:rFonts w:eastAsia="仿宋_GB2312"/>
          <w:b/>
          <w:bCs/>
          <w:kern w:val="28"/>
          <w:sz w:val="32"/>
          <w:szCs w:val="32"/>
        </w:rPr>
      </w:pPr>
    </w:p>
    <w:p w14:paraId="4307055C">
      <w:pPr>
        <w:spacing w:line="900" w:lineRule="exact"/>
        <w:jc w:val="center"/>
        <w:rPr>
          <w:rFonts w:eastAsia="仿宋_GB2312"/>
          <w:b/>
          <w:bCs/>
          <w:kern w:val="28"/>
          <w:sz w:val="32"/>
          <w:szCs w:val="32"/>
        </w:rPr>
      </w:pPr>
    </w:p>
    <w:p w14:paraId="163C92FF">
      <w:pPr>
        <w:spacing w:line="900" w:lineRule="exact"/>
        <w:jc w:val="center"/>
        <w:rPr>
          <w:rFonts w:eastAsia="仿宋_GB2312"/>
          <w:b/>
          <w:bCs/>
          <w:kern w:val="28"/>
          <w:sz w:val="32"/>
          <w:szCs w:val="32"/>
        </w:rPr>
      </w:pPr>
    </w:p>
    <w:p w14:paraId="7381526F">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023C96FF">
      <w:pPr>
        <w:spacing w:line="900" w:lineRule="exact"/>
        <w:jc w:val="center"/>
        <w:rPr>
          <w:rFonts w:ascii="仿宋_GB2312" w:hAnsi="仿宋_GB2312" w:eastAsia="仿宋_GB2312" w:cs="仿宋_GB2312"/>
          <w:b/>
          <w:bCs/>
          <w:kern w:val="28"/>
          <w:sz w:val="32"/>
          <w:szCs w:val="32"/>
        </w:rPr>
      </w:pPr>
    </w:p>
    <w:p w14:paraId="3E333110">
      <w:pPr>
        <w:spacing w:line="900" w:lineRule="exact"/>
        <w:jc w:val="center"/>
        <w:rPr>
          <w:rFonts w:hint="eastAsia" w:ascii="仿宋_GB2312" w:hAnsi="仿宋_GB2312" w:eastAsia="仿宋_GB2312" w:cs="仿宋_GB2312"/>
          <w:b/>
          <w:bCs/>
          <w:kern w:val="28"/>
          <w:sz w:val="32"/>
          <w:szCs w:val="32"/>
        </w:rPr>
      </w:pPr>
    </w:p>
    <w:p w14:paraId="39B36814">
      <w:pPr>
        <w:spacing w:line="900" w:lineRule="exact"/>
        <w:jc w:val="center"/>
        <w:rPr>
          <w:rFonts w:hint="eastAsia" w:eastAsia="仿宋_GB2312"/>
          <w:b/>
          <w:bCs/>
          <w:kern w:val="28"/>
          <w:sz w:val="32"/>
          <w:szCs w:val="32"/>
        </w:rPr>
      </w:pPr>
    </w:p>
    <w:p w14:paraId="7ABD13BF">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2FA06260">
      <w:pPr>
        <w:pStyle w:val="2"/>
        <w:spacing w:line="480" w:lineRule="exact"/>
        <w:ind w:firstLine="0" w:firstLineChars="0"/>
        <w:jc w:val="center"/>
        <w:rPr>
          <w:rFonts w:eastAsia="宋体"/>
          <w:sz w:val="24"/>
        </w:rPr>
      </w:pPr>
      <w:r>
        <w:rPr>
          <w:rFonts w:eastAsia="宋体"/>
          <w:sz w:val="24"/>
        </w:rPr>
        <w:t>（编写日期：2025年11月）</w:t>
      </w:r>
    </w:p>
    <w:p w14:paraId="43434C7A">
      <w:pPr>
        <w:pStyle w:val="2"/>
        <w:spacing w:line="480" w:lineRule="exact"/>
        <w:ind w:firstLine="0" w:firstLineChars="0"/>
        <w:jc w:val="center"/>
        <w:rPr>
          <w:rFonts w:eastAsia="宋体"/>
          <w:sz w:val="24"/>
        </w:rPr>
      </w:pPr>
    </w:p>
    <w:p w14:paraId="69E28318">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731E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2266F7B4">
            <w:pPr>
              <w:pStyle w:val="2"/>
              <w:spacing w:line="480" w:lineRule="exact"/>
              <w:ind w:firstLine="0" w:firstLineChars="0"/>
              <w:jc w:val="center"/>
              <w:rPr>
                <w:rFonts w:eastAsia="宋体"/>
                <w:sz w:val="24"/>
              </w:rPr>
            </w:pPr>
          </w:p>
          <w:p w14:paraId="58A1A68D">
            <w:pPr>
              <w:pStyle w:val="2"/>
              <w:adjustRightInd w:val="0"/>
              <w:snapToGrid w:val="0"/>
              <w:ind w:firstLine="0" w:firstLineChars="0"/>
              <w:jc w:val="center"/>
              <w:rPr>
                <w:rFonts w:eastAsia="宋体"/>
                <w:sz w:val="24"/>
                <w:lang w:val="en-US" w:eastAsia="zh-CN"/>
              </w:rPr>
            </w:pPr>
            <w:r>
              <w:rPr>
                <w:rFonts w:eastAsia="宋体"/>
                <w:sz w:val="24"/>
                <w:lang w:val="en-US" w:eastAsia="zh-CN"/>
              </w:rPr>
              <w:t>信息计量学</w:t>
            </w:r>
          </w:p>
          <w:p w14:paraId="6A713057">
            <w:pPr>
              <w:pStyle w:val="2"/>
              <w:adjustRightInd w:val="0"/>
              <w:snapToGrid w:val="0"/>
              <w:ind w:firstLine="0" w:firstLineChars="0"/>
              <w:jc w:val="center"/>
              <w:rPr>
                <w:rFonts w:eastAsia="宋体"/>
                <w:sz w:val="24"/>
                <w:lang w:val="en-US" w:eastAsia="zh-CN"/>
              </w:rPr>
            </w:pPr>
            <w:r>
              <w:rPr>
                <w:rFonts w:eastAsia="宋体"/>
                <w:sz w:val="24"/>
                <w:lang w:val="en-US" w:eastAsia="zh-CN"/>
              </w:rPr>
              <w:t>Informetrics</w:t>
            </w:r>
          </w:p>
          <w:p w14:paraId="542AFDE0">
            <w:pPr>
              <w:pStyle w:val="2"/>
              <w:spacing w:line="480" w:lineRule="exact"/>
              <w:ind w:firstLine="0" w:firstLineChars="0"/>
              <w:jc w:val="center"/>
              <w:rPr>
                <w:rFonts w:eastAsia="宋体"/>
                <w:sz w:val="24"/>
              </w:rPr>
            </w:pPr>
          </w:p>
        </w:tc>
      </w:tr>
      <w:tr w14:paraId="0E689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66A5A0AD">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511D4447">
            <w:pPr>
              <w:jc w:val="center"/>
              <w:rPr>
                <w:sz w:val="24"/>
              </w:rPr>
            </w:pPr>
            <w:r>
              <w:rPr>
                <w:rFonts w:hint="eastAsia" w:eastAsia="宋体"/>
                <w:sz w:val="24"/>
                <w:lang w:val="en-US" w:eastAsia="zh-CN"/>
              </w:rPr>
              <w:t>专必</w:t>
            </w:r>
          </w:p>
        </w:tc>
        <w:tc>
          <w:tcPr>
            <w:tcW w:w="1598" w:type="dxa"/>
            <w:vAlign w:val="center"/>
          </w:tcPr>
          <w:p w14:paraId="4269F192">
            <w:pPr>
              <w:rPr>
                <w:sz w:val="24"/>
              </w:rPr>
            </w:pPr>
            <w:r>
              <w:rPr>
                <w:sz w:val="24"/>
              </w:rPr>
              <w:t>课程编码</w:t>
            </w:r>
          </w:p>
        </w:tc>
        <w:tc>
          <w:tcPr>
            <w:tcW w:w="1435" w:type="dxa"/>
            <w:vAlign w:val="center"/>
          </w:tcPr>
          <w:p w14:paraId="2BCC05DF">
            <w:pPr>
              <w:jc w:val="center"/>
              <w:rPr>
                <w:sz w:val="24"/>
              </w:rPr>
            </w:pPr>
            <w:r>
              <w:rPr>
                <w:sz w:val="24"/>
              </w:rPr>
              <w:t>IM238</w:t>
            </w:r>
          </w:p>
        </w:tc>
        <w:tc>
          <w:tcPr>
            <w:tcW w:w="1400" w:type="dxa"/>
            <w:vAlign w:val="center"/>
          </w:tcPr>
          <w:p w14:paraId="1CE89656">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66733EF">
            <w:pPr>
              <w:jc w:val="center"/>
              <w:rPr>
                <w:sz w:val="24"/>
              </w:rPr>
            </w:pPr>
            <w:r>
              <w:rPr>
                <w:rFonts w:eastAsia="宋体"/>
                <w:sz w:val="24"/>
                <w:lang w:val="en-US" w:eastAsia="zh-CN"/>
              </w:rPr>
              <w:t>信息管理学院</w:t>
            </w:r>
          </w:p>
        </w:tc>
      </w:tr>
      <w:tr w14:paraId="07669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B75E7F0">
            <w:pPr>
              <w:jc w:val="center"/>
              <w:rPr>
                <w:sz w:val="24"/>
              </w:rPr>
            </w:pPr>
            <w:r>
              <w:rPr>
                <w:sz w:val="24"/>
              </w:rPr>
              <w:t>学分</w:t>
            </w:r>
          </w:p>
        </w:tc>
        <w:tc>
          <w:tcPr>
            <w:tcW w:w="1379" w:type="dxa"/>
            <w:vAlign w:val="center"/>
          </w:tcPr>
          <w:p w14:paraId="70316ADA">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w:t>
            </w:r>
          </w:p>
        </w:tc>
        <w:tc>
          <w:tcPr>
            <w:tcW w:w="1598" w:type="dxa"/>
            <w:vAlign w:val="center"/>
          </w:tcPr>
          <w:p w14:paraId="036FF16A">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2A1414E6">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54</w:t>
            </w:r>
          </w:p>
        </w:tc>
        <w:tc>
          <w:tcPr>
            <w:tcW w:w="1400" w:type="dxa"/>
            <w:vAlign w:val="center"/>
          </w:tcPr>
          <w:p w14:paraId="6C88C75E">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3A4E729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2E95C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1055D7C7">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11D3D4B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信息管理与信息系统Information Management and Information Systems</w:t>
            </w:r>
          </w:p>
        </w:tc>
      </w:tr>
      <w:tr w14:paraId="59E4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7BD63AA7">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43EF1FA3">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张洋</w:t>
            </w:r>
          </w:p>
        </w:tc>
      </w:tr>
      <w:tr w14:paraId="188F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30873B24">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00B41290">
            <w:pPr>
              <w:pStyle w:val="2"/>
              <w:adjustRightInd w:val="0"/>
              <w:snapToGrid w:val="0"/>
              <w:ind w:firstLine="0" w:firstLineChars="0"/>
              <w:jc w:val="left"/>
              <w:rPr>
                <w:rFonts w:hint="eastAsia" w:eastAsia="宋体"/>
                <w:sz w:val="24"/>
                <w:lang w:val="en-US" w:eastAsia="zh-CN"/>
              </w:rPr>
            </w:pPr>
          </w:p>
        </w:tc>
      </w:tr>
      <w:tr w14:paraId="0CF7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053350E3">
            <w:pPr>
              <w:pStyle w:val="2"/>
              <w:spacing w:line="480" w:lineRule="exact"/>
              <w:ind w:firstLine="0" w:firstLineChars="0"/>
              <w:jc w:val="center"/>
              <w:rPr>
                <w:rFonts w:eastAsia="宋体"/>
                <w:sz w:val="24"/>
                <w:lang w:val="en-US" w:eastAsia="zh-CN"/>
              </w:rPr>
            </w:pPr>
          </w:p>
          <w:p w14:paraId="1DF0BB83">
            <w:pPr>
              <w:pStyle w:val="2"/>
              <w:spacing w:line="480" w:lineRule="exact"/>
              <w:ind w:firstLine="0" w:firstLineChars="0"/>
              <w:jc w:val="center"/>
              <w:rPr>
                <w:rFonts w:eastAsia="宋体"/>
                <w:sz w:val="24"/>
                <w:lang w:val="en-US" w:eastAsia="zh-CN"/>
              </w:rPr>
            </w:pPr>
          </w:p>
          <w:p w14:paraId="6F718D6D">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EBF9BF4">
            <w:pPr>
              <w:pStyle w:val="2"/>
              <w:spacing w:line="480" w:lineRule="exact"/>
              <w:ind w:firstLine="0" w:firstLineChars="0"/>
              <w:jc w:val="center"/>
              <w:rPr>
                <w:rFonts w:eastAsia="宋体"/>
                <w:sz w:val="24"/>
                <w:lang w:val="en-US" w:eastAsia="zh-CN"/>
              </w:rPr>
            </w:pPr>
          </w:p>
          <w:p w14:paraId="68D0E6B4">
            <w:pPr>
              <w:pStyle w:val="2"/>
              <w:spacing w:line="480" w:lineRule="exact"/>
              <w:ind w:firstLine="0" w:firstLineChars="0"/>
              <w:jc w:val="center"/>
              <w:rPr>
                <w:rFonts w:eastAsia="宋体"/>
                <w:sz w:val="24"/>
                <w:lang w:val="en-US" w:eastAsia="zh-CN"/>
              </w:rPr>
            </w:pPr>
          </w:p>
        </w:tc>
        <w:tc>
          <w:tcPr>
            <w:tcW w:w="7157" w:type="dxa"/>
            <w:gridSpan w:val="5"/>
            <w:vAlign w:val="center"/>
          </w:tcPr>
          <w:p w14:paraId="7FA5EFBA">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信息计量学是图书情报与档案管理和信息管理领域的一门重要分支学科。通过这门课程的教学，帮助学生树立从定量的角度分析研究信息分布和变化规律的意识，并初步掌握对科学技术文献的各种外部和内部特征进行统计分析的基本程序和基本方法，以及在图书情报工作、信息管理、信息服务、科学评价、科技管理等实践领域的应用。同时，通过本课程的学习，建立对科学发展客观规律的正确认知，加强本专业学生的使命感和责任感，提高思想政治水平。</w:t>
            </w:r>
          </w:p>
          <w:p w14:paraId="3870AD1F">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通过本课程的学习，要求学生：</w:t>
            </w:r>
          </w:p>
          <w:p w14:paraId="6EFE7BF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（1）牢固掌握信息计量学的发展历程、基本概念、研究对象、研究内容、应用领域等基本问题；</w:t>
            </w:r>
          </w:p>
          <w:p w14:paraId="52FD172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（2）牢固掌握信息计量学的基本定律，包括“文献信息增长规律”、“文献信息老化规律”、“布拉德福定律”、“齐普夫定律”、“洛特卡定律”、“文献信息引证规律”等；</w:t>
            </w:r>
          </w:p>
          <w:p w14:paraId="052F9C6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（3）一般掌握布拉德福分析方法、引文分析法等信息计量学的基本方法；</w:t>
            </w:r>
          </w:p>
          <w:p w14:paraId="51EF5F03">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（4）一般了解信息计量学的新发展和新问题；</w:t>
            </w:r>
          </w:p>
          <w:p w14:paraId="43E2B1E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（5）一般了解开展信息计量学研究的过程，具备初步的实际应用能力。</w:t>
            </w:r>
          </w:p>
        </w:tc>
      </w:tr>
    </w:tbl>
    <w:p w14:paraId="2D7E9B2B">
      <w:pPr>
        <w:spacing w:line="480" w:lineRule="exact"/>
        <w:ind w:firstLine="480" w:firstLineChars="200"/>
        <w:rPr>
          <w:sz w:val="24"/>
        </w:rPr>
      </w:pPr>
    </w:p>
    <w:p w14:paraId="2469C635">
      <w:pPr>
        <w:spacing w:line="480" w:lineRule="exact"/>
        <w:ind w:firstLine="480" w:firstLineChars="200"/>
        <w:rPr>
          <w:sz w:val="24"/>
        </w:rPr>
      </w:pPr>
      <w:r>
        <w:rPr>
          <w:sz w:val="24"/>
        </w:rPr>
        <w:t>二、课程基本内容（要求有一定的字数，不能过于简单）</w:t>
      </w:r>
    </w:p>
    <w:p w14:paraId="707F4D06">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331"/>
        <w:gridCol w:w="1331"/>
        <w:gridCol w:w="1207"/>
        <w:gridCol w:w="1331"/>
        <w:gridCol w:w="1332"/>
        <w:gridCol w:w="696"/>
        <w:gridCol w:w="1207"/>
      </w:tblGrid>
      <w:tr w14:paraId="2CCD5FA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531CA042">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0AA3E6A">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5C644947">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54D09AA">
            <w:pPr>
              <w:jc w:val="center"/>
              <w:rPr>
                <w:rFonts w:hint="eastAsia"/>
                <w:b/>
                <w:bCs/>
                <w:sz w:val="24"/>
                <w:szCs w:val="20"/>
              </w:rPr>
            </w:pPr>
            <w:r>
              <w:rPr>
                <w:rFonts w:hint="eastAsia" w:ascii="24x12 宋体"/>
                <w:b/>
                <w:bCs/>
                <w:sz w:val="24"/>
                <w:szCs w:val="20"/>
              </w:rPr>
              <w:t>育人元素</w:t>
            </w:r>
          </w:p>
        </w:tc>
        <w:tc>
          <w:tcPr>
            <w:tcW w:w="1920" w:type="dxa"/>
            <w:vAlign w:val="center"/>
          </w:tcPr>
          <w:p w14:paraId="4508E10F">
            <w:pPr>
              <w:jc w:val="center"/>
              <w:rPr>
                <w:rFonts w:hint="eastAsia"/>
                <w:b/>
                <w:bCs/>
                <w:sz w:val="24"/>
                <w:szCs w:val="20"/>
              </w:rPr>
            </w:pPr>
            <w:r>
              <w:rPr>
                <w:rFonts w:hint="eastAsia" w:ascii="24x12 宋体"/>
                <w:b/>
                <w:bCs/>
                <w:sz w:val="24"/>
                <w:szCs w:val="20"/>
              </w:rPr>
              <w:t>重点、难点(选填)</w:t>
            </w:r>
          </w:p>
        </w:tc>
        <w:tc>
          <w:tcPr>
            <w:tcW w:w="1419" w:type="dxa"/>
            <w:vAlign w:val="center"/>
          </w:tcPr>
          <w:p w14:paraId="1DB8CFA3">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2CF6579">
            <w:pPr>
              <w:jc w:val="center"/>
              <w:rPr>
                <w:rFonts w:hint="eastAsia"/>
                <w:b/>
                <w:bCs/>
                <w:sz w:val="24"/>
                <w:szCs w:val="20"/>
              </w:rPr>
            </w:pPr>
            <w:r>
              <w:rPr>
                <w:rFonts w:hint="eastAsia" w:ascii="24x12 宋体"/>
                <w:b/>
                <w:bCs/>
                <w:sz w:val="24"/>
                <w:szCs w:val="20"/>
              </w:rPr>
              <w:t>备注(选填)</w:t>
            </w:r>
          </w:p>
        </w:tc>
      </w:tr>
      <w:tr w14:paraId="2262BD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51A8B5">
            <w:pPr>
              <w:rPr>
                <w:rFonts w:ascii="宋体" w:hAnsi="宋体" w:eastAsia="宋体"/>
                <w:sz w:val="24"/>
                <w:szCs w:val="24"/>
              </w:rPr>
            </w:pPr>
            <w:r>
              <w:rPr>
                <w:rFonts w:hint="eastAsia" w:ascii="宋体" w:hAnsi="宋体" w:eastAsia="宋体"/>
                <w:sz w:val="24"/>
                <w:szCs w:val="24"/>
              </w:rPr>
              <w:t>引言。</w:t>
            </w:r>
          </w:p>
        </w:tc>
        <w:tc>
          <w:tcPr>
            <w:tcW w:w="5096" w:type="dxa"/>
            <w:vAlign w:val="center"/>
          </w:tcPr>
          <w:p w14:paraId="206738B5">
            <w:pPr>
              <w:rPr>
                <w:rFonts w:ascii="宋体" w:hAnsi="宋体" w:eastAsia="宋体"/>
                <w:sz w:val="24"/>
                <w:szCs w:val="24"/>
              </w:rPr>
            </w:pPr>
            <w:r>
              <w:rPr>
                <w:rFonts w:hint="eastAsia" w:ascii="宋体" w:hAnsi="宋体" w:eastAsia="宋体"/>
                <w:sz w:val="24"/>
                <w:szCs w:val="24"/>
              </w:rPr>
              <w:t>引言。</w:t>
            </w:r>
          </w:p>
          <w:p w14:paraId="5A751E70">
            <w:pPr>
              <w:rPr>
                <w:rFonts w:ascii="宋体" w:hAnsi="宋体" w:eastAsia="宋体"/>
                <w:sz w:val="24"/>
                <w:szCs w:val="24"/>
              </w:rPr>
            </w:pPr>
            <w:r>
              <w:rPr>
                <w:rFonts w:hint="eastAsia" w:ascii="宋体" w:hAnsi="宋体" w:eastAsia="宋体"/>
                <w:sz w:val="24"/>
                <w:szCs w:val="24"/>
              </w:rPr>
              <w:t>绪论。信息计量学的产生背景、名称由来、发展历程等。</w:t>
            </w:r>
          </w:p>
        </w:tc>
        <w:tc>
          <w:tcPr>
            <w:tcW w:w="5096" w:type="dxa"/>
            <w:vAlign w:val="center"/>
          </w:tcPr>
          <w:p w14:paraId="4004F50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EC1D80C">
            <w:pPr>
              <w:rPr>
                <w:rFonts w:ascii="宋体" w:hAnsi="宋体" w:eastAsia="宋体"/>
                <w:sz w:val="24"/>
                <w:szCs w:val="24"/>
              </w:rPr>
            </w:pPr>
            <w:r>
              <w:rPr>
                <w:rFonts w:hint="eastAsia" w:ascii="宋体" w:hAnsi="宋体" w:eastAsia="宋体"/>
                <w:sz w:val="24"/>
                <w:szCs w:val="24"/>
              </w:rPr>
              <w:t>通过对信息计量学产生背景的学习，分析科技发展的过程以及所带来的启示。</w:t>
            </w:r>
          </w:p>
        </w:tc>
        <w:tc>
          <w:tcPr>
            <w:tcW w:w="5096" w:type="dxa"/>
            <w:vAlign w:val="center"/>
          </w:tcPr>
          <w:p w14:paraId="768233F1">
            <w:pPr>
              <w:rPr>
                <w:rFonts w:ascii="宋体" w:hAnsi="宋体" w:eastAsia="宋体"/>
                <w:sz w:val="24"/>
                <w:szCs w:val="24"/>
              </w:rPr>
            </w:pPr>
            <w:r>
              <w:rPr>
                <w:rFonts w:hint="eastAsia" w:ascii="宋体" w:hAnsi="宋体" w:eastAsia="宋体"/>
                <w:sz w:val="24"/>
                <w:szCs w:val="24"/>
              </w:rPr>
              <w:t>本章重点：建立对信息计量学应用价值的初步认识。</w:t>
            </w:r>
          </w:p>
        </w:tc>
        <w:tc>
          <w:tcPr>
            <w:tcW w:w="1555" w:type="dxa"/>
            <w:vAlign w:val="center"/>
          </w:tcPr>
          <w:p w14:paraId="0EDC0205">
            <w:pPr>
              <w:jc w:val="center"/>
              <w:rPr>
                <w:rFonts w:ascii="宋体" w:hAnsi="宋体" w:eastAsia="宋体"/>
                <w:sz w:val="24"/>
                <w:szCs w:val="24"/>
              </w:rPr>
            </w:pPr>
          </w:p>
        </w:tc>
        <w:tc>
          <w:tcPr>
            <w:tcW w:w="5096" w:type="dxa"/>
            <w:vAlign w:val="center"/>
          </w:tcPr>
          <w:p w14:paraId="74DE6641">
            <w:pPr>
              <w:rPr>
                <w:rFonts w:ascii="宋体" w:hAnsi="宋体" w:eastAsia="宋体"/>
                <w:sz w:val="24"/>
                <w:szCs w:val="24"/>
              </w:rPr>
            </w:pPr>
          </w:p>
        </w:tc>
      </w:tr>
      <w:tr w14:paraId="309C4CC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5596DF">
            <w:pPr>
              <w:rPr>
                <w:rFonts w:ascii="宋体" w:hAnsi="宋体" w:eastAsia="宋体"/>
                <w:sz w:val="24"/>
                <w:szCs w:val="24"/>
              </w:rPr>
            </w:pPr>
            <w:r>
              <w:rPr>
                <w:rFonts w:hint="eastAsia" w:ascii="宋体" w:hAnsi="宋体" w:eastAsia="宋体"/>
                <w:sz w:val="24"/>
                <w:szCs w:val="24"/>
              </w:rPr>
              <w:t>第一章 绪论。</w:t>
            </w:r>
          </w:p>
        </w:tc>
        <w:tc>
          <w:tcPr>
            <w:tcW w:w="5096" w:type="dxa"/>
            <w:vAlign w:val="center"/>
          </w:tcPr>
          <w:p w14:paraId="19F5DDE2">
            <w:pPr>
              <w:rPr>
                <w:rFonts w:ascii="宋体" w:hAnsi="宋体" w:eastAsia="宋体"/>
                <w:sz w:val="24"/>
                <w:szCs w:val="24"/>
              </w:rPr>
            </w:pPr>
            <w:r>
              <w:rPr>
                <w:rFonts w:hint="eastAsia" w:ascii="宋体" w:hAnsi="宋体" w:eastAsia="宋体"/>
                <w:sz w:val="24"/>
                <w:szCs w:val="24"/>
              </w:rPr>
              <w:t>绪论。信息计量学的基本问题，包括基本概念、研究对象和内容、研究目的等。信息计量学与其他学科的关系；“三计学”的相互关系等。</w:t>
            </w:r>
          </w:p>
        </w:tc>
        <w:tc>
          <w:tcPr>
            <w:tcW w:w="5096" w:type="dxa"/>
            <w:vAlign w:val="center"/>
          </w:tcPr>
          <w:p w14:paraId="0F379DEA">
            <w:pPr>
              <w:rPr>
                <w:rFonts w:ascii="宋体" w:hAnsi="宋体" w:eastAsia="宋体"/>
                <w:sz w:val="24"/>
                <w:szCs w:val="24"/>
              </w:rPr>
            </w:pPr>
            <w:r>
              <w:rPr>
                <w:rFonts w:hint="eastAsia" w:ascii="宋体" w:hAnsi="宋体" w:eastAsia="宋体"/>
                <w:sz w:val="24"/>
                <w:szCs w:val="24"/>
              </w:rPr>
              <w:t>7</w:t>
            </w:r>
          </w:p>
        </w:tc>
        <w:tc>
          <w:tcPr>
            <w:tcW w:w="5096" w:type="dxa"/>
            <w:vAlign w:val="center"/>
          </w:tcPr>
          <w:p w14:paraId="2852D101">
            <w:pPr>
              <w:rPr>
                <w:rFonts w:ascii="宋体" w:hAnsi="宋体" w:eastAsia="宋体"/>
                <w:sz w:val="24"/>
                <w:szCs w:val="24"/>
              </w:rPr>
            </w:pPr>
            <w:r>
              <w:rPr>
                <w:rFonts w:hint="eastAsia" w:ascii="宋体" w:hAnsi="宋体" w:eastAsia="宋体"/>
                <w:sz w:val="24"/>
                <w:szCs w:val="24"/>
              </w:rPr>
              <w:t>从整体上认识科学学科发展的客观规律。</w:t>
            </w:r>
          </w:p>
        </w:tc>
        <w:tc>
          <w:tcPr>
            <w:tcW w:w="5096" w:type="dxa"/>
            <w:vAlign w:val="center"/>
          </w:tcPr>
          <w:p w14:paraId="2CB92AA3">
            <w:pPr>
              <w:rPr>
                <w:rFonts w:ascii="宋体" w:hAnsi="宋体" w:eastAsia="宋体"/>
                <w:sz w:val="24"/>
                <w:szCs w:val="24"/>
              </w:rPr>
            </w:pPr>
            <w:r>
              <w:rPr>
                <w:rFonts w:hint="eastAsia" w:ascii="宋体" w:hAnsi="宋体" w:eastAsia="宋体"/>
                <w:sz w:val="24"/>
                <w:szCs w:val="24"/>
              </w:rPr>
              <w:t>本章重点：社会实践需要是信息计量学产生和发展的根本动力。</w:t>
            </w:r>
          </w:p>
        </w:tc>
        <w:tc>
          <w:tcPr>
            <w:tcW w:w="1555" w:type="dxa"/>
            <w:vAlign w:val="center"/>
          </w:tcPr>
          <w:p w14:paraId="13C9D326">
            <w:pPr>
              <w:jc w:val="center"/>
              <w:rPr>
                <w:rFonts w:ascii="宋体" w:hAnsi="宋体" w:eastAsia="宋体"/>
                <w:sz w:val="24"/>
                <w:szCs w:val="24"/>
              </w:rPr>
            </w:pPr>
          </w:p>
        </w:tc>
        <w:tc>
          <w:tcPr>
            <w:tcW w:w="5096" w:type="dxa"/>
            <w:vAlign w:val="center"/>
          </w:tcPr>
          <w:p w14:paraId="02A5FCD5">
            <w:pPr>
              <w:rPr>
                <w:rFonts w:ascii="宋体" w:hAnsi="宋体" w:eastAsia="宋体"/>
                <w:sz w:val="24"/>
                <w:szCs w:val="24"/>
              </w:rPr>
            </w:pPr>
          </w:p>
        </w:tc>
      </w:tr>
      <w:tr w14:paraId="3956319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F1D5CA">
            <w:pPr>
              <w:rPr>
                <w:rFonts w:ascii="宋体" w:hAnsi="宋体" w:eastAsia="宋体"/>
                <w:sz w:val="24"/>
                <w:szCs w:val="24"/>
              </w:rPr>
            </w:pPr>
            <w:r>
              <w:rPr>
                <w:rFonts w:hint="eastAsia" w:ascii="宋体" w:hAnsi="宋体" w:eastAsia="宋体"/>
                <w:sz w:val="24"/>
                <w:szCs w:val="24"/>
              </w:rPr>
              <w:t>第二章 文献信息增长规律 第一节 文献信息增长规律基础</w:t>
            </w:r>
          </w:p>
        </w:tc>
        <w:tc>
          <w:tcPr>
            <w:tcW w:w="5096" w:type="dxa"/>
            <w:vAlign w:val="center"/>
          </w:tcPr>
          <w:p w14:paraId="26020BC5">
            <w:pPr>
              <w:rPr>
                <w:rFonts w:ascii="宋体" w:hAnsi="宋体" w:eastAsia="宋体"/>
                <w:sz w:val="24"/>
                <w:szCs w:val="24"/>
              </w:rPr>
            </w:pPr>
            <w:r>
              <w:rPr>
                <w:rFonts w:hint="eastAsia" w:ascii="宋体" w:hAnsi="宋体" w:eastAsia="宋体"/>
                <w:sz w:val="24"/>
                <w:szCs w:val="24"/>
              </w:rPr>
              <w:t>文献信息增长规律。文献信息流的特性及增长规律研究的意义。科学知识量的增长与科学文献的增长等。</w:t>
            </w:r>
          </w:p>
        </w:tc>
        <w:tc>
          <w:tcPr>
            <w:tcW w:w="5096" w:type="dxa"/>
            <w:vAlign w:val="center"/>
          </w:tcPr>
          <w:p w14:paraId="1BECDE0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B90DD9A">
            <w:pPr>
              <w:rPr>
                <w:rFonts w:ascii="宋体" w:hAnsi="宋体" w:eastAsia="宋体"/>
                <w:sz w:val="24"/>
                <w:szCs w:val="24"/>
              </w:rPr>
            </w:pPr>
            <w:r>
              <w:rPr>
                <w:rFonts w:hint="eastAsia" w:ascii="宋体" w:hAnsi="宋体" w:eastAsia="宋体"/>
                <w:sz w:val="24"/>
                <w:szCs w:val="24"/>
              </w:rPr>
              <w:t>对科技革命对文献增长带来的影响有更全面的认识。</w:t>
            </w:r>
          </w:p>
        </w:tc>
        <w:tc>
          <w:tcPr>
            <w:tcW w:w="5096" w:type="dxa"/>
            <w:vAlign w:val="center"/>
          </w:tcPr>
          <w:p w14:paraId="01913A8F">
            <w:pPr>
              <w:rPr>
                <w:rFonts w:ascii="宋体" w:hAnsi="宋体" w:eastAsia="宋体"/>
                <w:sz w:val="24"/>
                <w:szCs w:val="24"/>
              </w:rPr>
            </w:pPr>
            <w:r>
              <w:rPr>
                <w:rFonts w:hint="eastAsia" w:ascii="宋体" w:hAnsi="宋体" w:eastAsia="宋体"/>
                <w:sz w:val="24"/>
                <w:szCs w:val="24"/>
              </w:rPr>
              <w:t>本章重点：文献信息增长的基础数学模型。</w:t>
            </w:r>
          </w:p>
          <w:p w14:paraId="76D4AF38">
            <w:pPr>
              <w:rPr>
                <w:rFonts w:ascii="宋体" w:hAnsi="宋体" w:eastAsia="宋体"/>
                <w:sz w:val="24"/>
                <w:szCs w:val="24"/>
              </w:rPr>
            </w:pPr>
            <w:r>
              <w:rPr>
                <w:rFonts w:hint="eastAsia" w:ascii="宋体" w:hAnsi="宋体" w:eastAsia="宋体"/>
                <w:sz w:val="24"/>
                <w:szCs w:val="24"/>
              </w:rPr>
              <w:t>本章难点：运用文献信息指数增长规律进行计算。</w:t>
            </w:r>
          </w:p>
        </w:tc>
        <w:tc>
          <w:tcPr>
            <w:tcW w:w="1555" w:type="dxa"/>
            <w:vAlign w:val="center"/>
          </w:tcPr>
          <w:p w14:paraId="463C1E4C">
            <w:pPr>
              <w:jc w:val="center"/>
              <w:rPr>
                <w:rFonts w:ascii="宋体" w:hAnsi="宋体" w:eastAsia="宋体"/>
                <w:sz w:val="24"/>
                <w:szCs w:val="24"/>
              </w:rPr>
            </w:pPr>
          </w:p>
        </w:tc>
        <w:tc>
          <w:tcPr>
            <w:tcW w:w="5096" w:type="dxa"/>
            <w:vAlign w:val="center"/>
          </w:tcPr>
          <w:p w14:paraId="1D0A73B1">
            <w:pPr>
              <w:rPr>
                <w:rFonts w:ascii="宋体" w:hAnsi="宋体" w:eastAsia="宋体"/>
                <w:sz w:val="24"/>
                <w:szCs w:val="24"/>
              </w:rPr>
            </w:pPr>
          </w:p>
        </w:tc>
      </w:tr>
      <w:tr w14:paraId="5FDFDB2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A52B22">
            <w:pPr>
              <w:rPr>
                <w:rFonts w:ascii="宋体" w:hAnsi="宋体" w:eastAsia="宋体"/>
                <w:sz w:val="24"/>
                <w:szCs w:val="24"/>
              </w:rPr>
            </w:pPr>
            <w:r>
              <w:rPr>
                <w:rFonts w:hint="eastAsia" w:ascii="宋体" w:hAnsi="宋体" w:eastAsia="宋体"/>
                <w:sz w:val="24"/>
                <w:szCs w:val="24"/>
              </w:rPr>
              <w:t>第二章 文献信息增长规律 第二节 文献信息的增长模型</w:t>
            </w:r>
          </w:p>
        </w:tc>
        <w:tc>
          <w:tcPr>
            <w:tcW w:w="5096" w:type="dxa"/>
            <w:vAlign w:val="center"/>
          </w:tcPr>
          <w:p w14:paraId="7BDA33FE">
            <w:pPr>
              <w:rPr>
                <w:rFonts w:ascii="宋体" w:hAnsi="宋体" w:eastAsia="宋体"/>
                <w:sz w:val="24"/>
                <w:szCs w:val="24"/>
              </w:rPr>
            </w:pPr>
            <w:r>
              <w:rPr>
                <w:rFonts w:hint="eastAsia" w:ascii="宋体" w:hAnsi="宋体" w:eastAsia="宋体"/>
                <w:sz w:val="24"/>
                <w:szCs w:val="24"/>
              </w:rPr>
              <w:t>文献信息增长规律。文献信息的指数增长规律等。</w:t>
            </w:r>
          </w:p>
        </w:tc>
        <w:tc>
          <w:tcPr>
            <w:tcW w:w="5096" w:type="dxa"/>
            <w:vAlign w:val="center"/>
          </w:tcPr>
          <w:p w14:paraId="45083FEB">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00644A7">
            <w:pPr>
              <w:rPr>
                <w:rFonts w:ascii="宋体" w:hAnsi="宋体" w:eastAsia="宋体"/>
                <w:sz w:val="24"/>
                <w:szCs w:val="24"/>
              </w:rPr>
            </w:pPr>
            <w:r>
              <w:rPr>
                <w:rFonts w:hint="eastAsia" w:ascii="宋体" w:hAnsi="宋体" w:eastAsia="宋体"/>
                <w:sz w:val="24"/>
                <w:szCs w:val="24"/>
              </w:rPr>
              <w:t>通过学习文献信息指数增长规律的发现过程，讨论重大科学发现背后的因素。</w:t>
            </w:r>
          </w:p>
        </w:tc>
        <w:tc>
          <w:tcPr>
            <w:tcW w:w="5096" w:type="dxa"/>
            <w:vAlign w:val="center"/>
          </w:tcPr>
          <w:p w14:paraId="0DD8E62B">
            <w:pPr>
              <w:rPr>
                <w:rFonts w:ascii="宋体" w:hAnsi="宋体" w:eastAsia="宋体"/>
                <w:sz w:val="24"/>
                <w:szCs w:val="24"/>
              </w:rPr>
            </w:pPr>
          </w:p>
        </w:tc>
        <w:tc>
          <w:tcPr>
            <w:tcW w:w="1555" w:type="dxa"/>
            <w:vAlign w:val="center"/>
          </w:tcPr>
          <w:p w14:paraId="3DF31C3C">
            <w:pPr>
              <w:jc w:val="center"/>
              <w:rPr>
                <w:rFonts w:ascii="宋体" w:hAnsi="宋体" w:eastAsia="宋体"/>
                <w:sz w:val="24"/>
                <w:szCs w:val="24"/>
              </w:rPr>
            </w:pPr>
          </w:p>
        </w:tc>
        <w:tc>
          <w:tcPr>
            <w:tcW w:w="5096" w:type="dxa"/>
            <w:vAlign w:val="center"/>
          </w:tcPr>
          <w:p w14:paraId="26DA9F0A">
            <w:pPr>
              <w:rPr>
                <w:rFonts w:ascii="宋体" w:hAnsi="宋体" w:eastAsia="宋体"/>
                <w:sz w:val="24"/>
                <w:szCs w:val="24"/>
              </w:rPr>
            </w:pPr>
          </w:p>
        </w:tc>
      </w:tr>
      <w:tr w14:paraId="060B2D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23A4B8">
            <w:pPr>
              <w:rPr>
                <w:rFonts w:ascii="宋体" w:hAnsi="宋体" w:eastAsia="宋体"/>
                <w:sz w:val="24"/>
                <w:szCs w:val="24"/>
              </w:rPr>
            </w:pPr>
            <w:r>
              <w:rPr>
                <w:rFonts w:hint="eastAsia" w:ascii="宋体" w:hAnsi="宋体" w:eastAsia="宋体"/>
                <w:sz w:val="24"/>
                <w:szCs w:val="24"/>
              </w:rPr>
              <w:t>第二章 文献信息增长规律 第三节 文献信息增长机理</w:t>
            </w:r>
          </w:p>
        </w:tc>
        <w:tc>
          <w:tcPr>
            <w:tcW w:w="5096" w:type="dxa"/>
            <w:vAlign w:val="center"/>
          </w:tcPr>
          <w:p w14:paraId="7AD758BB">
            <w:pPr>
              <w:rPr>
                <w:rFonts w:ascii="宋体" w:hAnsi="宋体" w:eastAsia="宋体"/>
                <w:sz w:val="24"/>
                <w:szCs w:val="24"/>
              </w:rPr>
            </w:pPr>
            <w:r>
              <w:rPr>
                <w:rFonts w:hint="eastAsia" w:ascii="宋体" w:hAnsi="宋体" w:eastAsia="宋体"/>
                <w:sz w:val="24"/>
                <w:szCs w:val="24"/>
              </w:rPr>
              <w:t>文献信息增长规律。文献信息的逻辑增长规律。文献信息增长机理的分析；文献增长规律的应用等。</w:t>
            </w:r>
          </w:p>
        </w:tc>
        <w:tc>
          <w:tcPr>
            <w:tcW w:w="5096" w:type="dxa"/>
            <w:vAlign w:val="center"/>
          </w:tcPr>
          <w:p w14:paraId="0C8564D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79C5CAF">
            <w:pPr>
              <w:rPr>
                <w:rFonts w:ascii="宋体" w:hAnsi="宋体" w:eastAsia="宋体"/>
                <w:sz w:val="24"/>
                <w:szCs w:val="24"/>
              </w:rPr>
            </w:pPr>
            <w:r>
              <w:rPr>
                <w:rFonts w:hint="eastAsia" w:ascii="宋体" w:hAnsi="宋体" w:eastAsia="宋体"/>
                <w:sz w:val="24"/>
                <w:szCs w:val="24"/>
              </w:rPr>
              <w:t>通过分析文献信息增长的根本原因，分析影响科技发展的经济、社会因素。</w:t>
            </w:r>
          </w:p>
        </w:tc>
        <w:tc>
          <w:tcPr>
            <w:tcW w:w="5096" w:type="dxa"/>
            <w:vAlign w:val="center"/>
          </w:tcPr>
          <w:p w14:paraId="7FEE16DA">
            <w:pPr>
              <w:rPr>
                <w:rFonts w:ascii="宋体" w:hAnsi="宋体" w:eastAsia="宋体"/>
                <w:sz w:val="24"/>
                <w:szCs w:val="24"/>
              </w:rPr>
            </w:pPr>
          </w:p>
        </w:tc>
        <w:tc>
          <w:tcPr>
            <w:tcW w:w="1555" w:type="dxa"/>
            <w:vAlign w:val="center"/>
          </w:tcPr>
          <w:p w14:paraId="7B2BF0A5">
            <w:pPr>
              <w:jc w:val="center"/>
              <w:rPr>
                <w:rFonts w:ascii="宋体" w:hAnsi="宋体" w:eastAsia="宋体"/>
                <w:sz w:val="24"/>
                <w:szCs w:val="24"/>
              </w:rPr>
            </w:pPr>
          </w:p>
        </w:tc>
        <w:tc>
          <w:tcPr>
            <w:tcW w:w="5096" w:type="dxa"/>
            <w:vAlign w:val="center"/>
          </w:tcPr>
          <w:p w14:paraId="495CEC46">
            <w:pPr>
              <w:rPr>
                <w:rFonts w:ascii="宋体" w:hAnsi="宋体" w:eastAsia="宋体"/>
                <w:sz w:val="24"/>
                <w:szCs w:val="24"/>
              </w:rPr>
            </w:pPr>
          </w:p>
        </w:tc>
      </w:tr>
      <w:tr w14:paraId="589B86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2876BFA">
            <w:pPr>
              <w:rPr>
                <w:rFonts w:ascii="宋体" w:hAnsi="宋体" w:eastAsia="宋体"/>
                <w:sz w:val="24"/>
                <w:szCs w:val="24"/>
              </w:rPr>
            </w:pPr>
            <w:r>
              <w:rPr>
                <w:rFonts w:hint="eastAsia" w:ascii="宋体" w:hAnsi="宋体" w:eastAsia="宋体"/>
                <w:sz w:val="24"/>
                <w:szCs w:val="24"/>
              </w:rPr>
              <w:t>第三章文献信息老化规律</w:t>
            </w:r>
          </w:p>
          <w:p w14:paraId="5F916225">
            <w:pPr>
              <w:rPr>
                <w:rFonts w:ascii="宋体" w:hAnsi="宋体" w:eastAsia="宋体"/>
                <w:sz w:val="24"/>
                <w:szCs w:val="24"/>
              </w:rPr>
            </w:pPr>
            <w:r>
              <w:rPr>
                <w:rFonts w:hint="eastAsia" w:ascii="宋体" w:hAnsi="宋体" w:eastAsia="宋体"/>
                <w:sz w:val="24"/>
                <w:szCs w:val="24"/>
              </w:rPr>
              <w:t>第一节文献信息老化规律基础</w:t>
            </w:r>
          </w:p>
        </w:tc>
        <w:tc>
          <w:tcPr>
            <w:tcW w:w="5096" w:type="dxa"/>
            <w:vAlign w:val="center"/>
          </w:tcPr>
          <w:p w14:paraId="1C5306AD">
            <w:pPr>
              <w:rPr>
                <w:rFonts w:ascii="宋体" w:hAnsi="宋体" w:eastAsia="宋体"/>
                <w:sz w:val="24"/>
                <w:szCs w:val="24"/>
              </w:rPr>
            </w:pPr>
            <w:r>
              <w:rPr>
                <w:rFonts w:hint="eastAsia" w:ascii="宋体" w:hAnsi="宋体" w:eastAsia="宋体"/>
                <w:sz w:val="24"/>
                <w:szCs w:val="24"/>
              </w:rPr>
              <w:t>文献信息老化规律。文献信息老化的概念和量度指标；文献信息老化的数学模型及老化指标等。</w:t>
            </w:r>
          </w:p>
        </w:tc>
        <w:tc>
          <w:tcPr>
            <w:tcW w:w="5096" w:type="dxa"/>
            <w:vAlign w:val="center"/>
          </w:tcPr>
          <w:p w14:paraId="35513823">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5BC297E5">
            <w:pPr>
              <w:rPr>
                <w:rFonts w:ascii="宋体" w:hAnsi="宋体" w:eastAsia="宋体"/>
                <w:sz w:val="24"/>
                <w:szCs w:val="24"/>
              </w:rPr>
            </w:pPr>
            <w:r>
              <w:rPr>
                <w:rFonts w:hint="eastAsia" w:ascii="宋体" w:hAnsi="宋体" w:eastAsia="宋体"/>
                <w:sz w:val="24"/>
                <w:szCs w:val="24"/>
              </w:rPr>
              <w:t>对科技革命对文献老化带来的影响有更全面的认识。</w:t>
            </w:r>
          </w:p>
        </w:tc>
        <w:tc>
          <w:tcPr>
            <w:tcW w:w="5096" w:type="dxa"/>
            <w:vAlign w:val="center"/>
          </w:tcPr>
          <w:p w14:paraId="5DE5759E">
            <w:pPr>
              <w:rPr>
                <w:rFonts w:ascii="宋体" w:hAnsi="宋体" w:eastAsia="宋体"/>
                <w:sz w:val="24"/>
                <w:szCs w:val="24"/>
              </w:rPr>
            </w:pPr>
            <w:r>
              <w:rPr>
                <w:rFonts w:hint="eastAsia" w:ascii="宋体" w:hAnsi="宋体" w:eastAsia="宋体"/>
                <w:sz w:val="24"/>
                <w:szCs w:val="24"/>
              </w:rPr>
              <w:t>本章重点：掌握文献信息老化的概念；文献信息老化的基础数学模型。</w:t>
            </w:r>
          </w:p>
        </w:tc>
        <w:tc>
          <w:tcPr>
            <w:tcW w:w="1555" w:type="dxa"/>
            <w:vAlign w:val="center"/>
          </w:tcPr>
          <w:p w14:paraId="1AF5A167">
            <w:pPr>
              <w:jc w:val="center"/>
              <w:rPr>
                <w:rFonts w:ascii="宋体" w:hAnsi="宋体" w:eastAsia="宋体"/>
                <w:sz w:val="24"/>
                <w:szCs w:val="24"/>
              </w:rPr>
            </w:pPr>
          </w:p>
        </w:tc>
        <w:tc>
          <w:tcPr>
            <w:tcW w:w="5096" w:type="dxa"/>
            <w:vAlign w:val="center"/>
          </w:tcPr>
          <w:p w14:paraId="1EDCC057">
            <w:pPr>
              <w:rPr>
                <w:rFonts w:ascii="宋体" w:hAnsi="宋体" w:eastAsia="宋体"/>
                <w:sz w:val="24"/>
                <w:szCs w:val="24"/>
              </w:rPr>
            </w:pPr>
          </w:p>
        </w:tc>
      </w:tr>
      <w:tr w14:paraId="3EC1551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096C46">
            <w:pPr>
              <w:rPr>
                <w:rFonts w:ascii="宋体" w:hAnsi="宋体" w:eastAsia="宋体"/>
                <w:sz w:val="24"/>
                <w:szCs w:val="24"/>
              </w:rPr>
            </w:pPr>
            <w:r>
              <w:rPr>
                <w:rFonts w:hint="eastAsia" w:ascii="宋体" w:hAnsi="宋体" w:eastAsia="宋体"/>
                <w:sz w:val="24"/>
                <w:szCs w:val="24"/>
              </w:rPr>
              <w:t>第三章文献信息老化规律</w:t>
            </w:r>
          </w:p>
          <w:p w14:paraId="69AA49B7">
            <w:pPr>
              <w:rPr>
                <w:rFonts w:ascii="宋体" w:hAnsi="宋体" w:eastAsia="宋体"/>
                <w:sz w:val="24"/>
                <w:szCs w:val="24"/>
              </w:rPr>
            </w:pPr>
            <w:r>
              <w:rPr>
                <w:rFonts w:hint="eastAsia" w:ascii="宋体" w:hAnsi="宋体" w:eastAsia="宋体"/>
                <w:sz w:val="24"/>
                <w:szCs w:val="24"/>
              </w:rPr>
              <w:t>第二节文献信息老化模型</w:t>
            </w:r>
          </w:p>
        </w:tc>
        <w:tc>
          <w:tcPr>
            <w:tcW w:w="5096" w:type="dxa"/>
            <w:vAlign w:val="center"/>
          </w:tcPr>
          <w:p w14:paraId="3583542A">
            <w:pPr>
              <w:rPr>
                <w:rFonts w:ascii="宋体" w:hAnsi="宋体" w:eastAsia="宋体"/>
                <w:sz w:val="24"/>
                <w:szCs w:val="24"/>
              </w:rPr>
            </w:pPr>
            <w:r>
              <w:rPr>
                <w:rFonts w:hint="eastAsia" w:ascii="宋体" w:hAnsi="宋体" w:eastAsia="宋体"/>
                <w:sz w:val="24"/>
                <w:szCs w:val="24"/>
              </w:rPr>
              <w:t>文献信息老化规律。文献信息老化机理的研究与分析；文献信息老化规律的应用等。</w:t>
            </w:r>
          </w:p>
        </w:tc>
        <w:tc>
          <w:tcPr>
            <w:tcW w:w="5096" w:type="dxa"/>
            <w:vAlign w:val="center"/>
          </w:tcPr>
          <w:p w14:paraId="7E66153A">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0787893D">
            <w:pPr>
              <w:rPr>
                <w:rFonts w:ascii="宋体" w:hAnsi="宋体" w:eastAsia="宋体"/>
                <w:sz w:val="24"/>
                <w:szCs w:val="24"/>
              </w:rPr>
            </w:pPr>
            <w:r>
              <w:rPr>
                <w:rFonts w:hint="eastAsia" w:ascii="宋体" w:hAnsi="宋体" w:eastAsia="宋体"/>
                <w:sz w:val="24"/>
                <w:szCs w:val="24"/>
              </w:rPr>
              <w:t>通过分析文献信息老化的根本原因，分析影响科技发展的经济、社会因素。</w:t>
            </w:r>
          </w:p>
        </w:tc>
        <w:tc>
          <w:tcPr>
            <w:tcW w:w="5096" w:type="dxa"/>
            <w:vAlign w:val="center"/>
          </w:tcPr>
          <w:p w14:paraId="4C50A66A">
            <w:pPr>
              <w:rPr>
                <w:rFonts w:ascii="宋体" w:hAnsi="宋体" w:eastAsia="宋体"/>
                <w:sz w:val="24"/>
                <w:szCs w:val="24"/>
              </w:rPr>
            </w:pPr>
          </w:p>
        </w:tc>
        <w:tc>
          <w:tcPr>
            <w:tcW w:w="1555" w:type="dxa"/>
            <w:vAlign w:val="center"/>
          </w:tcPr>
          <w:p w14:paraId="13FB0100">
            <w:pPr>
              <w:jc w:val="center"/>
              <w:rPr>
                <w:rFonts w:ascii="宋体" w:hAnsi="宋体" w:eastAsia="宋体"/>
                <w:sz w:val="24"/>
                <w:szCs w:val="24"/>
              </w:rPr>
            </w:pPr>
          </w:p>
        </w:tc>
        <w:tc>
          <w:tcPr>
            <w:tcW w:w="5096" w:type="dxa"/>
            <w:vAlign w:val="center"/>
          </w:tcPr>
          <w:p w14:paraId="3AB39E5A">
            <w:pPr>
              <w:rPr>
                <w:rFonts w:ascii="宋体" w:hAnsi="宋体" w:eastAsia="宋体"/>
                <w:sz w:val="24"/>
                <w:szCs w:val="24"/>
              </w:rPr>
            </w:pPr>
          </w:p>
        </w:tc>
      </w:tr>
      <w:tr w14:paraId="11AD8D1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6030E8C">
            <w:pPr>
              <w:rPr>
                <w:rFonts w:ascii="宋体" w:hAnsi="宋体" w:eastAsia="宋体"/>
                <w:sz w:val="24"/>
                <w:szCs w:val="24"/>
              </w:rPr>
            </w:pPr>
            <w:r>
              <w:rPr>
                <w:rFonts w:hint="eastAsia" w:ascii="宋体" w:hAnsi="宋体" w:eastAsia="宋体"/>
                <w:sz w:val="24"/>
                <w:szCs w:val="24"/>
              </w:rPr>
              <w:t>第四章布拉德福定律</w:t>
            </w:r>
          </w:p>
          <w:p w14:paraId="32CE7B38">
            <w:pPr>
              <w:rPr>
                <w:rFonts w:ascii="宋体" w:hAnsi="宋体" w:eastAsia="宋体"/>
                <w:sz w:val="24"/>
                <w:szCs w:val="24"/>
              </w:rPr>
            </w:pPr>
            <w:r>
              <w:rPr>
                <w:rFonts w:hint="eastAsia" w:ascii="宋体" w:hAnsi="宋体" w:eastAsia="宋体"/>
                <w:sz w:val="24"/>
                <w:szCs w:val="24"/>
              </w:rPr>
              <w:t>第一节布拉德福定律基础</w:t>
            </w:r>
          </w:p>
        </w:tc>
        <w:tc>
          <w:tcPr>
            <w:tcW w:w="5096" w:type="dxa"/>
            <w:vAlign w:val="center"/>
          </w:tcPr>
          <w:p w14:paraId="321FF967">
            <w:pPr>
              <w:rPr>
                <w:rFonts w:ascii="宋体" w:hAnsi="宋体" w:eastAsia="宋体"/>
                <w:sz w:val="24"/>
                <w:szCs w:val="24"/>
              </w:rPr>
            </w:pPr>
            <w:r>
              <w:rPr>
                <w:rFonts w:hint="eastAsia" w:ascii="宋体" w:hAnsi="宋体" w:eastAsia="宋体"/>
                <w:sz w:val="24"/>
                <w:szCs w:val="24"/>
              </w:rPr>
              <w:t>布拉德福定律。布拉德福定律的产生背景、形成；布拉德福定律的发展过程等。</w:t>
            </w:r>
          </w:p>
        </w:tc>
        <w:tc>
          <w:tcPr>
            <w:tcW w:w="5096" w:type="dxa"/>
            <w:vAlign w:val="center"/>
          </w:tcPr>
          <w:p w14:paraId="6FE6903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19EDEE7">
            <w:pPr>
              <w:rPr>
                <w:rFonts w:ascii="宋体" w:hAnsi="宋体" w:eastAsia="宋体"/>
                <w:sz w:val="24"/>
                <w:szCs w:val="24"/>
              </w:rPr>
            </w:pPr>
            <w:r>
              <w:rPr>
                <w:rFonts w:hint="eastAsia" w:ascii="宋体" w:hAnsi="宋体" w:eastAsia="宋体"/>
                <w:sz w:val="24"/>
                <w:szCs w:val="24"/>
              </w:rPr>
              <w:t>对重大科学发现的提出过程有更深刻的理解。</w:t>
            </w:r>
          </w:p>
        </w:tc>
        <w:tc>
          <w:tcPr>
            <w:tcW w:w="5096" w:type="dxa"/>
            <w:vAlign w:val="center"/>
          </w:tcPr>
          <w:p w14:paraId="20EC08F3">
            <w:pPr>
              <w:rPr>
                <w:rFonts w:ascii="宋体" w:hAnsi="宋体" w:eastAsia="宋体"/>
                <w:sz w:val="24"/>
                <w:szCs w:val="24"/>
              </w:rPr>
            </w:pPr>
            <w:r>
              <w:rPr>
                <w:rFonts w:hint="eastAsia" w:ascii="宋体" w:hAnsi="宋体" w:eastAsia="宋体"/>
                <w:sz w:val="24"/>
                <w:szCs w:val="24"/>
              </w:rPr>
              <w:t>本章重点：布拉德福定律的原始形式；布鲁克斯公式；理解成功产生成功原则。</w:t>
            </w:r>
          </w:p>
          <w:p w14:paraId="4D36D2BB">
            <w:pPr>
              <w:rPr>
                <w:rFonts w:ascii="宋体" w:hAnsi="宋体" w:eastAsia="宋体"/>
                <w:sz w:val="24"/>
                <w:szCs w:val="24"/>
              </w:rPr>
            </w:pPr>
            <w:r>
              <w:rPr>
                <w:rFonts w:hint="eastAsia" w:ascii="宋体" w:hAnsi="宋体" w:eastAsia="宋体"/>
                <w:sz w:val="24"/>
                <w:szCs w:val="24"/>
              </w:rPr>
              <w:t>本章难点：运用布鲁克斯公式进行计算。</w:t>
            </w:r>
          </w:p>
        </w:tc>
        <w:tc>
          <w:tcPr>
            <w:tcW w:w="1555" w:type="dxa"/>
            <w:vAlign w:val="center"/>
          </w:tcPr>
          <w:p w14:paraId="4774B94A">
            <w:pPr>
              <w:jc w:val="center"/>
              <w:rPr>
                <w:rFonts w:ascii="宋体" w:hAnsi="宋体" w:eastAsia="宋体"/>
                <w:sz w:val="24"/>
                <w:szCs w:val="24"/>
              </w:rPr>
            </w:pPr>
          </w:p>
        </w:tc>
        <w:tc>
          <w:tcPr>
            <w:tcW w:w="5096" w:type="dxa"/>
            <w:vAlign w:val="center"/>
          </w:tcPr>
          <w:p w14:paraId="6299B8A5">
            <w:pPr>
              <w:rPr>
                <w:rFonts w:ascii="宋体" w:hAnsi="宋体" w:eastAsia="宋体"/>
                <w:sz w:val="24"/>
                <w:szCs w:val="24"/>
              </w:rPr>
            </w:pPr>
          </w:p>
        </w:tc>
      </w:tr>
      <w:tr w14:paraId="1A5377C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DB50FFE">
            <w:pPr>
              <w:rPr>
                <w:rFonts w:ascii="宋体" w:hAnsi="宋体" w:eastAsia="宋体"/>
                <w:sz w:val="24"/>
                <w:szCs w:val="24"/>
              </w:rPr>
            </w:pPr>
            <w:r>
              <w:rPr>
                <w:rFonts w:hint="eastAsia" w:ascii="宋体" w:hAnsi="宋体" w:eastAsia="宋体"/>
                <w:sz w:val="24"/>
                <w:szCs w:val="24"/>
              </w:rPr>
              <w:t>第四章布拉德福定律</w:t>
            </w:r>
          </w:p>
          <w:p w14:paraId="6AFAE2BD">
            <w:pPr>
              <w:rPr>
                <w:rFonts w:ascii="宋体" w:hAnsi="宋体" w:eastAsia="宋体"/>
                <w:sz w:val="24"/>
                <w:szCs w:val="24"/>
              </w:rPr>
            </w:pPr>
            <w:r>
              <w:rPr>
                <w:rFonts w:hint="eastAsia" w:ascii="宋体" w:hAnsi="宋体" w:eastAsia="宋体"/>
                <w:sz w:val="24"/>
                <w:szCs w:val="24"/>
              </w:rPr>
              <w:t>第二节布拉德福定律模型</w:t>
            </w:r>
          </w:p>
        </w:tc>
        <w:tc>
          <w:tcPr>
            <w:tcW w:w="5096" w:type="dxa"/>
            <w:vAlign w:val="center"/>
          </w:tcPr>
          <w:p w14:paraId="0F87DE3B">
            <w:pPr>
              <w:rPr>
                <w:rFonts w:ascii="宋体" w:hAnsi="宋体" w:eastAsia="宋体"/>
                <w:sz w:val="24"/>
                <w:szCs w:val="24"/>
              </w:rPr>
            </w:pPr>
            <w:r>
              <w:rPr>
                <w:rFonts w:hint="eastAsia" w:ascii="宋体" w:hAnsi="宋体" w:eastAsia="宋体"/>
                <w:sz w:val="24"/>
                <w:szCs w:val="24"/>
              </w:rPr>
              <w:t>布拉德福定律。拉德福定律的基本内容；维克利修正等；布鲁克斯公式等。</w:t>
            </w:r>
          </w:p>
        </w:tc>
        <w:tc>
          <w:tcPr>
            <w:tcW w:w="5096" w:type="dxa"/>
            <w:vAlign w:val="center"/>
          </w:tcPr>
          <w:p w14:paraId="6F3B06AF">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5E61F1B">
            <w:pPr>
              <w:rPr>
                <w:rFonts w:ascii="宋体" w:hAnsi="宋体" w:eastAsia="宋体"/>
                <w:sz w:val="24"/>
                <w:szCs w:val="24"/>
              </w:rPr>
            </w:pPr>
            <w:r>
              <w:rPr>
                <w:rFonts w:hint="eastAsia" w:ascii="宋体" w:hAnsi="宋体" w:eastAsia="宋体"/>
                <w:sz w:val="24"/>
                <w:szCs w:val="24"/>
              </w:rPr>
              <w:t>对科学发展过程中的信息分布现象有更深刻的理解。</w:t>
            </w:r>
          </w:p>
        </w:tc>
        <w:tc>
          <w:tcPr>
            <w:tcW w:w="5096" w:type="dxa"/>
            <w:vAlign w:val="center"/>
          </w:tcPr>
          <w:p w14:paraId="6D80DD47">
            <w:pPr>
              <w:rPr>
                <w:rFonts w:ascii="宋体" w:hAnsi="宋体" w:eastAsia="宋体"/>
                <w:sz w:val="24"/>
                <w:szCs w:val="24"/>
              </w:rPr>
            </w:pPr>
          </w:p>
        </w:tc>
        <w:tc>
          <w:tcPr>
            <w:tcW w:w="1555" w:type="dxa"/>
            <w:vAlign w:val="center"/>
          </w:tcPr>
          <w:p w14:paraId="65F5C154">
            <w:pPr>
              <w:jc w:val="center"/>
              <w:rPr>
                <w:rFonts w:ascii="宋体" w:hAnsi="宋体" w:eastAsia="宋体"/>
                <w:sz w:val="24"/>
                <w:szCs w:val="24"/>
              </w:rPr>
            </w:pPr>
          </w:p>
        </w:tc>
        <w:tc>
          <w:tcPr>
            <w:tcW w:w="5096" w:type="dxa"/>
            <w:vAlign w:val="center"/>
          </w:tcPr>
          <w:p w14:paraId="0EDEB5B7">
            <w:pPr>
              <w:rPr>
                <w:rFonts w:ascii="宋体" w:hAnsi="宋体" w:eastAsia="宋体"/>
                <w:sz w:val="24"/>
                <w:szCs w:val="24"/>
              </w:rPr>
            </w:pPr>
          </w:p>
        </w:tc>
      </w:tr>
      <w:tr w14:paraId="6B5D5ED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84F1A14">
            <w:pPr>
              <w:rPr>
                <w:rFonts w:ascii="宋体" w:hAnsi="宋体" w:eastAsia="宋体"/>
                <w:sz w:val="24"/>
                <w:szCs w:val="24"/>
              </w:rPr>
            </w:pPr>
            <w:r>
              <w:rPr>
                <w:rFonts w:hint="eastAsia" w:ascii="宋体" w:hAnsi="宋体" w:eastAsia="宋体"/>
                <w:sz w:val="24"/>
                <w:szCs w:val="24"/>
              </w:rPr>
              <w:t>第四章布拉德福定律</w:t>
            </w:r>
          </w:p>
          <w:p w14:paraId="48893047">
            <w:pPr>
              <w:rPr>
                <w:rFonts w:ascii="宋体" w:hAnsi="宋体" w:eastAsia="宋体"/>
                <w:sz w:val="24"/>
                <w:szCs w:val="24"/>
              </w:rPr>
            </w:pPr>
            <w:r>
              <w:rPr>
                <w:rFonts w:hint="eastAsia" w:ascii="宋体" w:hAnsi="宋体" w:eastAsia="宋体"/>
                <w:sz w:val="24"/>
                <w:szCs w:val="24"/>
              </w:rPr>
              <w:t>第三节布拉德福定律机理</w:t>
            </w:r>
          </w:p>
        </w:tc>
        <w:tc>
          <w:tcPr>
            <w:tcW w:w="5096" w:type="dxa"/>
            <w:vAlign w:val="center"/>
          </w:tcPr>
          <w:p w14:paraId="0D2EE19A">
            <w:pPr>
              <w:rPr>
                <w:rFonts w:ascii="宋体" w:hAnsi="宋体" w:eastAsia="宋体"/>
                <w:sz w:val="24"/>
                <w:szCs w:val="24"/>
              </w:rPr>
            </w:pPr>
            <w:r>
              <w:rPr>
                <w:rFonts w:hint="eastAsia" w:ascii="宋体" w:hAnsi="宋体" w:eastAsia="宋体"/>
                <w:sz w:val="24"/>
                <w:szCs w:val="24"/>
              </w:rPr>
              <w:t>布拉德福定律。布拉德福定律的机理，应用；核心期刊的测定等。</w:t>
            </w:r>
          </w:p>
        </w:tc>
        <w:tc>
          <w:tcPr>
            <w:tcW w:w="5096" w:type="dxa"/>
            <w:vAlign w:val="center"/>
          </w:tcPr>
          <w:p w14:paraId="714E555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71DEF433">
            <w:pPr>
              <w:rPr>
                <w:rFonts w:ascii="宋体" w:hAnsi="宋体" w:eastAsia="宋体"/>
                <w:sz w:val="24"/>
                <w:szCs w:val="24"/>
              </w:rPr>
            </w:pPr>
            <w:r>
              <w:rPr>
                <w:rFonts w:hint="eastAsia" w:ascii="宋体" w:hAnsi="宋体" w:eastAsia="宋体"/>
                <w:sz w:val="24"/>
                <w:szCs w:val="24"/>
              </w:rPr>
              <w:t>通过对“成功产生成功原则”的学习，讨论相关社会现象的发展形成机制与客观规律。</w:t>
            </w:r>
          </w:p>
        </w:tc>
        <w:tc>
          <w:tcPr>
            <w:tcW w:w="5096" w:type="dxa"/>
            <w:vAlign w:val="center"/>
          </w:tcPr>
          <w:p w14:paraId="0350BDA4">
            <w:pPr>
              <w:rPr>
                <w:rFonts w:ascii="宋体" w:hAnsi="宋体" w:eastAsia="宋体"/>
                <w:sz w:val="24"/>
                <w:szCs w:val="24"/>
              </w:rPr>
            </w:pPr>
          </w:p>
        </w:tc>
        <w:tc>
          <w:tcPr>
            <w:tcW w:w="1555" w:type="dxa"/>
            <w:vAlign w:val="center"/>
          </w:tcPr>
          <w:p w14:paraId="33D7CFA2">
            <w:pPr>
              <w:jc w:val="center"/>
              <w:rPr>
                <w:rFonts w:ascii="宋体" w:hAnsi="宋体" w:eastAsia="宋体"/>
                <w:sz w:val="24"/>
                <w:szCs w:val="24"/>
              </w:rPr>
            </w:pPr>
          </w:p>
        </w:tc>
        <w:tc>
          <w:tcPr>
            <w:tcW w:w="5096" w:type="dxa"/>
            <w:vAlign w:val="center"/>
          </w:tcPr>
          <w:p w14:paraId="01864AE1">
            <w:pPr>
              <w:rPr>
                <w:rFonts w:ascii="宋体" w:hAnsi="宋体" w:eastAsia="宋体"/>
                <w:sz w:val="24"/>
                <w:szCs w:val="24"/>
              </w:rPr>
            </w:pPr>
          </w:p>
        </w:tc>
      </w:tr>
      <w:tr w14:paraId="144FC88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474108">
            <w:pPr>
              <w:rPr>
                <w:rFonts w:ascii="宋体" w:hAnsi="宋体" w:eastAsia="宋体"/>
                <w:sz w:val="24"/>
                <w:szCs w:val="24"/>
              </w:rPr>
            </w:pPr>
            <w:r>
              <w:rPr>
                <w:rFonts w:hint="eastAsia" w:ascii="宋体" w:hAnsi="宋体" w:eastAsia="宋体"/>
                <w:sz w:val="24"/>
                <w:szCs w:val="24"/>
              </w:rPr>
              <w:t>期中研究报告与课堂展示</w:t>
            </w:r>
          </w:p>
        </w:tc>
        <w:tc>
          <w:tcPr>
            <w:tcW w:w="5096" w:type="dxa"/>
            <w:vAlign w:val="center"/>
          </w:tcPr>
          <w:p w14:paraId="7FAB6DFB">
            <w:pPr>
              <w:rPr>
                <w:rFonts w:ascii="宋体" w:hAnsi="宋体" w:eastAsia="宋体"/>
                <w:sz w:val="24"/>
                <w:szCs w:val="24"/>
              </w:rPr>
            </w:pPr>
            <w:r>
              <w:rPr>
                <w:rFonts w:hint="eastAsia" w:ascii="宋体" w:hAnsi="宋体" w:eastAsia="宋体"/>
                <w:sz w:val="24"/>
                <w:szCs w:val="24"/>
              </w:rPr>
              <w:t>期中研究报告与课堂展示</w:t>
            </w:r>
          </w:p>
        </w:tc>
        <w:tc>
          <w:tcPr>
            <w:tcW w:w="5096" w:type="dxa"/>
            <w:vAlign w:val="center"/>
          </w:tcPr>
          <w:p w14:paraId="3973CF0A">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2EC7A1E5">
            <w:pPr>
              <w:rPr>
                <w:rFonts w:ascii="宋体" w:hAnsi="宋体" w:eastAsia="宋体"/>
                <w:sz w:val="24"/>
                <w:szCs w:val="24"/>
              </w:rPr>
            </w:pPr>
            <w:r>
              <w:rPr>
                <w:rFonts w:hint="eastAsia" w:ascii="宋体" w:hAnsi="宋体" w:eastAsia="宋体"/>
                <w:sz w:val="24"/>
                <w:szCs w:val="24"/>
              </w:rPr>
              <w:t>锻炼动手实践与团队协作能力。</w:t>
            </w:r>
          </w:p>
        </w:tc>
        <w:tc>
          <w:tcPr>
            <w:tcW w:w="5096" w:type="dxa"/>
            <w:vAlign w:val="center"/>
          </w:tcPr>
          <w:p w14:paraId="1133C4B7">
            <w:pPr>
              <w:rPr>
                <w:rFonts w:ascii="宋体" w:hAnsi="宋体" w:eastAsia="宋体"/>
                <w:sz w:val="24"/>
                <w:szCs w:val="24"/>
              </w:rPr>
            </w:pPr>
          </w:p>
        </w:tc>
        <w:tc>
          <w:tcPr>
            <w:tcW w:w="1555" w:type="dxa"/>
            <w:vAlign w:val="center"/>
          </w:tcPr>
          <w:p w14:paraId="1B663594">
            <w:pPr>
              <w:jc w:val="center"/>
              <w:rPr>
                <w:rFonts w:ascii="宋体" w:hAnsi="宋体" w:eastAsia="宋体"/>
                <w:sz w:val="24"/>
                <w:szCs w:val="24"/>
              </w:rPr>
            </w:pPr>
          </w:p>
        </w:tc>
        <w:tc>
          <w:tcPr>
            <w:tcW w:w="5096" w:type="dxa"/>
            <w:vAlign w:val="center"/>
          </w:tcPr>
          <w:p w14:paraId="0AF398D2">
            <w:pPr>
              <w:rPr>
                <w:rFonts w:ascii="宋体" w:hAnsi="宋体" w:eastAsia="宋体"/>
                <w:sz w:val="24"/>
                <w:szCs w:val="24"/>
              </w:rPr>
            </w:pPr>
          </w:p>
        </w:tc>
      </w:tr>
      <w:tr w14:paraId="477874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E786809">
            <w:pPr>
              <w:rPr>
                <w:rFonts w:ascii="宋体" w:hAnsi="宋体" w:eastAsia="宋体"/>
                <w:sz w:val="24"/>
                <w:szCs w:val="24"/>
              </w:rPr>
            </w:pPr>
            <w:r>
              <w:rPr>
                <w:rFonts w:hint="eastAsia" w:ascii="宋体" w:hAnsi="宋体" w:eastAsia="宋体"/>
                <w:sz w:val="24"/>
                <w:szCs w:val="24"/>
              </w:rPr>
              <w:t>第五章齐普夫定律</w:t>
            </w:r>
          </w:p>
        </w:tc>
        <w:tc>
          <w:tcPr>
            <w:tcW w:w="5096" w:type="dxa"/>
            <w:vAlign w:val="center"/>
          </w:tcPr>
          <w:p w14:paraId="509A7A27">
            <w:pPr>
              <w:rPr>
                <w:rFonts w:ascii="宋体" w:hAnsi="宋体" w:eastAsia="宋体"/>
                <w:sz w:val="24"/>
                <w:szCs w:val="24"/>
              </w:rPr>
            </w:pPr>
            <w:r>
              <w:rPr>
                <w:rFonts w:hint="eastAsia" w:ascii="宋体" w:hAnsi="宋体" w:eastAsia="宋体"/>
                <w:sz w:val="24"/>
                <w:szCs w:val="24"/>
              </w:rPr>
              <w:t>齐普夫定律。齐普夫定律的理论基础；齐普夫定律的形成和确立；齐普夫定律的基本内容；齐普夫定律的发展与应用等。</w:t>
            </w:r>
          </w:p>
        </w:tc>
        <w:tc>
          <w:tcPr>
            <w:tcW w:w="5096" w:type="dxa"/>
            <w:vAlign w:val="center"/>
          </w:tcPr>
          <w:p w14:paraId="4899D0F4">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034C4F5">
            <w:pPr>
              <w:rPr>
                <w:rFonts w:ascii="宋体" w:hAnsi="宋体" w:eastAsia="宋体"/>
                <w:sz w:val="24"/>
                <w:szCs w:val="24"/>
              </w:rPr>
            </w:pPr>
            <w:r>
              <w:rPr>
                <w:rFonts w:hint="eastAsia" w:ascii="宋体" w:hAnsi="宋体" w:eastAsia="宋体"/>
                <w:sz w:val="24"/>
                <w:szCs w:val="24"/>
              </w:rPr>
              <w:t>对科学发展过程中的语言文字分布现象有更深刻的理解。</w:t>
            </w:r>
          </w:p>
        </w:tc>
        <w:tc>
          <w:tcPr>
            <w:tcW w:w="5096" w:type="dxa"/>
            <w:vAlign w:val="center"/>
          </w:tcPr>
          <w:p w14:paraId="5944EB7A">
            <w:pPr>
              <w:rPr>
                <w:rFonts w:ascii="宋体" w:hAnsi="宋体" w:eastAsia="宋体"/>
                <w:sz w:val="24"/>
                <w:szCs w:val="24"/>
              </w:rPr>
            </w:pPr>
            <w:r>
              <w:rPr>
                <w:rFonts w:hint="eastAsia" w:ascii="宋体" w:hAnsi="宋体" w:eastAsia="宋体"/>
                <w:sz w:val="24"/>
                <w:szCs w:val="24"/>
              </w:rPr>
              <w:t>本章重点：齐普夫定律的基础数学模型；掌握最省力法则。</w:t>
            </w:r>
          </w:p>
        </w:tc>
        <w:tc>
          <w:tcPr>
            <w:tcW w:w="1555" w:type="dxa"/>
            <w:vAlign w:val="center"/>
          </w:tcPr>
          <w:p w14:paraId="66A6A5F9">
            <w:pPr>
              <w:jc w:val="center"/>
              <w:rPr>
                <w:rFonts w:ascii="宋体" w:hAnsi="宋体" w:eastAsia="宋体"/>
                <w:sz w:val="24"/>
                <w:szCs w:val="24"/>
              </w:rPr>
            </w:pPr>
          </w:p>
        </w:tc>
        <w:tc>
          <w:tcPr>
            <w:tcW w:w="5096" w:type="dxa"/>
            <w:vAlign w:val="center"/>
          </w:tcPr>
          <w:p w14:paraId="5852891A">
            <w:pPr>
              <w:rPr>
                <w:rFonts w:ascii="宋体" w:hAnsi="宋体" w:eastAsia="宋体"/>
                <w:sz w:val="24"/>
                <w:szCs w:val="24"/>
              </w:rPr>
            </w:pPr>
          </w:p>
        </w:tc>
      </w:tr>
      <w:tr w14:paraId="6BF0549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97F9F5">
            <w:pPr>
              <w:rPr>
                <w:rFonts w:ascii="宋体" w:hAnsi="宋体" w:eastAsia="宋体"/>
                <w:sz w:val="24"/>
                <w:szCs w:val="24"/>
              </w:rPr>
            </w:pPr>
            <w:r>
              <w:rPr>
                <w:rFonts w:hint="eastAsia" w:ascii="宋体" w:hAnsi="宋体" w:eastAsia="宋体"/>
                <w:sz w:val="24"/>
                <w:szCs w:val="24"/>
              </w:rPr>
              <w:t>第六章洛特卡定律</w:t>
            </w:r>
          </w:p>
          <w:p w14:paraId="3AD45D8E">
            <w:pPr>
              <w:rPr>
                <w:rFonts w:ascii="宋体" w:hAnsi="宋体" w:eastAsia="宋体"/>
                <w:sz w:val="24"/>
                <w:szCs w:val="24"/>
              </w:rPr>
            </w:pPr>
            <w:r>
              <w:rPr>
                <w:rFonts w:hint="eastAsia" w:ascii="宋体" w:hAnsi="宋体" w:eastAsia="宋体"/>
                <w:sz w:val="24"/>
                <w:szCs w:val="24"/>
              </w:rPr>
              <w:t>第一节洛特卡定律基础</w:t>
            </w:r>
          </w:p>
        </w:tc>
        <w:tc>
          <w:tcPr>
            <w:tcW w:w="5096" w:type="dxa"/>
            <w:vAlign w:val="center"/>
          </w:tcPr>
          <w:p w14:paraId="59427F4D">
            <w:pPr>
              <w:rPr>
                <w:rFonts w:ascii="宋体" w:hAnsi="宋体" w:eastAsia="宋体"/>
                <w:sz w:val="24"/>
                <w:szCs w:val="24"/>
              </w:rPr>
            </w:pPr>
            <w:r>
              <w:rPr>
                <w:rFonts w:hint="eastAsia" w:ascii="宋体" w:hAnsi="宋体" w:eastAsia="宋体"/>
                <w:sz w:val="24"/>
                <w:szCs w:val="24"/>
              </w:rPr>
              <w:t>洛特卡定律。洛特卡定律的形成和基本内容；洛特卡定律的发展；洛特卡定律的应用等。</w:t>
            </w:r>
          </w:p>
        </w:tc>
        <w:tc>
          <w:tcPr>
            <w:tcW w:w="5096" w:type="dxa"/>
            <w:vAlign w:val="center"/>
          </w:tcPr>
          <w:p w14:paraId="2136156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3DD5D3EE">
            <w:pPr>
              <w:rPr>
                <w:rFonts w:ascii="宋体" w:hAnsi="宋体" w:eastAsia="宋体"/>
                <w:sz w:val="24"/>
                <w:szCs w:val="24"/>
              </w:rPr>
            </w:pPr>
            <w:r>
              <w:rPr>
                <w:rFonts w:hint="eastAsia" w:ascii="宋体" w:hAnsi="宋体" w:eastAsia="宋体"/>
                <w:sz w:val="24"/>
                <w:szCs w:val="24"/>
              </w:rPr>
              <w:t>对科学发展过程中的作者生产力分布现象有更深刻的理解。</w:t>
            </w:r>
          </w:p>
        </w:tc>
        <w:tc>
          <w:tcPr>
            <w:tcW w:w="5096" w:type="dxa"/>
            <w:vAlign w:val="center"/>
          </w:tcPr>
          <w:p w14:paraId="0A58D6CA">
            <w:pPr>
              <w:rPr>
                <w:rFonts w:ascii="宋体" w:hAnsi="宋体" w:eastAsia="宋体"/>
                <w:sz w:val="24"/>
                <w:szCs w:val="24"/>
              </w:rPr>
            </w:pPr>
            <w:r>
              <w:rPr>
                <w:rFonts w:hint="eastAsia" w:ascii="宋体" w:hAnsi="宋体" w:eastAsia="宋体"/>
                <w:sz w:val="24"/>
                <w:szCs w:val="24"/>
              </w:rPr>
              <w:t>本章重点：洛特卡定律的基础数学模型。</w:t>
            </w:r>
          </w:p>
        </w:tc>
        <w:tc>
          <w:tcPr>
            <w:tcW w:w="1555" w:type="dxa"/>
            <w:vAlign w:val="center"/>
          </w:tcPr>
          <w:p w14:paraId="4C85E0AF">
            <w:pPr>
              <w:jc w:val="center"/>
              <w:rPr>
                <w:rFonts w:ascii="宋体" w:hAnsi="宋体" w:eastAsia="宋体"/>
                <w:sz w:val="24"/>
                <w:szCs w:val="24"/>
              </w:rPr>
            </w:pPr>
          </w:p>
        </w:tc>
        <w:tc>
          <w:tcPr>
            <w:tcW w:w="5096" w:type="dxa"/>
            <w:vAlign w:val="center"/>
          </w:tcPr>
          <w:p w14:paraId="46352211">
            <w:pPr>
              <w:rPr>
                <w:rFonts w:ascii="宋体" w:hAnsi="宋体" w:eastAsia="宋体"/>
                <w:sz w:val="24"/>
                <w:szCs w:val="24"/>
              </w:rPr>
            </w:pPr>
          </w:p>
        </w:tc>
      </w:tr>
      <w:tr w14:paraId="5E82EDF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DE1D126">
            <w:pPr>
              <w:rPr>
                <w:rFonts w:ascii="宋体" w:hAnsi="宋体" w:eastAsia="宋体"/>
                <w:sz w:val="24"/>
                <w:szCs w:val="24"/>
              </w:rPr>
            </w:pPr>
            <w:r>
              <w:rPr>
                <w:rFonts w:hint="eastAsia" w:ascii="宋体" w:hAnsi="宋体" w:eastAsia="宋体"/>
                <w:sz w:val="24"/>
                <w:szCs w:val="24"/>
              </w:rPr>
              <w:t>第六章洛特卡定律</w:t>
            </w:r>
          </w:p>
          <w:p w14:paraId="40C598D7">
            <w:pPr>
              <w:rPr>
                <w:rFonts w:ascii="宋体" w:hAnsi="宋体" w:eastAsia="宋体"/>
                <w:sz w:val="24"/>
                <w:szCs w:val="24"/>
              </w:rPr>
            </w:pPr>
            <w:r>
              <w:rPr>
                <w:rFonts w:hint="eastAsia" w:ascii="宋体" w:hAnsi="宋体" w:eastAsia="宋体"/>
                <w:sz w:val="24"/>
                <w:szCs w:val="24"/>
              </w:rPr>
              <w:t>第二节布－齐－洛分布机理</w:t>
            </w:r>
          </w:p>
        </w:tc>
        <w:tc>
          <w:tcPr>
            <w:tcW w:w="5096" w:type="dxa"/>
            <w:vAlign w:val="center"/>
          </w:tcPr>
          <w:p w14:paraId="3F67D5FE">
            <w:pPr>
              <w:rPr>
                <w:rFonts w:ascii="宋体" w:hAnsi="宋体" w:eastAsia="宋体"/>
                <w:sz w:val="24"/>
                <w:szCs w:val="24"/>
              </w:rPr>
            </w:pPr>
            <w:r>
              <w:rPr>
                <w:rFonts w:hint="eastAsia" w:ascii="宋体" w:hAnsi="宋体" w:eastAsia="宋体"/>
                <w:sz w:val="24"/>
                <w:szCs w:val="24"/>
              </w:rPr>
              <w:t>布－齐－洛分布的机理分析等。</w:t>
            </w:r>
          </w:p>
        </w:tc>
        <w:tc>
          <w:tcPr>
            <w:tcW w:w="5096" w:type="dxa"/>
            <w:vAlign w:val="center"/>
          </w:tcPr>
          <w:p w14:paraId="28FFC31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F95FC2E">
            <w:pPr>
              <w:rPr>
                <w:rFonts w:ascii="宋体" w:hAnsi="宋体" w:eastAsia="宋体"/>
                <w:sz w:val="24"/>
                <w:szCs w:val="24"/>
              </w:rPr>
            </w:pPr>
            <w:r>
              <w:rPr>
                <w:rFonts w:hint="eastAsia" w:ascii="宋体" w:hAnsi="宋体" w:eastAsia="宋体"/>
                <w:sz w:val="24"/>
                <w:szCs w:val="24"/>
              </w:rPr>
              <w:t>通过对“布－齐－洛分布”的内在机理进行分析，讨论相关社会现象的发展形成机制与客观规律。</w:t>
            </w:r>
          </w:p>
        </w:tc>
        <w:tc>
          <w:tcPr>
            <w:tcW w:w="5096" w:type="dxa"/>
            <w:vAlign w:val="center"/>
          </w:tcPr>
          <w:p w14:paraId="668E410C">
            <w:pPr>
              <w:rPr>
                <w:rFonts w:ascii="宋体" w:hAnsi="宋体" w:eastAsia="宋体"/>
                <w:sz w:val="24"/>
                <w:szCs w:val="24"/>
              </w:rPr>
            </w:pPr>
          </w:p>
        </w:tc>
        <w:tc>
          <w:tcPr>
            <w:tcW w:w="1555" w:type="dxa"/>
            <w:vAlign w:val="center"/>
          </w:tcPr>
          <w:p w14:paraId="5DD978C9">
            <w:pPr>
              <w:jc w:val="center"/>
              <w:rPr>
                <w:rFonts w:ascii="宋体" w:hAnsi="宋体" w:eastAsia="宋体"/>
                <w:sz w:val="24"/>
                <w:szCs w:val="24"/>
              </w:rPr>
            </w:pPr>
          </w:p>
        </w:tc>
        <w:tc>
          <w:tcPr>
            <w:tcW w:w="5096" w:type="dxa"/>
            <w:vAlign w:val="center"/>
          </w:tcPr>
          <w:p w14:paraId="71BFB3A2">
            <w:pPr>
              <w:rPr>
                <w:rFonts w:ascii="宋体" w:hAnsi="宋体" w:eastAsia="宋体"/>
                <w:sz w:val="24"/>
                <w:szCs w:val="24"/>
              </w:rPr>
            </w:pPr>
          </w:p>
        </w:tc>
      </w:tr>
      <w:tr w14:paraId="29F5A9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92E48D4">
            <w:pPr>
              <w:rPr>
                <w:rFonts w:ascii="宋体" w:hAnsi="宋体" w:eastAsia="宋体"/>
                <w:sz w:val="24"/>
                <w:szCs w:val="24"/>
              </w:rPr>
            </w:pPr>
            <w:r>
              <w:rPr>
                <w:rFonts w:hint="eastAsia" w:ascii="宋体" w:hAnsi="宋体" w:eastAsia="宋体"/>
                <w:sz w:val="24"/>
                <w:szCs w:val="24"/>
              </w:rPr>
              <w:t>第七章引文分析法</w:t>
            </w:r>
          </w:p>
          <w:p w14:paraId="2523A758">
            <w:pPr>
              <w:rPr>
                <w:rFonts w:ascii="宋体" w:hAnsi="宋体" w:eastAsia="宋体"/>
                <w:sz w:val="24"/>
                <w:szCs w:val="24"/>
              </w:rPr>
            </w:pPr>
            <w:r>
              <w:rPr>
                <w:rFonts w:hint="eastAsia" w:ascii="宋体" w:hAnsi="宋体" w:eastAsia="宋体"/>
                <w:sz w:val="24"/>
                <w:szCs w:val="24"/>
              </w:rPr>
              <w:t>第一节引文分析法基础</w:t>
            </w:r>
          </w:p>
        </w:tc>
        <w:tc>
          <w:tcPr>
            <w:tcW w:w="5096" w:type="dxa"/>
            <w:vAlign w:val="center"/>
          </w:tcPr>
          <w:p w14:paraId="2272CDBA">
            <w:pPr>
              <w:rPr>
                <w:rFonts w:ascii="宋体" w:hAnsi="宋体" w:eastAsia="宋体"/>
                <w:sz w:val="24"/>
                <w:szCs w:val="24"/>
              </w:rPr>
            </w:pPr>
            <w:r>
              <w:rPr>
                <w:rFonts w:hint="eastAsia" w:ascii="宋体" w:hAnsi="宋体" w:eastAsia="宋体"/>
                <w:sz w:val="24"/>
                <w:szCs w:val="24"/>
              </w:rPr>
              <w:t>引文分析法。引文分析基础；引文分析机理等。</w:t>
            </w:r>
          </w:p>
        </w:tc>
        <w:tc>
          <w:tcPr>
            <w:tcW w:w="5096" w:type="dxa"/>
            <w:vAlign w:val="center"/>
          </w:tcPr>
          <w:p w14:paraId="4FE6E07C">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421E26E">
            <w:pPr>
              <w:rPr>
                <w:rFonts w:ascii="宋体" w:hAnsi="宋体" w:eastAsia="宋体"/>
                <w:sz w:val="24"/>
                <w:szCs w:val="24"/>
              </w:rPr>
            </w:pPr>
            <w:r>
              <w:rPr>
                <w:rFonts w:hint="eastAsia" w:ascii="宋体" w:hAnsi="宋体" w:eastAsia="宋体"/>
                <w:sz w:val="24"/>
                <w:szCs w:val="24"/>
              </w:rPr>
              <w:t>通过对引文分析方法优点与局限性的学习，了解科技评价的重要价值和作用。</w:t>
            </w:r>
          </w:p>
        </w:tc>
        <w:tc>
          <w:tcPr>
            <w:tcW w:w="5096" w:type="dxa"/>
            <w:vAlign w:val="center"/>
          </w:tcPr>
          <w:p w14:paraId="4C3E8FDF">
            <w:pPr>
              <w:rPr>
                <w:rFonts w:ascii="宋体" w:hAnsi="宋体" w:eastAsia="宋体"/>
                <w:sz w:val="24"/>
                <w:szCs w:val="24"/>
              </w:rPr>
            </w:pPr>
            <w:r>
              <w:rPr>
                <w:rFonts w:hint="eastAsia" w:ascii="宋体" w:hAnsi="宋体" w:eastAsia="宋体"/>
                <w:sz w:val="24"/>
                <w:szCs w:val="24"/>
              </w:rPr>
              <w:t>本章重点：引文分析法的基本概念；期刊影响因子。</w:t>
            </w:r>
          </w:p>
        </w:tc>
        <w:tc>
          <w:tcPr>
            <w:tcW w:w="1555" w:type="dxa"/>
            <w:vAlign w:val="center"/>
          </w:tcPr>
          <w:p w14:paraId="398D0A7E">
            <w:pPr>
              <w:jc w:val="center"/>
              <w:rPr>
                <w:rFonts w:ascii="宋体" w:hAnsi="宋体" w:eastAsia="宋体"/>
                <w:sz w:val="24"/>
                <w:szCs w:val="24"/>
              </w:rPr>
            </w:pPr>
          </w:p>
        </w:tc>
        <w:tc>
          <w:tcPr>
            <w:tcW w:w="5096" w:type="dxa"/>
            <w:vAlign w:val="center"/>
          </w:tcPr>
          <w:p w14:paraId="0FABA4D6">
            <w:pPr>
              <w:rPr>
                <w:rFonts w:ascii="宋体" w:hAnsi="宋体" w:eastAsia="宋体"/>
                <w:sz w:val="24"/>
                <w:szCs w:val="24"/>
              </w:rPr>
            </w:pPr>
          </w:p>
        </w:tc>
      </w:tr>
      <w:tr w14:paraId="7C2D513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60B7DD">
            <w:pPr>
              <w:rPr>
                <w:rFonts w:ascii="宋体" w:hAnsi="宋体" w:eastAsia="宋体"/>
                <w:sz w:val="24"/>
                <w:szCs w:val="24"/>
              </w:rPr>
            </w:pPr>
            <w:r>
              <w:rPr>
                <w:rFonts w:hint="eastAsia" w:ascii="宋体" w:hAnsi="宋体" w:eastAsia="宋体"/>
                <w:sz w:val="24"/>
                <w:szCs w:val="24"/>
              </w:rPr>
              <w:t>第七章引文分析法</w:t>
            </w:r>
          </w:p>
          <w:p w14:paraId="52DEF412">
            <w:pPr>
              <w:rPr>
                <w:rFonts w:ascii="宋体" w:hAnsi="宋体" w:eastAsia="宋体"/>
                <w:sz w:val="24"/>
                <w:szCs w:val="24"/>
              </w:rPr>
            </w:pPr>
            <w:r>
              <w:rPr>
                <w:rFonts w:hint="eastAsia" w:ascii="宋体" w:hAnsi="宋体" w:eastAsia="宋体"/>
                <w:sz w:val="24"/>
                <w:szCs w:val="24"/>
              </w:rPr>
              <w:t>第二节引文分析法应用</w:t>
            </w:r>
          </w:p>
        </w:tc>
        <w:tc>
          <w:tcPr>
            <w:tcW w:w="5096" w:type="dxa"/>
            <w:vAlign w:val="center"/>
          </w:tcPr>
          <w:p w14:paraId="498CFE2D">
            <w:pPr>
              <w:rPr>
                <w:rFonts w:ascii="宋体" w:hAnsi="宋体" w:eastAsia="宋体"/>
                <w:sz w:val="24"/>
                <w:szCs w:val="24"/>
              </w:rPr>
            </w:pPr>
            <w:r>
              <w:rPr>
                <w:rFonts w:hint="eastAsia" w:ascii="宋体" w:hAnsi="宋体" w:eastAsia="宋体"/>
                <w:sz w:val="24"/>
                <w:szCs w:val="24"/>
              </w:rPr>
              <w:t>引文分析法。科学期刊的引文分析；评价期刊的主要测度指标；引文分析法的应用等。</w:t>
            </w:r>
          </w:p>
          <w:p w14:paraId="1678AE55">
            <w:pPr>
              <w:rPr>
                <w:rFonts w:ascii="宋体" w:hAnsi="宋体" w:eastAsia="宋体"/>
                <w:sz w:val="24"/>
                <w:szCs w:val="24"/>
              </w:rPr>
            </w:pPr>
            <w:r>
              <w:rPr>
                <w:rFonts w:hint="eastAsia" w:ascii="宋体" w:hAnsi="宋体" w:eastAsia="宋体"/>
                <w:sz w:val="24"/>
                <w:szCs w:val="24"/>
              </w:rPr>
              <w:t>等。</w:t>
            </w:r>
          </w:p>
          <w:p w14:paraId="0168F8B8">
            <w:pPr>
              <w:rPr>
                <w:rFonts w:ascii="宋体" w:hAnsi="宋体" w:eastAsia="宋体"/>
                <w:sz w:val="24"/>
                <w:szCs w:val="24"/>
              </w:rPr>
            </w:pPr>
            <w:r>
              <w:rPr>
                <w:rFonts w:hint="eastAsia" w:ascii="宋体" w:hAnsi="宋体" w:eastAsia="宋体"/>
                <w:sz w:val="24"/>
                <w:szCs w:val="24"/>
              </w:rPr>
              <w:t>课程复习与答疑。</w:t>
            </w:r>
          </w:p>
        </w:tc>
        <w:tc>
          <w:tcPr>
            <w:tcW w:w="5096" w:type="dxa"/>
            <w:vAlign w:val="center"/>
          </w:tcPr>
          <w:p w14:paraId="0415CD5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ACD044A">
            <w:pPr>
              <w:rPr>
                <w:rFonts w:ascii="宋体" w:hAnsi="宋体" w:eastAsia="宋体"/>
                <w:sz w:val="24"/>
                <w:szCs w:val="24"/>
              </w:rPr>
            </w:pPr>
            <w:r>
              <w:rPr>
                <w:rFonts w:hint="eastAsia" w:ascii="宋体" w:hAnsi="宋体" w:eastAsia="宋体"/>
                <w:sz w:val="24"/>
                <w:szCs w:val="24"/>
              </w:rPr>
              <w:t>对引文分析的具体实施过程有更清楚的了解。</w:t>
            </w:r>
          </w:p>
        </w:tc>
        <w:tc>
          <w:tcPr>
            <w:tcW w:w="5096" w:type="dxa"/>
            <w:vAlign w:val="center"/>
          </w:tcPr>
          <w:p w14:paraId="4E9107E2">
            <w:pPr>
              <w:rPr>
                <w:rFonts w:ascii="宋体" w:hAnsi="宋体" w:eastAsia="宋体"/>
                <w:sz w:val="24"/>
                <w:szCs w:val="24"/>
              </w:rPr>
            </w:pPr>
          </w:p>
        </w:tc>
        <w:tc>
          <w:tcPr>
            <w:tcW w:w="1555" w:type="dxa"/>
            <w:vAlign w:val="center"/>
          </w:tcPr>
          <w:p w14:paraId="1EEF10AA">
            <w:pPr>
              <w:jc w:val="center"/>
              <w:rPr>
                <w:rFonts w:ascii="宋体" w:hAnsi="宋体" w:eastAsia="宋体"/>
                <w:sz w:val="24"/>
                <w:szCs w:val="24"/>
              </w:rPr>
            </w:pPr>
          </w:p>
        </w:tc>
        <w:tc>
          <w:tcPr>
            <w:tcW w:w="5096" w:type="dxa"/>
            <w:vAlign w:val="center"/>
          </w:tcPr>
          <w:p w14:paraId="61D38BB4">
            <w:pPr>
              <w:rPr>
                <w:rFonts w:ascii="宋体" w:hAnsi="宋体" w:eastAsia="宋体"/>
                <w:sz w:val="24"/>
                <w:szCs w:val="24"/>
              </w:rPr>
            </w:pPr>
          </w:p>
        </w:tc>
      </w:tr>
      <w:tr w14:paraId="36727E2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E1BA82D">
            <w:pPr>
              <w:rPr>
                <w:rFonts w:ascii="宋体" w:hAnsi="宋体" w:eastAsia="宋体"/>
                <w:sz w:val="24"/>
                <w:szCs w:val="24"/>
              </w:rPr>
            </w:pPr>
            <w:r>
              <w:rPr>
                <w:rFonts w:hint="eastAsia" w:ascii="宋体" w:hAnsi="宋体" w:eastAsia="宋体"/>
                <w:sz w:val="24"/>
                <w:szCs w:val="24"/>
              </w:rPr>
              <w:t>复习与答疑</w:t>
            </w:r>
          </w:p>
        </w:tc>
        <w:tc>
          <w:tcPr>
            <w:tcW w:w="5096" w:type="dxa"/>
            <w:vAlign w:val="center"/>
          </w:tcPr>
          <w:p w14:paraId="678D2A9B">
            <w:pPr>
              <w:rPr>
                <w:rFonts w:ascii="宋体" w:hAnsi="宋体" w:eastAsia="宋体"/>
                <w:sz w:val="24"/>
                <w:szCs w:val="24"/>
              </w:rPr>
            </w:pPr>
            <w:r>
              <w:rPr>
                <w:rFonts w:hint="eastAsia" w:ascii="宋体" w:hAnsi="宋体" w:eastAsia="宋体"/>
                <w:sz w:val="24"/>
                <w:szCs w:val="24"/>
              </w:rPr>
              <w:t>复习与答疑</w:t>
            </w:r>
          </w:p>
        </w:tc>
        <w:tc>
          <w:tcPr>
            <w:tcW w:w="5096" w:type="dxa"/>
            <w:vAlign w:val="center"/>
          </w:tcPr>
          <w:p w14:paraId="7D350165">
            <w:pPr>
              <w:rPr>
                <w:rFonts w:ascii="宋体" w:hAnsi="宋体" w:eastAsia="宋体"/>
                <w:sz w:val="24"/>
                <w:szCs w:val="24"/>
              </w:rPr>
            </w:pPr>
            <w:r>
              <w:rPr>
                <w:rFonts w:hint="eastAsia" w:ascii="宋体" w:hAnsi="宋体" w:eastAsia="宋体"/>
                <w:sz w:val="24"/>
                <w:szCs w:val="24"/>
              </w:rPr>
              <w:t>3</w:t>
            </w:r>
          </w:p>
        </w:tc>
        <w:tc>
          <w:tcPr>
            <w:tcW w:w="5096" w:type="dxa"/>
            <w:vAlign w:val="center"/>
          </w:tcPr>
          <w:p w14:paraId="22A3D4B0">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68A8BB06">
            <w:pPr>
              <w:rPr>
                <w:rFonts w:ascii="宋体" w:hAnsi="宋体" w:eastAsia="宋体"/>
                <w:sz w:val="24"/>
                <w:szCs w:val="24"/>
              </w:rPr>
            </w:pPr>
          </w:p>
        </w:tc>
        <w:tc>
          <w:tcPr>
            <w:tcW w:w="1555" w:type="dxa"/>
            <w:vAlign w:val="center"/>
          </w:tcPr>
          <w:p w14:paraId="7A7185D5">
            <w:pPr>
              <w:jc w:val="center"/>
              <w:rPr>
                <w:rFonts w:ascii="宋体" w:hAnsi="宋体" w:eastAsia="宋体"/>
                <w:sz w:val="24"/>
                <w:szCs w:val="24"/>
              </w:rPr>
            </w:pPr>
          </w:p>
        </w:tc>
        <w:tc>
          <w:tcPr>
            <w:tcW w:w="5096" w:type="dxa"/>
            <w:vAlign w:val="center"/>
          </w:tcPr>
          <w:p w14:paraId="3F0832A5">
            <w:pPr>
              <w:rPr>
                <w:rFonts w:ascii="宋体" w:hAnsi="宋体" w:eastAsia="宋体"/>
                <w:sz w:val="24"/>
                <w:szCs w:val="24"/>
              </w:rPr>
            </w:pPr>
          </w:p>
        </w:tc>
      </w:tr>
      <w:tr w14:paraId="4D27C1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92F3970">
            <w:pPr>
              <w:rPr>
                <w:rFonts w:ascii="宋体" w:hAnsi="宋体" w:eastAsia="宋体"/>
                <w:sz w:val="24"/>
                <w:szCs w:val="24"/>
              </w:rPr>
            </w:pPr>
            <w:r>
              <w:rPr>
                <w:rFonts w:hint="eastAsia" w:ascii="宋体" w:hAnsi="宋体" w:eastAsia="宋体"/>
                <w:sz w:val="24"/>
                <w:szCs w:val="24"/>
              </w:rPr>
              <w:t>期末考试</w:t>
            </w:r>
          </w:p>
        </w:tc>
        <w:tc>
          <w:tcPr>
            <w:tcW w:w="5096" w:type="dxa"/>
            <w:vAlign w:val="center"/>
          </w:tcPr>
          <w:p w14:paraId="41BDB865">
            <w:pPr>
              <w:rPr>
                <w:rFonts w:ascii="宋体" w:hAnsi="宋体" w:eastAsia="宋体"/>
                <w:sz w:val="24"/>
                <w:szCs w:val="24"/>
              </w:rPr>
            </w:pPr>
            <w:r>
              <w:rPr>
                <w:rFonts w:hint="eastAsia" w:ascii="宋体" w:hAnsi="宋体" w:eastAsia="宋体"/>
                <w:sz w:val="24"/>
                <w:szCs w:val="24"/>
              </w:rPr>
              <w:t>期末考试</w:t>
            </w:r>
          </w:p>
        </w:tc>
        <w:tc>
          <w:tcPr>
            <w:tcW w:w="5096" w:type="dxa"/>
            <w:vAlign w:val="center"/>
          </w:tcPr>
          <w:p w14:paraId="018F47A6">
            <w:pPr>
              <w:rPr>
                <w:rFonts w:ascii="宋体" w:hAnsi="宋体" w:eastAsia="宋体"/>
                <w:sz w:val="24"/>
                <w:szCs w:val="24"/>
              </w:rPr>
            </w:pPr>
            <w:r>
              <w:rPr>
                <w:rFonts w:hint="eastAsia" w:ascii="宋体" w:hAnsi="宋体" w:eastAsia="宋体"/>
                <w:sz w:val="24"/>
                <w:szCs w:val="24"/>
              </w:rPr>
              <w:t>0</w:t>
            </w:r>
          </w:p>
        </w:tc>
        <w:tc>
          <w:tcPr>
            <w:tcW w:w="5096" w:type="dxa"/>
            <w:vAlign w:val="center"/>
          </w:tcPr>
          <w:p w14:paraId="52A8EDD3">
            <w:pPr>
              <w:rPr>
                <w:rFonts w:ascii="宋体" w:hAnsi="宋体" w:eastAsia="宋体"/>
                <w:sz w:val="24"/>
                <w:szCs w:val="24"/>
              </w:rPr>
            </w:pPr>
            <w:r>
              <w:rPr>
                <w:rFonts w:hint="eastAsia" w:ascii="宋体" w:hAnsi="宋体" w:eastAsia="宋体"/>
                <w:sz w:val="24"/>
                <w:szCs w:val="24"/>
              </w:rPr>
              <w:t>无</w:t>
            </w:r>
          </w:p>
        </w:tc>
        <w:tc>
          <w:tcPr>
            <w:tcW w:w="5096" w:type="dxa"/>
            <w:vAlign w:val="center"/>
          </w:tcPr>
          <w:p w14:paraId="226CA3F6">
            <w:pPr>
              <w:rPr>
                <w:rFonts w:ascii="宋体" w:hAnsi="宋体" w:eastAsia="宋体"/>
                <w:sz w:val="24"/>
                <w:szCs w:val="24"/>
              </w:rPr>
            </w:pPr>
          </w:p>
        </w:tc>
        <w:tc>
          <w:tcPr>
            <w:tcW w:w="1555" w:type="dxa"/>
            <w:vAlign w:val="center"/>
          </w:tcPr>
          <w:p w14:paraId="657CE975">
            <w:pPr>
              <w:jc w:val="center"/>
              <w:rPr>
                <w:rFonts w:ascii="宋体" w:hAnsi="宋体" w:eastAsia="宋体"/>
                <w:sz w:val="24"/>
                <w:szCs w:val="24"/>
              </w:rPr>
            </w:pPr>
          </w:p>
        </w:tc>
        <w:tc>
          <w:tcPr>
            <w:tcW w:w="5096" w:type="dxa"/>
            <w:vAlign w:val="center"/>
          </w:tcPr>
          <w:p w14:paraId="0AA48F9F">
            <w:pPr>
              <w:rPr>
                <w:rFonts w:ascii="宋体" w:hAnsi="宋体" w:eastAsia="宋体"/>
                <w:sz w:val="24"/>
                <w:szCs w:val="24"/>
              </w:rPr>
            </w:pPr>
          </w:p>
        </w:tc>
      </w:tr>
    </w:tbl>
    <w:p w14:paraId="04932D7D">
      <w:pPr>
        <w:spacing w:line="480" w:lineRule="exact"/>
        <w:ind w:firstLine="360" w:firstLineChars="150"/>
        <w:rPr>
          <w:rFonts w:hint="eastAsia"/>
          <w:sz w:val="24"/>
        </w:rPr>
      </w:pPr>
      <w:r>
        <w:rPr>
          <w:sz w:val="24"/>
        </w:rPr>
        <w:t>合计:54</w:t>
      </w:r>
    </w:p>
    <w:p w14:paraId="26DD9098">
      <w:pPr>
        <w:spacing w:line="480" w:lineRule="exact"/>
        <w:rPr>
          <w:sz w:val="24"/>
        </w:rPr>
      </w:pPr>
    </w:p>
    <w:p w14:paraId="5925C779">
      <w:pPr>
        <w:spacing w:line="480" w:lineRule="exact"/>
        <w:rPr>
          <w:rFonts w:hint="eastAsia"/>
          <w:sz w:val="24"/>
        </w:rPr>
      </w:pPr>
    </w:p>
    <w:p w14:paraId="3AF8388E">
      <w:pPr>
        <w:spacing w:line="480" w:lineRule="exact"/>
        <w:ind w:firstLine="480" w:firstLineChars="200"/>
        <w:rPr>
          <w:sz w:val="24"/>
        </w:rPr>
      </w:pPr>
      <w:r>
        <w:rPr>
          <w:sz w:val="24"/>
        </w:rPr>
        <w:t>（二）</w:t>
      </w:r>
      <w:r>
        <w:rPr>
          <w:b/>
          <w:sz w:val="24"/>
        </w:rPr>
        <w:t>教学环节安排</w:t>
      </w:r>
    </w:p>
    <w:p w14:paraId="4439C4BB">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1F5232D5">
      <w:pPr>
        <w:spacing w:line="480" w:lineRule="exact"/>
        <w:ind w:firstLine="360" w:firstLineChars="150"/>
        <w:rPr>
          <w:rFonts w:hint="eastAsia"/>
          <w:sz w:val="24"/>
        </w:rPr>
      </w:pPr>
      <w:r>
        <w:rPr>
          <w:sz w:val="24"/>
        </w:rPr>
        <w:t>本课程综合采用课堂讲授、课后习题以及分组研究报告相结合的方法，培养学生系统、严密地分析问题和解决问题的思维能力，并掌握利用信息计量学方法解决实际问题的基本技能。</w:t>
      </w:r>
    </w:p>
    <w:p w14:paraId="3F4BBF5E">
      <w:pPr>
        <w:spacing w:line="480" w:lineRule="exact"/>
        <w:ind w:firstLine="360" w:firstLineChars="150"/>
        <w:rPr>
          <w:rFonts w:hint="eastAsia"/>
          <w:sz w:val="24"/>
        </w:rPr>
      </w:pPr>
      <w:r>
        <w:rPr>
          <w:sz w:val="24"/>
        </w:rPr>
        <w:t>除了课堂讲授之外，组织学生完成课外练习与课堂讨论是十分必要且有益的，有助于锻炼学生的科研能力。本课程将在学期开始，将学生分成不同小组，安排小组课题研究。并在期中时间进行课堂展示报告。此外，还将在前后两个半学期，布置学生独立进行2次课后作业，根据要求完成两篇3000字以上的小论文。</w:t>
      </w:r>
    </w:p>
    <w:p w14:paraId="216CE1E7">
      <w:pPr>
        <w:spacing w:line="480" w:lineRule="exact"/>
        <w:rPr>
          <w:sz w:val="24"/>
        </w:rPr>
      </w:pPr>
    </w:p>
    <w:p w14:paraId="0867CF52">
      <w:pPr>
        <w:spacing w:line="480" w:lineRule="exact"/>
        <w:ind w:firstLine="480" w:firstLineChars="200"/>
        <w:rPr>
          <w:rFonts w:hint="eastAsia"/>
          <w:sz w:val="24"/>
        </w:rPr>
      </w:pPr>
      <w:r>
        <w:rPr>
          <w:sz w:val="24"/>
        </w:rPr>
        <w:t>（三）</w:t>
      </w:r>
      <w:r>
        <w:rPr>
          <w:b/>
          <w:sz w:val="24"/>
        </w:rPr>
        <w:t>教学方法</w:t>
      </w:r>
    </w:p>
    <w:p w14:paraId="0267E1A4">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01F98FD8">
      <w:pPr>
        <w:spacing w:line="480" w:lineRule="exact"/>
        <w:ind w:firstLine="360" w:firstLineChars="150"/>
        <w:rPr>
          <w:rFonts w:hint="eastAsia"/>
          <w:sz w:val="24"/>
        </w:rPr>
      </w:pPr>
      <w:r>
        <w:rPr>
          <w:sz w:val="24"/>
        </w:rPr>
        <w:t>1.</w:t>
      </w:r>
      <w:r>
        <w:rPr>
          <w:sz w:val="24"/>
        </w:rPr>
        <w:tab/>
        <w:t>课堂讲授。具体内容安排见上文。</w:t>
      </w:r>
    </w:p>
    <w:p w14:paraId="231DB065">
      <w:pPr>
        <w:spacing w:line="480" w:lineRule="exact"/>
        <w:ind w:firstLine="360" w:firstLineChars="150"/>
        <w:rPr>
          <w:rFonts w:hint="eastAsia"/>
          <w:sz w:val="24"/>
        </w:rPr>
      </w:pPr>
      <w:r>
        <w:rPr>
          <w:sz w:val="24"/>
        </w:rPr>
        <w:t>2.</w:t>
      </w:r>
      <w:r>
        <w:rPr>
          <w:sz w:val="24"/>
        </w:rPr>
        <w:tab/>
        <w:t>分组研究报告。将学生分为若干小组，分组完成一项独立的小型课题研究，完成研究报告，并在课堂上展示小组所取得的成果。综合报告、展示以及小组工作情况为每位学生评分。</w:t>
      </w:r>
    </w:p>
    <w:p w14:paraId="573256C6">
      <w:pPr>
        <w:spacing w:line="480" w:lineRule="exact"/>
        <w:ind w:firstLine="360" w:firstLineChars="150"/>
        <w:rPr>
          <w:rFonts w:hint="eastAsia"/>
          <w:sz w:val="24"/>
        </w:rPr>
      </w:pPr>
      <w:r>
        <w:rPr>
          <w:sz w:val="24"/>
        </w:rPr>
        <w:t>3.</w:t>
      </w:r>
      <w:r>
        <w:rPr>
          <w:sz w:val="24"/>
        </w:rPr>
        <w:tab/>
        <w:t>课后习题。学生根据指定选题，独立完成2篇3000字以上的论文，根据论文质量和完成情况为每位学生评分。。</w:t>
      </w:r>
    </w:p>
    <w:p w14:paraId="1F1CC1BB">
      <w:pPr>
        <w:spacing w:line="480" w:lineRule="exact"/>
        <w:ind w:firstLine="360" w:firstLineChars="150"/>
        <w:rPr>
          <w:rFonts w:hint="eastAsia"/>
          <w:sz w:val="24"/>
        </w:rPr>
      </w:pPr>
      <w:r>
        <w:rPr>
          <w:sz w:val="24"/>
        </w:rPr>
        <w:t>4.</w:t>
      </w:r>
      <w:r>
        <w:rPr>
          <w:sz w:val="24"/>
        </w:rPr>
        <w:tab/>
        <w:t>答疑。平时学生可通过面谈、电子邮件、助教沟通等方式，与教师互动。在期末预留专门的课时用于课程复习与答疑。</w:t>
      </w:r>
    </w:p>
    <w:p w14:paraId="3A0BB440">
      <w:pPr>
        <w:spacing w:line="480" w:lineRule="exact"/>
        <w:ind w:firstLine="360" w:firstLineChars="150"/>
        <w:rPr>
          <w:sz w:val="24"/>
        </w:rPr>
      </w:pPr>
    </w:p>
    <w:p w14:paraId="430701F4">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DAD3B2E">
      <w:pPr>
        <w:spacing w:line="480" w:lineRule="exact"/>
        <w:ind w:firstLine="360" w:firstLineChars="150"/>
        <w:rPr>
          <w:sz w:val="24"/>
        </w:rPr>
      </w:pPr>
      <w:r>
        <w:rPr>
          <w:rFonts w:hint="eastAsia"/>
          <w:sz w:val="24"/>
        </w:rPr>
        <w:t>邱均平等. 信息计量学概论. 武汉：武汉大学出版社，2019.</w:t>
      </w:r>
    </w:p>
    <w:p w14:paraId="09B6B1E1">
      <w:pPr>
        <w:spacing w:line="480" w:lineRule="exact"/>
        <w:ind w:firstLine="360" w:firstLineChars="150"/>
        <w:rPr>
          <w:sz w:val="24"/>
        </w:rPr>
      </w:pPr>
    </w:p>
    <w:p w14:paraId="0DB658A6">
      <w:pPr>
        <w:spacing w:line="480" w:lineRule="exact"/>
        <w:ind w:firstLine="480" w:firstLineChars="200"/>
        <w:rPr>
          <w:sz w:val="24"/>
        </w:rPr>
      </w:pPr>
      <w:r>
        <w:rPr>
          <w:sz w:val="24"/>
        </w:rPr>
        <w:t>（五）</w:t>
      </w:r>
      <w:r>
        <w:rPr>
          <w:b/>
          <w:sz w:val="24"/>
        </w:rPr>
        <w:t>主要参考书目</w:t>
      </w:r>
    </w:p>
    <w:p w14:paraId="07E666DB">
      <w:pPr>
        <w:spacing w:line="480" w:lineRule="exact"/>
        <w:ind w:firstLine="482" w:firstLineChars="200"/>
        <w:rPr>
          <w:sz w:val="24"/>
        </w:rPr>
      </w:pPr>
      <w:r>
        <w:rPr>
          <w:b/>
          <w:sz w:val="24"/>
        </w:rPr>
        <w:t>（推荐若干参考书，并注明书名、作者、出版社、版本、出版日期等，每个章节指定一定数量、明确的阅读资料）</w:t>
      </w:r>
    </w:p>
    <w:p w14:paraId="29E5109A">
      <w:pPr>
        <w:spacing w:line="480" w:lineRule="exact"/>
        <w:ind w:firstLine="360" w:firstLineChars="150"/>
        <w:rPr>
          <w:sz w:val="24"/>
        </w:rPr>
      </w:pPr>
      <w:r>
        <w:rPr>
          <w:rFonts w:hint="eastAsia"/>
          <w:sz w:val="24"/>
        </w:rPr>
        <w:t>1.</w:t>
      </w:r>
      <w:r>
        <w:rPr>
          <w:rFonts w:hint="eastAsia"/>
          <w:sz w:val="24"/>
        </w:rPr>
        <w:tab/>
        <w:t>邱均平等. 科学计量学. 北京：科学出版社，2016</w:t>
      </w:r>
    </w:p>
    <w:p w14:paraId="7BB46BEB">
      <w:pPr>
        <w:spacing w:line="480" w:lineRule="exact"/>
        <w:ind w:firstLine="360" w:firstLineChars="150"/>
        <w:rPr>
          <w:sz w:val="24"/>
        </w:rPr>
      </w:pPr>
      <w:r>
        <w:rPr>
          <w:rFonts w:hint="eastAsia"/>
          <w:sz w:val="24"/>
        </w:rPr>
        <w:t>2.</w:t>
      </w:r>
      <w:r>
        <w:rPr>
          <w:rFonts w:hint="eastAsia"/>
          <w:sz w:val="24"/>
        </w:rPr>
        <w:tab/>
        <w:t>罗式胜. 文献计量学概论. 广州：中山大学出版社，1994.</w:t>
      </w:r>
    </w:p>
    <w:p w14:paraId="70873887">
      <w:pPr>
        <w:spacing w:line="480" w:lineRule="exact"/>
        <w:ind w:firstLine="360" w:firstLineChars="150"/>
        <w:rPr>
          <w:sz w:val="24"/>
        </w:rPr>
      </w:pPr>
      <w:r>
        <w:rPr>
          <w:rFonts w:hint="eastAsia"/>
          <w:sz w:val="24"/>
        </w:rPr>
        <w:t>3.</w:t>
      </w:r>
      <w:r>
        <w:rPr>
          <w:rFonts w:hint="eastAsia"/>
          <w:sz w:val="24"/>
        </w:rPr>
        <w:tab/>
        <w:t>王崇德. 文献计量学引论. 桂林：广西师范大学出版社，1997.</w:t>
      </w:r>
    </w:p>
    <w:p w14:paraId="3F816D33">
      <w:pPr>
        <w:spacing w:line="480" w:lineRule="exact"/>
        <w:ind w:firstLine="360" w:firstLineChars="150"/>
        <w:rPr>
          <w:sz w:val="24"/>
        </w:rPr>
      </w:pPr>
      <w:r>
        <w:rPr>
          <w:rFonts w:hint="eastAsia"/>
          <w:sz w:val="24"/>
        </w:rPr>
        <w:t>4.</w:t>
      </w:r>
      <w:r>
        <w:rPr>
          <w:rFonts w:hint="eastAsia"/>
          <w:sz w:val="24"/>
        </w:rPr>
        <w:tab/>
        <w:t>丁学东. 文献计量学基础. 北京：北京大学出版社，1993.</w:t>
      </w:r>
    </w:p>
    <w:p w14:paraId="5BD2B411">
      <w:pPr>
        <w:spacing w:line="480" w:lineRule="exact"/>
        <w:ind w:firstLine="360" w:firstLineChars="150"/>
        <w:rPr>
          <w:sz w:val="24"/>
        </w:rPr>
      </w:pPr>
      <w:r>
        <w:rPr>
          <w:rFonts w:hint="eastAsia"/>
          <w:sz w:val="24"/>
        </w:rPr>
        <w:t>5.</w:t>
      </w:r>
      <w:r>
        <w:rPr>
          <w:rFonts w:hint="eastAsia"/>
          <w:sz w:val="24"/>
        </w:rPr>
        <w:tab/>
        <w:t>庞景安. 科学计量研究方法论. 北京：科学技术文献出版社，1999.</w:t>
      </w:r>
    </w:p>
    <w:p w14:paraId="59729E31">
      <w:pPr>
        <w:spacing w:line="480" w:lineRule="exact"/>
        <w:ind w:firstLine="360" w:firstLineChars="150"/>
        <w:rPr>
          <w:sz w:val="24"/>
        </w:rPr>
      </w:pPr>
      <w:r>
        <w:rPr>
          <w:rFonts w:hint="eastAsia"/>
          <w:sz w:val="24"/>
        </w:rPr>
        <w:t>6.</w:t>
      </w:r>
      <w:r>
        <w:rPr>
          <w:rFonts w:hint="eastAsia"/>
          <w:sz w:val="24"/>
        </w:rPr>
        <w:tab/>
        <w:t>[比]Egghe L, Rousseau R. 田苍林，葛赵青译. 情报计量学引论. 北京：科学技术文献出版社，1992.</w:t>
      </w:r>
    </w:p>
    <w:p w14:paraId="5ABB8331">
      <w:pPr>
        <w:spacing w:line="480" w:lineRule="exact"/>
        <w:ind w:firstLine="480" w:firstLineChars="200"/>
        <w:rPr>
          <w:sz w:val="24"/>
        </w:rPr>
      </w:pPr>
      <w:r>
        <w:rPr>
          <w:sz w:val="24"/>
        </w:rPr>
        <w:t>（六）</w:t>
      </w:r>
      <w:r>
        <w:rPr>
          <w:b/>
          <w:sz w:val="24"/>
        </w:rPr>
        <w:t>成绩评定方式</w:t>
      </w:r>
    </w:p>
    <w:p w14:paraId="4101622F">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7892015">
      <w:pPr>
        <w:spacing w:line="480" w:lineRule="exact"/>
        <w:ind w:firstLine="482" w:firstLineChars="200"/>
        <w:rPr>
          <w:sz w:val="24"/>
        </w:rPr>
      </w:pPr>
      <w:r>
        <w:rPr>
          <w:rFonts w:hint="eastAsia"/>
          <w:b/>
          <w:sz w:val="24"/>
        </w:rPr>
        <w:t>考 核 方 式：考试</w:t>
      </w:r>
    </w:p>
    <w:p w14:paraId="5D1F23F9">
      <w:pPr>
        <w:spacing w:line="480" w:lineRule="exact"/>
        <w:ind w:firstLine="482" w:firstLineChars="200"/>
        <w:rPr>
          <w:sz w:val="24"/>
        </w:rPr>
      </w:pPr>
      <w:r>
        <w:rPr>
          <w:rFonts w:hint="eastAsia"/>
          <w:b/>
          <w:sz w:val="24"/>
        </w:rPr>
        <w:t>成绩录入方式： 百分制</w:t>
      </w:r>
    </w:p>
    <w:p w14:paraId="42175454">
      <w:pPr>
        <w:spacing w:line="480" w:lineRule="exact"/>
        <w:ind w:firstLine="360" w:firstLineChars="150"/>
        <w:rPr>
          <w:sz w:val="24"/>
        </w:rPr>
      </w:pPr>
      <w:r>
        <w:rPr>
          <w:rFonts w:hint="eastAsia"/>
          <w:sz w:val="24"/>
        </w:rPr>
        <w:t>一、总成绩构成：平时考核占比50%，期末考核占比50%。</w:t>
      </w:r>
    </w:p>
    <w:p w14:paraId="7F3619C9">
      <w:pPr>
        <w:spacing w:line="480" w:lineRule="exact"/>
        <w:ind w:firstLine="360" w:firstLineChars="150"/>
        <w:rPr>
          <w:sz w:val="24"/>
        </w:rPr>
      </w:pPr>
      <w:r>
        <w:rPr>
          <w:rFonts w:hint="eastAsia"/>
          <w:sz w:val="24"/>
        </w:rPr>
        <w:t>二、平时考核说明：</w:t>
      </w:r>
    </w:p>
    <w:p w14:paraId="073F8F00">
      <w:pPr>
        <w:spacing w:line="480" w:lineRule="exact"/>
        <w:ind w:firstLine="360" w:firstLineChars="150"/>
        <w:rPr>
          <w:sz w:val="24"/>
        </w:rPr>
      </w:pPr>
      <w:r>
        <w:rPr>
          <w:rFonts w:hint="eastAsia"/>
          <w:sz w:val="24"/>
        </w:rPr>
        <w:t>（1）课堂参与度与出勤情况（占平时成绩10%）。每学期考勤次数不少于5次，每次考勤平均计分，无故旷课、迟到、早退等情况扣除当次考勤分数。请假须按照学校规定执行，须提前请假，不得由他人代请假；却因特殊情况未提前请假的，须事后1周内补齐请假手续，否则按旷课处理。</w:t>
      </w:r>
    </w:p>
    <w:p w14:paraId="12DF8801">
      <w:pPr>
        <w:spacing w:line="480" w:lineRule="exact"/>
        <w:ind w:firstLine="360" w:firstLineChars="150"/>
        <w:rPr>
          <w:sz w:val="24"/>
        </w:rPr>
      </w:pPr>
      <w:r>
        <w:rPr>
          <w:rFonts w:hint="eastAsia"/>
          <w:sz w:val="24"/>
        </w:rPr>
        <w:t>（2）2次课后作业（占平时成绩40%）。根据教学进度安排2次课后作业，每次作业20分。主要考察学生对讲授内容的理解和运用能力，由任课教师批阅并给分。未交、缓交作业的，当次不给分。因请假造成缓交作业的，须于销假时补交作业，否则按未交作业处理。</w:t>
      </w:r>
    </w:p>
    <w:p w14:paraId="7068303C">
      <w:pPr>
        <w:spacing w:line="480" w:lineRule="exact"/>
        <w:ind w:firstLine="360" w:firstLineChars="150"/>
        <w:rPr>
          <w:sz w:val="24"/>
        </w:rPr>
      </w:pPr>
      <w:r>
        <w:rPr>
          <w:rFonts w:hint="eastAsia"/>
          <w:sz w:val="24"/>
        </w:rPr>
        <w:t>（3）1次分组研究报告（占平时成绩50%）。根据教学进度安排1次分组研究报告，包括研究报告撰写提交和课堂汇报，根据完成情况赋分。</w:t>
      </w:r>
    </w:p>
    <w:p w14:paraId="2D70A66F">
      <w:pPr>
        <w:spacing w:line="480" w:lineRule="exact"/>
        <w:ind w:firstLine="360" w:firstLineChars="150"/>
        <w:rPr>
          <w:sz w:val="24"/>
        </w:rPr>
      </w:pPr>
      <w:r>
        <w:rPr>
          <w:rFonts w:hint="eastAsia"/>
          <w:sz w:val="24"/>
        </w:rPr>
        <w:t>三、期末考核说明：</w:t>
      </w:r>
    </w:p>
    <w:p w14:paraId="790E3085">
      <w:pPr>
        <w:spacing w:line="480" w:lineRule="exact"/>
        <w:ind w:firstLine="360" w:firstLineChars="150"/>
        <w:rPr>
          <w:sz w:val="24"/>
        </w:rPr>
      </w:pPr>
      <w:r>
        <w:rPr>
          <w:rFonts w:hint="eastAsia"/>
          <w:sz w:val="24"/>
        </w:rPr>
        <w:t>期末考核采用闭卷笔试，卷面为百分制。考试内容涵盖全部章节。题型包括名词解释题、简单题、计算题与综合论述题。</w:t>
      </w:r>
    </w:p>
    <w:p w14:paraId="6AF296D1">
      <w:pPr>
        <w:spacing w:line="480" w:lineRule="exact"/>
        <w:ind w:firstLine="360" w:firstLineChars="150"/>
        <w:rPr>
          <w:sz w:val="24"/>
        </w:rPr>
      </w:pPr>
    </w:p>
    <w:p w14:paraId="39934EF8">
      <w:pPr>
        <w:spacing w:line="480" w:lineRule="exact"/>
        <w:ind w:firstLine="360" w:firstLineChars="150"/>
        <w:rPr>
          <w:sz w:val="24"/>
        </w:rPr>
      </w:pPr>
    </w:p>
    <w:p w14:paraId="10A60AEB">
      <w:pPr>
        <w:spacing w:line="480" w:lineRule="exact"/>
        <w:rPr>
          <w:sz w:val="24"/>
        </w:rPr>
      </w:pPr>
    </w:p>
    <w:p w14:paraId="47442067">
      <w:pPr>
        <w:spacing w:line="480" w:lineRule="exact"/>
        <w:rPr>
          <w:sz w:val="24"/>
        </w:rPr>
      </w:pPr>
    </w:p>
    <w:p w14:paraId="59BE9A51">
      <w:pPr>
        <w:spacing w:line="480" w:lineRule="exact"/>
        <w:rPr>
          <w:sz w:val="24"/>
        </w:rPr>
      </w:pPr>
    </w:p>
    <w:p w14:paraId="6D0DA6D1">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60E724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2026-04-12T06:25:43Z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73323292A3014B618CC831A99DC70822_13</vt:lpwstr>
  </property>
</Properties>
</file>