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6F1E1">
      <w:pPr>
        <w:spacing w:line="480" w:lineRule="exact"/>
        <w:rPr>
          <w:sz w:val="24"/>
        </w:rPr>
      </w:pPr>
      <w:bookmarkStart w:id="0" w:name="_GoBack"/>
      <w:bookmarkEnd w:id="0"/>
    </w:p>
    <w:p w14:paraId="24ACDCF4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44D72203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11CDF66D">
      <w:pPr>
        <w:spacing w:line="1480" w:lineRule="exact"/>
        <w:jc w:val="center"/>
        <w:rPr>
          <w:sz w:val="52"/>
        </w:rPr>
      </w:pPr>
    </w:p>
    <w:p w14:paraId="3144B615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4A785122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0B7CAC28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数字图书馆</w:t>
      </w:r>
    </w:p>
    <w:p w14:paraId="7E38FA8F">
      <w:pPr>
        <w:spacing w:line="900" w:lineRule="exact"/>
        <w:ind w:firstLine="3600" w:firstLineChars="1200"/>
        <w:rPr>
          <w:sz w:val="30"/>
        </w:rPr>
      </w:pPr>
    </w:p>
    <w:p w14:paraId="7DEBBCA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601A3C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12456F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9441E3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F935DF8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BBBA8BA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BFC0FAB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EA53E2B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0C6A3F2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53AD7A5F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3CF447E3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7D6780A2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6448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D6CCB3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301ABC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数字图书馆</w:t>
            </w:r>
          </w:p>
          <w:p w14:paraId="32F2D7F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Digital Libraries</w:t>
            </w:r>
          </w:p>
          <w:p w14:paraId="6D7C524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74EC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CD420DD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5E9BFAD3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65BFC595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390AD96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IM301</w:t>
            </w:r>
          </w:p>
        </w:tc>
        <w:tc>
          <w:tcPr>
            <w:tcW w:w="1400" w:type="dxa"/>
            <w:vAlign w:val="center"/>
          </w:tcPr>
          <w:p w14:paraId="25298DE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09E41E5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1464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9A993E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F49FCB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7965DDF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76A956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7FF50FC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5816202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78DC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0A88E90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C1DD6A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72FC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E952C8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4038CCD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陈定权</w:t>
            </w:r>
          </w:p>
        </w:tc>
      </w:tr>
      <w:tr w14:paraId="247A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4B3259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59DDD92C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2D18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182CE5B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361596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4FCF63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54B652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F23CD3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05956EC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学习，能够从资源、服务与技术等视角来理解数字图书馆，牢固掌握数字图书馆的相关理论，牢固掌握资源数字化工作和相应的数字化技术，一般掌握商业化数字资源采购业务，具备建设和管理中小规模数字图书馆的方法和能力。</w:t>
            </w:r>
          </w:p>
          <w:p w14:paraId="75EA912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思政方面：重点介绍数字图书馆在我国公共文化服务、中国记忆、红色文化等方面的贡献与作用。</w:t>
            </w:r>
          </w:p>
        </w:tc>
      </w:tr>
    </w:tbl>
    <w:p w14:paraId="46570B1F">
      <w:pPr>
        <w:spacing w:line="480" w:lineRule="exact"/>
        <w:ind w:firstLine="480" w:firstLineChars="200"/>
        <w:rPr>
          <w:sz w:val="24"/>
        </w:rPr>
      </w:pPr>
    </w:p>
    <w:p w14:paraId="421A2F4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96081A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264"/>
        <w:gridCol w:w="1138"/>
        <w:gridCol w:w="1682"/>
        <w:gridCol w:w="1266"/>
        <w:gridCol w:w="681"/>
        <w:gridCol w:w="1138"/>
      </w:tblGrid>
      <w:tr w14:paraId="1D7F41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5E2CF00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1D331D4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58BE5A4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C186FE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C4033F4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26597C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118948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22AE1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60F44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数字图书馆概述</w:t>
            </w:r>
          </w:p>
          <w:p w14:paraId="17EA0D0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6834B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课程简介；</w:t>
            </w:r>
          </w:p>
          <w:p w14:paraId="20F76D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数字图书馆的定义及相关概念；</w:t>
            </w:r>
          </w:p>
          <w:p w14:paraId="523D1B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数字图书馆的特征；</w:t>
            </w:r>
          </w:p>
          <w:p w14:paraId="70C810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数字图书馆（系统）的功能；</w:t>
            </w:r>
          </w:p>
          <w:p w14:paraId="605215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国内外数字图书馆发展概况。</w:t>
            </w:r>
          </w:p>
          <w:p w14:paraId="350864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数字图书馆与智慧图书馆。</w:t>
            </w:r>
          </w:p>
          <w:p w14:paraId="591666A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1D21A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5096" w:type="dxa"/>
            <w:vAlign w:val="center"/>
          </w:tcPr>
          <w:p w14:paraId="7B4120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全国文化信息资源共享工程，介绍其如何满足广大人民群众日益增长的文化需求，如何实现文化惠民。`````由欧洲数字图书馆谈及文化入侵和文化安全。</w:t>
            </w:r>
          </w:p>
        </w:tc>
        <w:tc>
          <w:tcPr>
            <w:tcW w:w="5096" w:type="dxa"/>
            <w:vAlign w:val="center"/>
          </w:tcPr>
          <w:p w14:paraId="2B6FCD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重点：如何理解技术主义与人文关怀</w:t>
            </w:r>
          </w:p>
          <w:p w14:paraId="5A3EAE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难点：不同学科对数字图书馆的定位</w:t>
            </w:r>
          </w:p>
        </w:tc>
        <w:tc>
          <w:tcPr>
            <w:tcW w:w="1555" w:type="dxa"/>
            <w:vAlign w:val="center"/>
          </w:tcPr>
          <w:p w14:paraId="5559DEC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663085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891C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0DD4C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数字图书馆的资源建设</w:t>
            </w:r>
          </w:p>
        </w:tc>
        <w:tc>
          <w:tcPr>
            <w:tcW w:w="5096" w:type="dxa"/>
            <w:vAlign w:val="center"/>
          </w:tcPr>
          <w:p w14:paraId="106581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数字资源概念及其分类；</w:t>
            </w:r>
          </w:p>
          <w:p w14:paraId="1A64BB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数字资源建设流程；</w:t>
            </w:r>
          </w:p>
          <w:p w14:paraId="6CB2BC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传统文献资源的数字化；</w:t>
            </w:r>
          </w:p>
          <w:p w14:paraId="334B66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电子资源建设与管理。</w:t>
            </w:r>
          </w:p>
          <w:p w14:paraId="04018BF7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8B721C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7230D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E6EA5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介绍图书馆在红色文献资源建设上的成就。</w:t>
            </w:r>
          </w:p>
        </w:tc>
        <w:tc>
          <w:tcPr>
            <w:tcW w:w="5096" w:type="dxa"/>
            <w:vAlign w:val="center"/>
          </w:tcPr>
          <w:p w14:paraId="4DC4D0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重点：资源数字化技术；</w:t>
            </w:r>
          </w:p>
          <w:p w14:paraId="494526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难点：电子资源与印本资源统一管理</w:t>
            </w:r>
          </w:p>
        </w:tc>
        <w:tc>
          <w:tcPr>
            <w:tcW w:w="1555" w:type="dxa"/>
            <w:vAlign w:val="center"/>
          </w:tcPr>
          <w:p w14:paraId="27EEF7D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3D7DA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1BFE6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DEBA1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数字图书馆的信息组织</w:t>
            </w:r>
          </w:p>
        </w:tc>
        <w:tc>
          <w:tcPr>
            <w:tcW w:w="5096" w:type="dxa"/>
            <w:vAlign w:val="center"/>
          </w:tcPr>
          <w:p w14:paraId="3CF6CC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信息组织与数字资源组织；</w:t>
            </w:r>
          </w:p>
          <w:p w14:paraId="2D3059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数字图书馆的信息组织</w:t>
            </w:r>
          </w:p>
          <w:p w14:paraId="31194B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数字信息资源的描述：元数据；</w:t>
            </w:r>
          </w:p>
          <w:p w14:paraId="0E8DAA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数字内容标识与处理。</w:t>
            </w:r>
          </w:p>
          <w:p w14:paraId="4CF7FEC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6A875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6A2D8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CF076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重点：在语法、语义、语用层次上的信息组织。</w:t>
            </w:r>
          </w:p>
          <w:p w14:paraId="25D602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难点：理解数据的可操作化</w:t>
            </w:r>
          </w:p>
        </w:tc>
        <w:tc>
          <w:tcPr>
            <w:tcW w:w="1555" w:type="dxa"/>
            <w:vAlign w:val="center"/>
          </w:tcPr>
          <w:p w14:paraId="653D2E4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A64276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5B6F4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59CA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数字图书馆的服务</w:t>
            </w:r>
          </w:p>
          <w:p w14:paraId="47B5320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154E7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数字图书馆门户；</w:t>
            </w:r>
          </w:p>
          <w:p w14:paraId="212BFA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信息检索服务；</w:t>
            </w:r>
          </w:p>
          <w:p w14:paraId="5AC86A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个性化信息服务；</w:t>
            </w:r>
          </w:p>
          <w:p w14:paraId="388169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数字参考咨询服务与学科服务</w:t>
            </w:r>
          </w:p>
        </w:tc>
        <w:tc>
          <w:tcPr>
            <w:tcW w:w="5096" w:type="dxa"/>
            <w:vAlign w:val="center"/>
          </w:tcPr>
          <w:p w14:paraId="78F484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555495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FA1A1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重点：门户网站的历史</w:t>
            </w:r>
          </w:p>
          <w:p w14:paraId="2E4C10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难点：门户的概念与核心功能；信息检索、浏览与搜索的关系。</w:t>
            </w:r>
          </w:p>
        </w:tc>
        <w:tc>
          <w:tcPr>
            <w:tcW w:w="1555" w:type="dxa"/>
            <w:vAlign w:val="center"/>
          </w:tcPr>
          <w:p w14:paraId="3F765A5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800278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E6579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EDF07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数字图书馆系统的关键技术</w:t>
            </w:r>
          </w:p>
        </w:tc>
        <w:tc>
          <w:tcPr>
            <w:tcW w:w="5096" w:type="dxa"/>
            <w:vAlign w:val="center"/>
          </w:tcPr>
          <w:p w14:paraId="0815FA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信息检索技术、多媒体信息检索；</w:t>
            </w:r>
          </w:p>
          <w:p w14:paraId="1D10DC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集成搜索与资源发现</w:t>
            </w:r>
          </w:p>
          <w:p w14:paraId="2F1BE0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智能信息推荐</w:t>
            </w:r>
          </w:p>
          <w:p w14:paraId="743BD7E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72B35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F8367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《互联网信息服务算法推荐管理规定》；算法也有价值观。信息茧房。</w:t>
            </w:r>
          </w:p>
        </w:tc>
        <w:tc>
          <w:tcPr>
            <w:tcW w:w="5096" w:type="dxa"/>
            <w:vAlign w:val="center"/>
          </w:tcPr>
          <w:p w14:paraId="3ED05F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重点：基于内容的信息推荐</w:t>
            </w:r>
          </w:p>
          <w:p w14:paraId="4FEE6C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难点：信息茧房的形成原理及规避</w:t>
            </w:r>
          </w:p>
        </w:tc>
        <w:tc>
          <w:tcPr>
            <w:tcW w:w="1555" w:type="dxa"/>
            <w:vAlign w:val="center"/>
          </w:tcPr>
          <w:p w14:paraId="07A25B3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2FA875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DD7F6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B0135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外出实践参观</w:t>
            </w:r>
          </w:p>
        </w:tc>
        <w:tc>
          <w:tcPr>
            <w:tcW w:w="5096" w:type="dxa"/>
            <w:vAlign w:val="center"/>
          </w:tcPr>
          <w:p w14:paraId="60DA5C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参观广东省立中山图书馆采编精灵系统，了解人工智能技术在图书馆的应用</w:t>
            </w:r>
          </w:p>
        </w:tc>
        <w:tc>
          <w:tcPr>
            <w:tcW w:w="5096" w:type="dxa"/>
            <w:vAlign w:val="center"/>
          </w:tcPr>
          <w:p w14:paraId="48D608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7078F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3C0D1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5122374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12B39CD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9FC13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11F00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数字图书馆系统的体系结构与功能结构</w:t>
            </w:r>
          </w:p>
        </w:tc>
        <w:tc>
          <w:tcPr>
            <w:tcW w:w="5096" w:type="dxa"/>
            <w:vAlign w:val="center"/>
          </w:tcPr>
          <w:p w14:paraId="652F7B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数字图书馆系统的体系结构；</w:t>
            </w:r>
          </w:p>
          <w:p w14:paraId="6B0288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数字图书馆系统的功能结构</w:t>
            </w:r>
          </w:p>
          <w:p w14:paraId="1EC13E7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F6552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0C153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总体国家安全观；`````信创产业、国产化替代与我国的信息安全</w:t>
            </w:r>
          </w:p>
        </w:tc>
        <w:tc>
          <w:tcPr>
            <w:tcW w:w="5096" w:type="dxa"/>
            <w:vAlign w:val="center"/>
          </w:tcPr>
          <w:p w14:paraId="002A79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重点：数字图书馆系统的体系结构的的基础性作用</w:t>
            </w:r>
          </w:p>
          <w:p w14:paraId="042ABA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难点：SOA与微服务架构</w:t>
            </w:r>
          </w:p>
        </w:tc>
        <w:tc>
          <w:tcPr>
            <w:tcW w:w="1555" w:type="dxa"/>
            <w:vAlign w:val="center"/>
          </w:tcPr>
          <w:p w14:paraId="67D0641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04A58D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32D22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06B89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数字图书馆建设的相关标准与规范</w:t>
            </w:r>
          </w:p>
          <w:p w14:paraId="49244CC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7AEB2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标准与规范概述；</w:t>
            </w:r>
          </w:p>
          <w:p w14:paraId="24FF13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资源内容的编码：字符编码标准；</w:t>
            </w:r>
          </w:p>
          <w:p w14:paraId="547B73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资源内容的编码：结构性信息编码标准；</w:t>
            </w:r>
          </w:p>
          <w:p w14:paraId="50F5F2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文档格式标准。</w:t>
            </w:r>
          </w:p>
        </w:tc>
        <w:tc>
          <w:tcPr>
            <w:tcW w:w="5096" w:type="dxa"/>
            <w:vAlign w:val="center"/>
          </w:tcPr>
          <w:p w14:paraId="18422C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66E8E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周恩来总理的748工程，及其对我国后来的汉字处理与信息化的的积极影响。</w:t>
            </w:r>
          </w:p>
        </w:tc>
        <w:tc>
          <w:tcPr>
            <w:tcW w:w="5096" w:type="dxa"/>
            <w:vAlign w:val="center"/>
          </w:tcPr>
          <w:p w14:paraId="7E1EEA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重点：双驼峰曲线、数字图书馆标准体系</w:t>
            </w:r>
          </w:p>
          <w:p w14:paraId="129AEE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难点：标准制定的理想时间</w:t>
            </w:r>
          </w:p>
        </w:tc>
        <w:tc>
          <w:tcPr>
            <w:tcW w:w="1555" w:type="dxa"/>
            <w:vAlign w:val="center"/>
          </w:tcPr>
          <w:p w14:paraId="09A5A45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35C208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0947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258C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数字图书馆评价</w:t>
            </w:r>
          </w:p>
        </w:tc>
        <w:tc>
          <w:tcPr>
            <w:tcW w:w="5096" w:type="dxa"/>
            <w:vAlign w:val="center"/>
          </w:tcPr>
          <w:p w14:paraId="2F6EB6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数字图书馆的评价及其理论框架；</w:t>
            </w:r>
          </w:p>
          <w:p w14:paraId="46F527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数字图书馆评价方法；</w:t>
            </w:r>
          </w:p>
          <w:p w14:paraId="710877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电子资源评价；</w:t>
            </w:r>
          </w:p>
          <w:p w14:paraId="36C6E5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服务评价。</w:t>
            </w:r>
          </w:p>
        </w:tc>
        <w:tc>
          <w:tcPr>
            <w:tcW w:w="5096" w:type="dxa"/>
            <w:vAlign w:val="center"/>
          </w:tcPr>
          <w:p w14:paraId="65DACF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3D6C9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国务院办公厅学习《关于完善科技成果评价机制的指导意见》【国办发〔2021〕26号】</w:t>
            </w:r>
          </w:p>
        </w:tc>
        <w:tc>
          <w:tcPr>
            <w:tcW w:w="5096" w:type="dxa"/>
            <w:vAlign w:val="center"/>
          </w:tcPr>
          <w:p w14:paraId="4EDF4D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重点：评价方法的分类</w:t>
            </w:r>
          </w:p>
          <w:p w14:paraId="42E8AD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难点：从是否可以评价、如何评价以及如何利用评价来理解数字图书的评价</w:t>
            </w:r>
          </w:p>
        </w:tc>
        <w:tc>
          <w:tcPr>
            <w:tcW w:w="1555" w:type="dxa"/>
            <w:vAlign w:val="center"/>
          </w:tcPr>
          <w:p w14:paraId="02C2221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F4A795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5B14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ABEC5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数字图书馆的经济与法律问题</w:t>
            </w:r>
          </w:p>
        </w:tc>
        <w:tc>
          <w:tcPr>
            <w:tcW w:w="5096" w:type="dxa"/>
            <w:vAlign w:val="center"/>
          </w:tcPr>
          <w:p w14:paraId="55BBFF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数字图书馆的经济问题；</w:t>
            </w:r>
          </w:p>
          <w:p w14:paraId="09DD90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数字图书馆的法律问题。</w:t>
            </w:r>
          </w:p>
          <w:p w14:paraId="43DA13E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E132F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D99E6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`新修订《中华人民共和国著作权法》在社会主义精神文明、物质文明建设的积极影响。</w:t>
            </w:r>
          </w:p>
        </w:tc>
        <w:tc>
          <w:tcPr>
            <w:tcW w:w="5096" w:type="dxa"/>
            <w:vAlign w:val="center"/>
          </w:tcPr>
          <w:p w14:paraId="36E63C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重点：数字图书馆建设的成本；数字图书馆的法律约束</w:t>
            </w:r>
          </w:p>
          <w:p w14:paraId="458D928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难点：数字图书馆个性化服务与隐私之间的平衡问题</w:t>
            </w:r>
          </w:p>
        </w:tc>
        <w:tc>
          <w:tcPr>
            <w:tcW w:w="1555" w:type="dxa"/>
            <w:vAlign w:val="center"/>
          </w:tcPr>
          <w:p w14:paraId="7CC093A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8E19A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9E66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1FAD7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 数字图书馆的最新进展</w:t>
            </w:r>
          </w:p>
        </w:tc>
        <w:tc>
          <w:tcPr>
            <w:tcW w:w="5096" w:type="dxa"/>
            <w:vAlign w:val="center"/>
          </w:tcPr>
          <w:p w14:paraId="514BA9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智慧图书馆；</w:t>
            </w:r>
          </w:p>
          <w:p w14:paraId="0651EC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数字人文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</w:r>
          </w:p>
          <w:p w14:paraId="67499E9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22166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F4203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国务院关于深入实施“人工智能+”行动的意见【国发〔2025〕11号】</w:t>
            </w:r>
          </w:p>
        </w:tc>
        <w:tc>
          <w:tcPr>
            <w:tcW w:w="5096" w:type="dxa"/>
            <w:vAlign w:val="center"/>
          </w:tcPr>
          <w:p w14:paraId="45C669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重点：智慧图书馆的基本形态；数字人文与图书馆</w:t>
            </w:r>
          </w:p>
          <w:p w14:paraId="102AD8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难点：数字人文对人文研究的利弊</w:t>
            </w:r>
          </w:p>
        </w:tc>
        <w:tc>
          <w:tcPr>
            <w:tcW w:w="1555" w:type="dxa"/>
            <w:vAlign w:val="center"/>
          </w:tcPr>
          <w:p w14:paraId="249F7AD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766D5B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1017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56C22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53895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小组围绕主题资源建设的实践，课堂汇报实践结果和心得体会。</w:t>
            </w:r>
          </w:p>
          <w:p w14:paraId="338E458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75BC8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CD0C2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由资源主题的选择，以及主题资料的取舍，来理解价值和意义。</w:t>
            </w:r>
          </w:p>
        </w:tc>
        <w:tc>
          <w:tcPr>
            <w:tcW w:w="5096" w:type="dxa"/>
            <w:vAlign w:val="center"/>
          </w:tcPr>
          <w:p w14:paraId="694D75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重点：熟悉资源建设的基本方法和基流程及支撑工具</w:t>
            </w:r>
          </w:p>
          <w:p w14:paraId="6C22E9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难点：平台软件的安装与使用</w:t>
            </w:r>
          </w:p>
        </w:tc>
        <w:tc>
          <w:tcPr>
            <w:tcW w:w="1555" w:type="dxa"/>
            <w:vAlign w:val="center"/>
          </w:tcPr>
          <w:p w14:paraId="50D65ED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A7564A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FD2EF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3F714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04375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3023BD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4B990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提交文献阅读报告，作为结课材料。</w:t>
            </w:r>
          </w:p>
        </w:tc>
        <w:tc>
          <w:tcPr>
            <w:tcW w:w="5096" w:type="dxa"/>
            <w:vAlign w:val="center"/>
          </w:tcPr>
          <w:p w14:paraId="5599C3A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DB28E4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3752C2F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4C91D4E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68099BE8">
      <w:pPr>
        <w:spacing w:line="480" w:lineRule="exact"/>
        <w:rPr>
          <w:sz w:val="24"/>
        </w:rPr>
      </w:pPr>
    </w:p>
    <w:p w14:paraId="5DEBC86B">
      <w:pPr>
        <w:spacing w:line="480" w:lineRule="exact"/>
        <w:rPr>
          <w:rFonts w:hint="eastAsia"/>
          <w:sz w:val="24"/>
        </w:rPr>
      </w:pPr>
    </w:p>
    <w:p w14:paraId="336EC23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0B0EE28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2CCA1DD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除了课堂授课、将会安排：</w:t>
      </w:r>
    </w:p>
    <w:p w14:paraId="3B795C4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（1）参观调研：学生参观一次广东省立中山图书馆采编图灵系统。</w:t>
      </w:r>
    </w:p>
    <w:p w14:paraId="6D7BED9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（2）小组调研：调研移动阅读平台，选择恰当选题，撰写小论文。</w:t>
      </w:r>
    </w:p>
    <w:p w14:paraId="0D1DAED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（3）小组案例分析：2022年CNKI被北京市 市场监督管理局调查并接受处罚。分析该案例对我国文献信息服务市场带来的影响，并撰写小论文。</w:t>
      </w:r>
    </w:p>
    <w:p w14:paraId="4B25A60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（4）小组实践：结合红色文献或特色资源，开发主题资源网站，要求小组做课堂陈述。</w:t>
      </w:r>
    </w:p>
    <w:p w14:paraId="2443DFF1">
      <w:pPr>
        <w:spacing w:line="480" w:lineRule="exact"/>
        <w:ind w:firstLine="360" w:firstLineChars="150"/>
        <w:rPr>
          <w:rFonts w:hint="eastAsia"/>
          <w:sz w:val="24"/>
        </w:rPr>
      </w:pPr>
    </w:p>
    <w:p w14:paraId="69A0B218">
      <w:pPr>
        <w:spacing w:line="480" w:lineRule="exact"/>
        <w:rPr>
          <w:sz w:val="24"/>
        </w:rPr>
      </w:pPr>
    </w:p>
    <w:p w14:paraId="1446FFA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605022C5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061CC24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课堂讲授，课外参观实践，小组实践作业。</w:t>
      </w:r>
    </w:p>
    <w:p w14:paraId="11E958FB">
      <w:pPr>
        <w:spacing w:line="480" w:lineRule="exact"/>
        <w:ind w:firstLine="360" w:firstLineChars="150"/>
        <w:rPr>
          <w:rFonts w:hint="eastAsia"/>
          <w:sz w:val="24"/>
        </w:rPr>
      </w:pPr>
    </w:p>
    <w:p w14:paraId="5C0550A7">
      <w:pPr>
        <w:spacing w:line="480" w:lineRule="exact"/>
        <w:ind w:firstLine="360" w:firstLineChars="150"/>
        <w:rPr>
          <w:sz w:val="24"/>
        </w:rPr>
      </w:pPr>
    </w:p>
    <w:p w14:paraId="33EA9BCE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35774FC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数字图书馆概论（自编讲义），陈定权</w:t>
      </w:r>
    </w:p>
    <w:p w14:paraId="617A8D26">
      <w:pPr>
        <w:spacing w:line="480" w:lineRule="exact"/>
        <w:ind w:firstLine="360" w:firstLineChars="150"/>
        <w:rPr>
          <w:sz w:val="24"/>
        </w:rPr>
      </w:pPr>
    </w:p>
    <w:p w14:paraId="2F15E89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865CC11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DED429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无</w:t>
      </w:r>
    </w:p>
    <w:p w14:paraId="080A383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791166E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09F87E3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17C3FE69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57FAFC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总成绩构成：平时考核占比60%，期末考核占比40%。</w:t>
      </w:r>
    </w:p>
    <w:p w14:paraId="0A25099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平时考核说明：</w:t>
      </w:r>
    </w:p>
    <w:p w14:paraId="6DAC1C7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（1）课堂参与度与出勤情况（占平时成绩10%）。每学期考勤次数不少于5次，每次考勤2分，无故旷课、迟到、早退等情况扣除当次考勤分数。请假须按照学校规定执行，</w:t>
      </w:r>
    </w:p>
    <w:p w14:paraId="5559598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须提前请假，不得由他人代请假；却因特殊情况未提前请假的，须事后1周内补齐请假手续，否则按旷课处理。</w:t>
      </w:r>
    </w:p>
    <w:p w14:paraId="5D4B933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90%）。根据教学进度安排3次课后作业，每次作业30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051C107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3.期末考核说明：</w:t>
      </w:r>
    </w:p>
    <w:p w14:paraId="51D4EE5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期末考核采用考查，考查内容为学生在本课程范围内，自主选择一个科学问题，阅读不少于10篇高质量中外文文献，按照指定的论文格式撰写1份文献阅读报告。</w:t>
      </w:r>
    </w:p>
    <w:p w14:paraId="1D5C2E7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评分标准包括阅读报告的条理性、创新性、完整性和学术规范性。</w:t>
      </w:r>
    </w:p>
    <w:p w14:paraId="3566B846">
      <w:pPr>
        <w:spacing w:line="480" w:lineRule="exact"/>
        <w:rPr>
          <w:sz w:val="24"/>
        </w:rPr>
      </w:pPr>
    </w:p>
    <w:p w14:paraId="69846E48">
      <w:pPr>
        <w:spacing w:line="480" w:lineRule="exact"/>
        <w:rPr>
          <w:sz w:val="24"/>
        </w:rPr>
      </w:pPr>
    </w:p>
    <w:p w14:paraId="08BC0B69">
      <w:pPr>
        <w:spacing w:line="480" w:lineRule="exact"/>
        <w:rPr>
          <w:sz w:val="24"/>
        </w:rPr>
      </w:pPr>
    </w:p>
    <w:p w14:paraId="1A24A9FF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2C8E586D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2026-04-12T06:25:51Z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64DD44ED0C8C4D668031BA85E0266B20_13</vt:lpwstr>
  </property>
</Properties>
</file>