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FA9F2">
      <w:pPr>
        <w:spacing w:line="480" w:lineRule="exact"/>
        <w:rPr>
          <w:sz w:val="24"/>
        </w:rPr>
      </w:pPr>
      <w:bookmarkStart w:id="0" w:name="_GoBack"/>
      <w:bookmarkEnd w:id="0"/>
    </w:p>
    <w:p w14:paraId="2BEB1CDB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3AAFFFE5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1C275895">
      <w:pPr>
        <w:spacing w:line="1480" w:lineRule="exact"/>
        <w:jc w:val="center"/>
        <w:rPr>
          <w:sz w:val="52"/>
        </w:rPr>
      </w:pPr>
    </w:p>
    <w:p w14:paraId="127E2799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23FCF9CF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2264D015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未成年人图书馆理论与服务</w:t>
      </w:r>
    </w:p>
    <w:p w14:paraId="7A3A6630">
      <w:pPr>
        <w:spacing w:line="900" w:lineRule="exact"/>
        <w:ind w:firstLine="3600" w:firstLineChars="1200"/>
        <w:rPr>
          <w:sz w:val="30"/>
        </w:rPr>
      </w:pPr>
    </w:p>
    <w:p w14:paraId="5C83E8BE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419A9A8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79C1D7E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7C407BC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B001D9D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4B86F77E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0B6CDBF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62154EB1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68D10289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664748BA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68521753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091B7954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3B5B9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4FFFE06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4956675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未成年人图书馆理论与服务</w:t>
            </w:r>
          </w:p>
          <w:p w14:paraId="2480268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Theory and Services of Children Librarianship</w:t>
            </w:r>
          </w:p>
          <w:p w14:paraId="0790500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7499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60CCBA12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6E552A93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1204D518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1F925BDF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IM3118</w:t>
            </w:r>
          </w:p>
        </w:tc>
        <w:tc>
          <w:tcPr>
            <w:tcW w:w="1400" w:type="dxa"/>
            <w:vAlign w:val="center"/>
          </w:tcPr>
          <w:p w14:paraId="7B3C956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5948275B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56135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33CD77B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3D08068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265862D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51C86CF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51D96A8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6661551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58816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7BFAC55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3720AE1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</w:t>
            </w:r>
          </w:p>
        </w:tc>
      </w:tr>
      <w:tr w14:paraId="07A63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818580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5240162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张靖</w:t>
            </w:r>
          </w:p>
        </w:tc>
      </w:tr>
      <w:tr w14:paraId="1C6A5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4856EA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374364FE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图书馆学基础</w:t>
            </w:r>
          </w:p>
        </w:tc>
      </w:tr>
      <w:tr w14:paraId="36866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69CEE75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2519C73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3403D2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655FDCC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89299D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6F6EEBA9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通过课程学习，学生应：（1）牢固掌握未成年人（/儿童）图书馆服务领域的重要理论；（2）能够应用理论设计并提供未成年人（/儿童）图书馆服务。</w:t>
            </w:r>
          </w:p>
        </w:tc>
      </w:tr>
    </w:tbl>
    <w:p w14:paraId="2A796143">
      <w:pPr>
        <w:spacing w:line="480" w:lineRule="exact"/>
        <w:ind w:firstLine="480" w:firstLineChars="200"/>
        <w:rPr>
          <w:sz w:val="24"/>
        </w:rPr>
      </w:pPr>
    </w:p>
    <w:p w14:paraId="136A623A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3A5C748B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1049"/>
        <w:gridCol w:w="1926"/>
        <w:gridCol w:w="1180"/>
        <w:gridCol w:w="661"/>
        <w:gridCol w:w="1049"/>
      </w:tblGrid>
      <w:tr w14:paraId="71475C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28DDC531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0648922A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4CF4C6E3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57604EBD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26BCCA68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17BCBB79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6CB528AA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0B79F6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6E7D0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 儿童发展理论</w:t>
            </w:r>
          </w:p>
        </w:tc>
        <w:tc>
          <w:tcPr>
            <w:tcW w:w="5096" w:type="dxa"/>
            <w:vAlign w:val="center"/>
          </w:tcPr>
          <w:p w14:paraId="6EE0F4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 皮亚杰认知发展理论</w:t>
            </w:r>
          </w:p>
          <w:p w14:paraId="0082F0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 维果斯基社会文化理论</w:t>
            </w:r>
          </w:p>
          <w:p w14:paraId="0C094D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 埃里克森社会心理发展理论</w:t>
            </w:r>
          </w:p>
          <w:p w14:paraId="63422B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1.4 儿童行为发展理论</w:t>
            </w:r>
          </w:p>
          <w:p w14:paraId="3FC9E9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1.5 班杜拉社会学习理论</w:t>
            </w:r>
          </w:p>
        </w:tc>
        <w:tc>
          <w:tcPr>
            <w:tcW w:w="5096" w:type="dxa"/>
            <w:vAlign w:val="center"/>
          </w:tcPr>
          <w:p w14:paraId="5CED18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C8326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《中国儿童发展纲要（2021-2030年）》</w:t>
            </w:r>
          </w:p>
        </w:tc>
        <w:tc>
          <w:tcPr>
            <w:tcW w:w="5096" w:type="dxa"/>
            <w:vAlign w:val="center"/>
          </w:tcPr>
          <w:p w14:paraId="30209ED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92093F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8632B8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02145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3B369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 儿童阅读推广基础理论</w:t>
            </w:r>
          </w:p>
        </w:tc>
        <w:tc>
          <w:tcPr>
            <w:tcW w:w="5096" w:type="dxa"/>
            <w:vAlign w:val="center"/>
          </w:tcPr>
          <w:p w14:paraId="1B872B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儿童阅读推广的基本概念、属性与特征</w:t>
            </w:r>
          </w:p>
          <w:p w14:paraId="2AFD1D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儿童阅读推广的法理基础</w:t>
            </w:r>
          </w:p>
          <w:p w14:paraId="0581D3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儿童阅读推广的服务目标</w:t>
            </w:r>
          </w:p>
          <w:p w14:paraId="51A4BE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2.4 儿童阅读推广的内容体系和理论架构</w:t>
            </w:r>
          </w:p>
        </w:tc>
        <w:tc>
          <w:tcPr>
            <w:tcW w:w="5096" w:type="dxa"/>
            <w:vAlign w:val="center"/>
          </w:tcPr>
          <w:p w14:paraId="00C9CD7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E4A67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中宣部《关于促进全民阅读工作的意见》</w:t>
            </w:r>
          </w:p>
        </w:tc>
        <w:tc>
          <w:tcPr>
            <w:tcW w:w="5096" w:type="dxa"/>
            <w:vAlign w:val="center"/>
          </w:tcPr>
          <w:p w14:paraId="1E3128F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B8B70C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90D2B6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FEDF9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94F939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 童书理论</w:t>
            </w:r>
          </w:p>
        </w:tc>
        <w:tc>
          <w:tcPr>
            <w:tcW w:w="5096" w:type="dxa"/>
            <w:vAlign w:val="center"/>
          </w:tcPr>
          <w:p w14:paraId="31D9E2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 儿童文学</w:t>
            </w:r>
          </w:p>
          <w:p w14:paraId="35FD7C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 童书的类型</w:t>
            </w:r>
          </w:p>
          <w:p w14:paraId="5F7ABF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 经典童书</w:t>
            </w:r>
          </w:p>
        </w:tc>
        <w:tc>
          <w:tcPr>
            <w:tcW w:w="5096" w:type="dxa"/>
            <w:vAlign w:val="center"/>
          </w:tcPr>
          <w:p w14:paraId="0AE7A8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08F1EE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8CD826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43092B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9AD763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9A40E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8C45D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图书馆儿童服务的政策法规与专业标准</w:t>
            </w:r>
          </w:p>
        </w:tc>
        <w:tc>
          <w:tcPr>
            <w:tcW w:w="5096" w:type="dxa"/>
            <w:vAlign w:val="center"/>
          </w:tcPr>
          <w:p w14:paraId="14CD1F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 图书馆儿童服务的政策法规</w:t>
            </w:r>
          </w:p>
          <w:p w14:paraId="60B724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 图书馆儿童服务的专业标准</w:t>
            </w:r>
          </w:p>
        </w:tc>
        <w:tc>
          <w:tcPr>
            <w:tcW w:w="5096" w:type="dxa"/>
            <w:vAlign w:val="center"/>
          </w:tcPr>
          <w:p w14:paraId="6ED5AA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2962AB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248A7A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4AA0A3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F7E217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FC5DE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A1BBD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 图书馆儿童馆藏与其他资源建设</w:t>
            </w:r>
          </w:p>
        </w:tc>
        <w:tc>
          <w:tcPr>
            <w:tcW w:w="5096" w:type="dxa"/>
            <w:vAlign w:val="center"/>
          </w:tcPr>
          <w:p w14:paraId="501824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 图书馆儿童馆藏发展政策</w:t>
            </w:r>
          </w:p>
          <w:p w14:paraId="46E208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 图书馆其他儿童资源建设</w:t>
            </w:r>
          </w:p>
        </w:tc>
        <w:tc>
          <w:tcPr>
            <w:tcW w:w="5096" w:type="dxa"/>
            <w:vAlign w:val="center"/>
          </w:tcPr>
          <w:p w14:paraId="668F2E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1B2317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BABBD5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C186D2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EDEF7E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A5C62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977D8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 图书馆儿童空间与技术环境建设</w:t>
            </w:r>
          </w:p>
        </w:tc>
        <w:tc>
          <w:tcPr>
            <w:tcW w:w="5096" w:type="dxa"/>
            <w:vAlign w:val="center"/>
          </w:tcPr>
          <w:p w14:paraId="6B1DC0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 图书馆儿童空间环境建设</w:t>
            </w:r>
          </w:p>
          <w:p w14:paraId="28B4F8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 图书馆儿童技术环境建设</w:t>
            </w:r>
          </w:p>
        </w:tc>
        <w:tc>
          <w:tcPr>
            <w:tcW w:w="5096" w:type="dxa"/>
            <w:vAlign w:val="center"/>
          </w:tcPr>
          <w:p w14:paraId="73D0A5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E0CBED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7E98A3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A21927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B0C981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D4665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C50C6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第7章 图书馆儿童分龄服务设计</w:t>
            </w:r>
          </w:p>
        </w:tc>
        <w:tc>
          <w:tcPr>
            <w:tcW w:w="5096" w:type="dxa"/>
            <w:vAlign w:val="center"/>
          </w:tcPr>
          <w:p w14:paraId="29AAB5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7.1 0-1岁婴儿图书馆服务设计</w:t>
            </w:r>
          </w:p>
          <w:p w14:paraId="03E874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7.2 1-3岁幼儿图书馆服务设计</w:t>
            </w:r>
          </w:p>
          <w:p w14:paraId="41E725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7.3 3-6岁学龄前儿童图书馆服务设计</w:t>
            </w:r>
          </w:p>
          <w:p w14:paraId="061B42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7.4 小学生图书馆服务设计</w:t>
            </w:r>
          </w:p>
          <w:p w14:paraId="30062D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7.5 中学生图书馆服务设计</w:t>
            </w:r>
          </w:p>
          <w:p w14:paraId="307B518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7B617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E30BFA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358F44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4CF377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188467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3171B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50988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第8章  图书馆儿童服务管理</w:t>
            </w:r>
          </w:p>
        </w:tc>
        <w:tc>
          <w:tcPr>
            <w:tcW w:w="5096" w:type="dxa"/>
            <w:vAlign w:val="center"/>
          </w:tcPr>
          <w:p w14:paraId="0961E8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8.1 公共图书馆儿童服务管理</w:t>
            </w:r>
          </w:p>
          <w:p w14:paraId="3EE9E1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8.2 少年儿童图书馆管理</w:t>
            </w:r>
          </w:p>
          <w:p w14:paraId="2AA2B6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8.3 中小学图书馆管理</w:t>
            </w:r>
          </w:p>
          <w:p w14:paraId="28BCB4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8.4 图书馆儿童服务项目管理</w:t>
            </w:r>
          </w:p>
        </w:tc>
        <w:tc>
          <w:tcPr>
            <w:tcW w:w="5096" w:type="dxa"/>
            <w:vAlign w:val="center"/>
          </w:tcPr>
          <w:p w14:paraId="490B9C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E16182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471078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01B580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92469D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8C6C1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7DB4E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第9章 图书馆儿童服务实践：韵律时间</w:t>
            </w:r>
          </w:p>
        </w:tc>
        <w:tc>
          <w:tcPr>
            <w:tcW w:w="5096" w:type="dxa"/>
            <w:vAlign w:val="center"/>
          </w:tcPr>
          <w:p w14:paraId="7CCE72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9.1 韵律时间案例</w:t>
            </w:r>
          </w:p>
          <w:p w14:paraId="6982BE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9.2 韵律时间实践</w:t>
            </w:r>
          </w:p>
        </w:tc>
        <w:tc>
          <w:tcPr>
            <w:tcW w:w="5096" w:type="dxa"/>
            <w:vAlign w:val="center"/>
          </w:tcPr>
          <w:p w14:paraId="7665AE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47AA1D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D16699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19CA4B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D7EABD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E7F9A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60515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第10章 图书馆儿童服务实践：讲故事</w:t>
            </w:r>
          </w:p>
        </w:tc>
        <w:tc>
          <w:tcPr>
            <w:tcW w:w="5096" w:type="dxa"/>
            <w:vAlign w:val="center"/>
          </w:tcPr>
          <w:p w14:paraId="58B0C8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10.1 讲故事案例</w:t>
            </w:r>
          </w:p>
          <w:p w14:paraId="44696E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10.2 讲故事实践</w:t>
            </w:r>
          </w:p>
        </w:tc>
        <w:tc>
          <w:tcPr>
            <w:tcW w:w="5096" w:type="dxa"/>
            <w:vAlign w:val="center"/>
          </w:tcPr>
          <w:p w14:paraId="3D509B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C00760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415FB2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9221B9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64919D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63FD4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686CB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第11章 图书馆儿童服务实践：STEAM活动</w:t>
            </w:r>
          </w:p>
        </w:tc>
        <w:tc>
          <w:tcPr>
            <w:tcW w:w="5096" w:type="dxa"/>
            <w:vAlign w:val="center"/>
          </w:tcPr>
          <w:p w14:paraId="1C9C36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11.1 STEAM活动案例</w:t>
            </w:r>
          </w:p>
          <w:p w14:paraId="080480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11.2 STEAM活动实践</w:t>
            </w:r>
          </w:p>
        </w:tc>
        <w:tc>
          <w:tcPr>
            <w:tcW w:w="5096" w:type="dxa"/>
            <w:vAlign w:val="center"/>
          </w:tcPr>
          <w:p w14:paraId="2ABAF7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B85215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8354FA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42B7D3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E64136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AB591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F3AF9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第12章 图书馆儿童服务实践：暑期阅读</w:t>
            </w:r>
          </w:p>
        </w:tc>
        <w:tc>
          <w:tcPr>
            <w:tcW w:w="5096" w:type="dxa"/>
            <w:vAlign w:val="center"/>
          </w:tcPr>
          <w:p w14:paraId="72A130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12.1 暑期阅读案例</w:t>
            </w:r>
          </w:p>
          <w:p w14:paraId="0D40CA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12.2 暑期阅读实践</w:t>
            </w:r>
          </w:p>
        </w:tc>
        <w:tc>
          <w:tcPr>
            <w:tcW w:w="5096" w:type="dxa"/>
            <w:vAlign w:val="center"/>
          </w:tcPr>
          <w:p w14:paraId="7EB2194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496C02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3FB8E2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54C684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32828C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0C45B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A6111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课程汇报与总结</w:t>
            </w:r>
          </w:p>
        </w:tc>
        <w:tc>
          <w:tcPr>
            <w:tcW w:w="5096" w:type="dxa"/>
            <w:vAlign w:val="center"/>
          </w:tcPr>
          <w:p w14:paraId="71D57A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课程汇报与总结</w:t>
            </w:r>
          </w:p>
        </w:tc>
        <w:tc>
          <w:tcPr>
            <w:tcW w:w="5096" w:type="dxa"/>
            <w:vAlign w:val="center"/>
          </w:tcPr>
          <w:p w14:paraId="34A8C8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FE27D1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9C8D4C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E38B27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605662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617FB12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0C2CA998">
      <w:pPr>
        <w:spacing w:line="480" w:lineRule="exact"/>
        <w:rPr>
          <w:sz w:val="24"/>
        </w:rPr>
      </w:pPr>
    </w:p>
    <w:p w14:paraId="0F326FB1">
      <w:pPr>
        <w:spacing w:line="480" w:lineRule="exact"/>
        <w:rPr>
          <w:rFonts w:hint="eastAsia"/>
          <w:sz w:val="24"/>
        </w:rPr>
      </w:pPr>
    </w:p>
    <w:p w14:paraId="71D369C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3ACE269C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3D6EC08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理论教学：基础理论模块、服务原理模块。</w:t>
      </w:r>
    </w:p>
    <w:p w14:paraId="4581F6F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实践教学：服务实践模块。</w:t>
      </w:r>
    </w:p>
    <w:p w14:paraId="4D77B771">
      <w:pPr>
        <w:spacing w:line="480" w:lineRule="exact"/>
        <w:rPr>
          <w:sz w:val="24"/>
        </w:rPr>
      </w:pPr>
    </w:p>
    <w:p w14:paraId="6A2BCC21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4608A3B7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4C8BBC0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课堂讲授、提问研讨、小组大作业。</w:t>
      </w:r>
    </w:p>
    <w:p w14:paraId="1756F43E">
      <w:pPr>
        <w:spacing w:line="480" w:lineRule="exact"/>
        <w:ind w:firstLine="360" w:firstLineChars="150"/>
        <w:rPr>
          <w:sz w:val="24"/>
        </w:rPr>
      </w:pPr>
    </w:p>
    <w:p w14:paraId="559F8316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58B8707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张靖、吴翠红主编，《未成年人图书馆与信息服务专业性研究》，社会科学文献出版社，2019年</w:t>
      </w:r>
    </w:p>
    <w:p w14:paraId="673F6D8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柯平主编、张靖副主编：《中小学图书馆概论》，国家图书馆出版社，2024年</w:t>
      </w:r>
    </w:p>
    <w:p w14:paraId="07F8E8CF">
      <w:pPr>
        <w:spacing w:line="480" w:lineRule="exact"/>
        <w:ind w:firstLine="360" w:firstLineChars="150"/>
        <w:rPr>
          <w:sz w:val="24"/>
        </w:rPr>
      </w:pPr>
    </w:p>
    <w:p w14:paraId="7978070D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128135D4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2BFECB0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张靖、杨乃一、陆思晓编著：《中小学图书馆国际标准解读及其中国情境研究》，中山大学出版社，2025年</w:t>
      </w:r>
    </w:p>
    <w:p w14:paraId="53963E6D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629D295D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47BE6265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6210C087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5038CD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1、课程成绩（100%）=平时成绩（40%）+期末成绩（60%）</w:t>
      </w:r>
    </w:p>
    <w:p w14:paraId="1850069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2、平时成绩（40%）由以下两部分组成：</w:t>
      </w:r>
    </w:p>
    <w:p w14:paraId="500A425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（1）考勤和课堂参与（10%）</w:t>
      </w:r>
    </w:p>
    <w:p w14:paraId="16CC96A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（2）阅读研讨（30%）</w:t>
      </w:r>
    </w:p>
    <w:p w14:paraId="01B5029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3、期末成绩（60%）由以下两部分组成：</w:t>
      </w:r>
    </w:p>
    <w:p w14:paraId="62F8661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（1）图书馆儿童服务实践（30%）</w:t>
      </w:r>
    </w:p>
    <w:p w14:paraId="4DE1854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（2）图书馆儿童服务实践研究报告（30%）</w:t>
      </w:r>
    </w:p>
    <w:p w14:paraId="0F9F9918">
      <w:pPr>
        <w:spacing w:line="480" w:lineRule="exact"/>
        <w:rPr>
          <w:sz w:val="24"/>
        </w:rPr>
      </w:pPr>
    </w:p>
    <w:p w14:paraId="34CBD887">
      <w:pPr>
        <w:spacing w:line="480" w:lineRule="exact"/>
        <w:rPr>
          <w:sz w:val="24"/>
        </w:rPr>
      </w:pPr>
    </w:p>
    <w:p w14:paraId="4D4971A8">
      <w:pPr>
        <w:spacing w:line="480" w:lineRule="exact"/>
        <w:rPr>
          <w:sz w:val="24"/>
        </w:rPr>
      </w:pPr>
    </w:p>
    <w:p w14:paraId="5A95E0AF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3ED65BC2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2026-04-12T06:25:21Z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C59C3784F69C478683E68299C2070571_13</vt:lpwstr>
  </property>
</Properties>
</file>