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37F1E">
      <w:pPr>
        <w:spacing w:line="480" w:lineRule="exact"/>
        <w:rPr>
          <w:sz w:val="24"/>
        </w:rPr>
      </w:pPr>
      <w:bookmarkStart w:id="0" w:name="_GoBack"/>
      <w:bookmarkEnd w:id="0"/>
    </w:p>
    <w:p w14:paraId="3C9F41BC">
      <w:pPr>
        <w:spacing w:line="1480" w:lineRule="exact"/>
        <w:jc w:val="center"/>
        <w:rPr>
          <w:rFonts w:eastAsia="楷体_GB2312"/>
          <w:b/>
          <w:bCs/>
          <w:spacing w:val="40"/>
          <w:sz w:val="72"/>
        </w:rPr>
      </w:pPr>
      <w:r>
        <w:rPr>
          <w:rFonts w:eastAsia="楷体_GB2312"/>
          <w:b/>
          <w:bCs/>
          <w:spacing w:val="40"/>
          <w:sz w:val="72"/>
        </w:rPr>
        <w:t>中山大学</w:t>
      </w:r>
    </w:p>
    <w:p w14:paraId="131AE5B8">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588FB38">
      <w:pPr>
        <w:spacing w:line="1480" w:lineRule="exact"/>
        <w:jc w:val="center"/>
        <w:rPr>
          <w:sz w:val="52"/>
        </w:rPr>
      </w:pPr>
    </w:p>
    <w:p w14:paraId="2F431213">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00F409A">
      <w:pPr>
        <w:spacing w:line="480" w:lineRule="exact"/>
        <w:ind w:firstLine="2127" w:firstLineChars="709"/>
        <w:rPr>
          <w:rFonts w:eastAsia="黑体"/>
          <w:sz w:val="30"/>
          <w:u w:val="single"/>
        </w:rPr>
      </w:pPr>
    </w:p>
    <w:p w14:paraId="2F1F23C3">
      <w:pPr>
        <w:spacing w:line="480" w:lineRule="exact"/>
        <w:ind w:firstLine="2127" w:firstLineChars="709"/>
        <w:rPr>
          <w:sz w:val="30"/>
          <w:u w:val="single"/>
        </w:rPr>
      </w:pPr>
      <w:r>
        <w:rPr>
          <w:rFonts w:eastAsia="黑体"/>
          <w:sz w:val="30"/>
        </w:rPr>
        <w:t>课程名称</w:t>
      </w:r>
      <w:r>
        <w:rPr>
          <w:rFonts w:eastAsia="黑体"/>
          <w:sz w:val="30"/>
          <w:u w:val="single"/>
        </w:rPr>
        <w:t xml:space="preserve"> 信息技术与社会变迁</w:t>
      </w:r>
    </w:p>
    <w:p w14:paraId="7D2E626B">
      <w:pPr>
        <w:spacing w:line="900" w:lineRule="exact"/>
        <w:ind w:firstLine="3600" w:firstLineChars="1200"/>
        <w:rPr>
          <w:sz w:val="30"/>
        </w:rPr>
      </w:pPr>
    </w:p>
    <w:p w14:paraId="34D21E21">
      <w:pPr>
        <w:spacing w:line="900" w:lineRule="exact"/>
        <w:jc w:val="center"/>
        <w:rPr>
          <w:rFonts w:eastAsia="仿宋_GB2312"/>
          <w:b/>
          <w:bCs/>
          <w:kern w:val="28"/>
          <w:sz w:val="32"/>
          <w:szCs w:val="32"/>
        </w:rPr>
      </w:pPr>
    </w:p>
    <w:p w14:paraId="73449E80">
      <w:pPr>
        <w:spacing w:line="900" w:lineRule="exact"/>
        <w:jc w:val="center"/>
        <w:rPr>
          <w:rFonts w:eastAsia="仿宋_GB2312"/>
          <w:b/>
          <w:bCs/>
          <w:kern w:val="28"/>
          <w:sz w:val="32"/>
          <w:szCs w:val="32"/>
        </w:rPr>
      </w:pPr>
    </w:p>
    <w:p w14:paraId="7F68DF88">
      <w:pPr>
        <w:spacing w:line="900" w:lineRule="exact"/>
        <w:jc w:val="center"/>
        <w:rPr>
          <w:rFonts w:eastAsia="仿宋_GB2312"/>
          <w:b/>
          <w:bCs/>
          <w:kern w:val="28"/>
          <w:sz w:val="32"/>
          <w:szCs w:val="32"/>
        </w:rPr>
      </w:pPr>
    </w:p>
    <w:p w14:paraId="5179C890">
      <w:pPr>
        <w:spacing w:line="900" w:lineRule="exact"/>
        <w:jc w:val="center"/>
        <w:rPr>
          <w:rFonts w:eastAsia="仿宋_GB2312"/>
          <w:b/>
          <w:bCs/>
          <w:kern w:val="28"/>
          <w:sz w:val="32"/>
          <w:szCs w:val="32"/>
        </w:rPr>
      </w:pPr>
    </w:p>
    <w:p w14:paraId="7ED3DC13">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D740C96">
      <w:pPr>
        <w:spacing w:line="900" w:lineRule="exact"/>
        <w:jc w:val="center"/>
        <w:rPr>
          <w:rFonts w:ascii="仿宋_GB2312" w:hAnsi="仿宋_GB2312" w:eastAsia="仿宋_GB2312" w:cs="仿宋_GB2312"/>
          <w:b/>
          <w:bCs/>
          <w:kern w:val="28"/>
          <w:sz w:val="32"/>
          <w:szCs w:val="32"/>
        </w:rPr>
      </w:pPr>
    </w:p>
    <w:p w14:paraId="178B13AE">
      <w:pPr>
        <w:spacing w:line="900" w:lineRule="exact"/>
        <w:jc w:val="center"/>
        <w:rPr>
          <w:rFonts w:hint="eastAsia" w:ascii="仿宋_GB2312" w:hAnsi="仿宋_GB2312" w:eastAsia="仿宋_GB2312" w:cs="仿宋_GB2312"/>
          <w:b/>
          <w:bCs/>
          <w:kern w:val="28"/>
          <w:sz w:val="32"/>
          <w:szCs w:val="32"/>
        </w:rPr>
      </w:pPr>
    </w:p>
    <w:p w14:paraId="306E0853">
      <w:pPr>
        <w:spacing w:line="900" w:lineRule="exact"/>
        <w:jc w:val="center"/>
        <w:rPr>
          <w:rFonts w:hint="eastAsia" w:eastAsia="仿宋_GB2312"/>
          <w:b/>
          <w:bCs/>
          <w:kern w:val="28"/>
          <w:sz w:val="32"/>
          <w:szCs w:val="32"/>
        </w:rPr>
      </w:pPr>
    </w:p>
    <w:p w14:paraId="75E0043C">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17AE048C">
      <w:pPr>
        <w:pStyle w:val="2"/>
        <w:spacing w:line="480" w:lineRule="exact"/>
        <w:ind w:firstLine="0" w:firstLineChars="0"/>
        <w:jc w:val="center"/>
        <w:rPr>
          <w:rFonts w:eastAsia="宋体"/>
          <w:sz w:val="24"/>
        </w:rPr>
      </w:pPr>
      <w:r>
        <w:rPr>
          <w:rFonts w:eastAsia="宋体"/>
          <w:sz w:val="24"/>
        </w:rPr>
        <w:t>（编写日期：2025年12月）</w:t>
      </w:r>
    </w:p>
    <w:p w14:paraId="1E057AFD">
      <w:pPr>
        <w:pStyle w:val="2"/>
        <w:spacing w:line="480" w:lineRule="exact"/>
        <w:ind w:firstLine="0" w:firstLineChars="0"/>
        <w:jc w:val="center"/>
        <w:rPr>
          <w:rFonts w:eastAsia="宋体"/>
          <w:sz w:val="24"/>
        </w:rPr>
      </w:pPr>
    </w:p>
    <w:p w14:paraId="32CF9239">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2C89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7F1CEB5">
            <w:pPr>
              <w:pStyle w:val="2"/>
              <w:spacing w:line="480" w:lineRule="exact"/>
              <w:ind w:firstLine="0" w:firstLineChars="0"/>
              <w:jc w:val="center"/>
              <w:rPr>
                <w:rFonts w:eastAsia="宋体"/>
                <w:sz w:val="24"/>
              </w:rPr>
            </w:pPr>
          </w:p>
          <w:p w14:paraId="709A829E">
            <w:pPr>
              <w:pStyle w:val="2"/>
              <w:adjustRightInd w:val="0"/>
              <w:snapToGrid w:val="0"/>
              <w:ind w:firstLine="0" w:firstLineChars="0"/>
              <w:jc w:val="center"/>
              <w:rPr>
                <w:rFonts w:eastAsia="宋体"/>
                <w:sz w:val="24"/>
                <w:lang w:val="en-US" w:eastAsia="zh-CN"/>
              </w:rPr>
            </w:pPr>
            <w:r>
              <w:rPr>
                <w:rFonts w:eastAsia="宋体"/>
                <w:sz w:val="24"/>
                <w:lang w:val="en-US" w:eastAsia="zh-CN"/>
              </w:rPr>
              <w:t>信息技术与社会变迁</w:t>
            </w:r>
          </w:p>
          <w:p w14:paraId="7F3DB788">
            <w:pPr>
              <w:pStyle w:val="2"/>
              <w:adjustRightInd w:val="0"/>
              <w:snapToGrid w:val="0"/>
              <w:ind w:firstLine="0" w:firstLineChars="0"/>
              <w:jc w:val="center"/>
              <w:rPr>
                <w:rFonts w:eastAsia="宋体"/>
                <w:sz w:val="24"/>
                <w:lang w:val="en-US" w:eastAsia="zh-CN"/>
              </w:rPr>
            </w:pPr>
            <w:r>
              <w:rPr>
                <w:rFonts w:eastAsia="宋体"/>
                <w:sz w:val="24"/>
                <w:lang w:val="en-US" w:eastAsia="zh-CN"/>
              </w:rPr>
              <w:t>Information Technology and Social Change</w:t>
            </w:r>
          </w:p>
          <w:p w14:paraId="54C474CE">
            <w:pPr>
              <w:pStyle w:val="2"/>
              <w:spacing w:line="480" w:lineRule="exact"/>
              <w:ind w:firstLine="0" w:firstLineChars="0"/>
              <w:jc w:val="center"/>
              <w:rPr>
                <w:rFonts w:eastAsia="宋体"/>
                <w:sz w:val="24"/>
              </w:rPr>
            </w:pPr>
          </w:p>
        </w:tc>
      </w:tr>
      <w:tr w14:paraId="73C9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563405C0">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F2CBE94">
            <w:pPr>
              <w:jc w:val="center"/>
              <w:rPr>
                <w:sz w:val="24"/>
              </w:rPr>
            </w:pPr>
            <w:r>
              <w:rPr>
                <w:rFonts w:hint="eastAsia" w:eastAsia="宋体"/>
                <w:sz w:val="24"/>
                <w:lang w:val="en-US" w:eastAsia="zh-CN"/>
              </w:rPr>
              <w:t>专选</w:t>
            </w:r>
          </w:p>
        </w:tc>
        <w:tc>
          <w:tcPr>
            <w:tcW w:w="1598" w:type="dxa"/>
            <w:vAlign w:val="center"/>
          </w:tcPr>
          <w:p w14:paraId="6914C406">
            <w:pPr>
              <w:rPr>
                <w:sz w:val="24"/>
              </w:rPr>
            </w:pPr>
            <w:r>
              <w:rPr>
                <w:sz w:val="24"/>
              </w:rPr>
              <w:t>课程编码</w:t>
            </w:r>
          </w:p>
        </w:tc>
        <w:tc>
          <w:tcPr>
            <w:tcW w:w="1435" w:type="dxa"/>
            <w:vAlign w:val="center"/>
          </w:tcPr>
          <w:p w14:paraId="7B143F15">
            <w:pPr>
              <w:jc w:val="center"/>
              <w:rPr>
                <w:sz w:val="24"/>
              </w:rPr>
            </w:pPr>
            <w:r>
              <w:rPr>
                <w:sz w:val="24"/>
              </w:rPr>
              <w:t>IM3134</w:t>
            </w:r>
          </w:p>
        </w:tc>
        <w:tc>
          <w:tcPr>
            <w:tcW w:w="1400" w:type="dxa"/>
            <w:vAlign w:val="center"/>
          </w:tcPr>
          <w:p w14:paraId="44EDEB6A">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EF33D31">
            <w:pPr>
              <w:jc w:val="center"/>
              <w:rPr>
                <w:sz w:val="24"/>
              </w:rPr>
            </w:pPr>
            <w:r>
              <w:rPr>
                <w:rFonts w:eastAsia="宋体"/>
                <w:sz w:val="24"/>
                <w:lang w:val="en-US" w:eastAsia="zh-CN"/>
              </w:rPr>
              <w:t>信息管理学院</w:t>
            </w:r>
          </w:p>
        </w:tc>
      </w:tr>
      <w:tr w14:paraId="5BE9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BFBC314">
            <w:pPr>
              <w:jc w:val="center"/>
              <w:rPr>
                <w:sz w:val="24"/>
              </w:rPr>
            </w:pPr>
            <w:r>
              <w:rPr>
                <w:sz w:val="24"/>
              </w:rPr>
              <w:t>学分</w:t>
            </w:r>
          </w:p>
        </w:tc>
        <w:tc>
          <w:tcPr>
            <w:tcW w:w="1379" w:type="dxa"/>
            <w:vAlign w:val="center"/>
          </w:tcPr>
          <w:p w14:paraId="076A947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2A3467E4">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C49CED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7E39A542">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8940AE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23级图书馆学、档案学</w:t>
            </w:r>
          </w:p>
        </w:tc>
      </w:tr>
      <w:tr w14:paraId="27F3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A27FD2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5D0EA2C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w:t>
            </w:r>
          </w:p>
        </w:tc>
      </w:tr>
      <w:tr w14:paraId="7407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F02F381">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4A37D296">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肖鹏</w:t>
            </w:r>
          </w:p>
        </w:tc>
      </w:tr>
      <w:tr w14:paraId="56BA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728DDB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2D4FBC48">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6AD8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9589B33">
            <w:pPr>
              <w:pStyle w:val="2"/>
              <w:spacing w:line="480" w:lineRule="exact"/>
              <w:ind w:firstLine="0" w:firstLineChars="0"/>
              <w:jc w:val="center"/>
              <w:rPr>
                <w:rFonts w:eastAsia="宋体"/>
                <w:sz w:val="24"/>
                <w:lang w:val="en-US" w:eastAsia="zh-CN"/>
              </w:rPr>
            </w:pPr>
          </w:p>
          <w:p w14:paraId="6923C5DE">
            <w:pPr>
              <w:pStyle w:val="2"/>
              <w:spacing w:line="480" w:lineRule="exact"/>
              <w:ind w:firstLine="0" w:firstLineChars="0"/>
              <w:jc w:val="center"/>
              <w:rPr>
                <w:rFonts w:eastAsia="宋体"/>
                <w:sz w:val="24"/>
                <w:lang w:val="en-US" w:eastAsia="zh-CN"/>
              </w:rPr>
            </w:pPr>
          </w:p>
          <w:p w14:paraId="78286F3B">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58F49EFE">
            <w:pPr>
              <w:pStyle w:val="2"/>
              <w:spacing w:line="480" w:lineRule="exact"/>
              <w:ind w:firstLine="0" w:firstLineChars="0"/>
              <w:jc w:val="center"/>
              <w:rPr>
                <w:rFonts w:eastAsia="宋体"/>
                <w:sz w:val="24"/>
                <w:lang w:val="en-US" w:eastAsia="zh-CN"/>
              </w:rPr>
            </w:pPr>
          </w:p>
          <w:p w14:paraId="7E061C4F">
            <w:pPr>
              <w:pStyle w:val="2"/>
              <w:spacing w:line="480" w:lineRule="exact"/>
              <w:ind w:firstLine="0" w:firstLineChars="0"/>
              <w:jc w:val="center"/>
              <w:rPr>
                <w:rFonts w:eastAsia="宋体"/>
                <w:sz w:val="24"/>
                <w:lang w:val="en-US" w:eastAsia="zh-CN"/>
              </w:rPr>
            </w:pPr>
          </w:p>
        </w:tc>
        <w:tc>
          <w:tcPr>
            <w:tcW w:w="7157" w:type="dxa"/>
            <w:gridSpan w:val="5"/>
            <w:vAlign w:val="center"/>
          </w:tcPr>
          <w:p w14:paraId="0D2353D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一般也称为“社群信息学”“信息与社会”或“社区信息学”，该课程重点关注各类社群或社区应用信息与通讯技术（ICT）的信息实践活动以及相关的理论研究。内容上既覆盖自上而下的国家数字化战略、大数据战略、智慧城市规划、信息扶贫政策、公共文化服务体系等政策对不同人群的影响，也关注自下而上的ICT应用最佳实践、普通人群ICT需求探究、信息行为规律识别、民间档案数字化问题、社区和乡村的ICT普及状况及存在的问题、虚拟社区的演化发展规律等。</w:t>
            </w:r>
          </w:p>
          <w:p w14:paraId="08A2D0C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课程的主要目标包括：</w:t>
            </w:r>
          </w:p>
          <w:p w14:paraId="66CEBDB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 让学生熟练掌握信息、社群与社会的核心概念和基础理论；</w:t>
            </w:r>
          </w:p>
          <w:p w14:paraId="67ED801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 让学生熟练掌握信息、社群与社会的相关实践与行动案例；</w:t>
            </w:r>
          </w:p>
          <w:p w14:paraId="54BFCC6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 让学生了解田野调查、口述历史、行动研究等典型的信息社群学研究方法；</w:t>
            </w:r>
          </w:p>
          <w:p w14:paraId="3346BA1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 让学生了解与信息、社群与社会相关的其他议题和内容。</w:t>
            </w:r>
          </w:p>
        </w:tc>
      </w:tr>
    </w:tbl>
    <w:p w14:paraId="3BC436B3">
      <w:pPr>
        <w:spacing w:line="480" w:lineRule="exact"/>
        <w:ind w:firstLine="480" w:firstLineChars="200"/>
        <w:rPr>
          <w:sz w:val="24"/>
        </w:rPr>
      </w:pPr>
    </w:p>
    <w:p w14:paraId="53D980E9">
      <w:pPr>
        <w:spacing w:line="480" w:lineRule="exact"/>
        <w:ind w:firstLine="480" w:firstLineChars="200"/>
        <w:rPr>
          <w:sz w:val="24"/>
        </w:rPr>
      </w:pPr>
      <w:r>
        <w:rPr>
          <w:sz w:val="24"/>
        </w:rPr>
        <w:t>二、课程基本内容（要求有一定的字数，不能过于简单）</w:t>
      </w:r>
    </w:p>
    <w:p w14:paraId="7507707C">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54"/>
        <w:gridCol w:w="1786"/>
        <w:gridCol w:w="1008"/>
        <w:gridCol w:w="924"/>
        <w:gridCol w:w="1140"/>
        <w:gridCol w:w="1214"/>
        <w:gridCol w:w="1009"/>
      </w:tblGrid>
      <w:tr w14:paraId="57A976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6012C5A">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AE17EA1">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55BD89B">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1B459EF8">
            <w:pPr>
              <w:jc w:val="center"/>
              <w:rPr>
                <w:rFonts w:hint="eastAsia"/>
                <w:b/>
                <w:bCs/>
                <w:sz w:val="24"/>
                <w:szCs w:val="20"/>
              </w:rPr>
            </w:pPr>
            <w:r>
              <w:rPr>
                <w:rFonts w:hint="eastAsia" w:ascii="24x12 宋体"/>
                <w:b/>
                <w:bCs/>
                <w:sz w:val="24"/>
                <w:szCs w:val="20"/>
              </w:rPr>
              <w:t>育人元素</w:t>
            </w:r>
          </w:p>
        </w:tc>
        <w:tc>
          <w:tcPr>
            <w:tcW w:w="1920" w:type="dxa"/>
            <w:vAlign w:val="center"/>
          </w:tcPr>
          <w:p w14:paraId="13520B7C">
            <w:pPr>
              <w:jc w:val="center"/>
              <w:rPr>
                <w:rFonts w:hint="eastAsia"/>
                <w:b/>
                <w:bCs/>
                <w:sz w:val="24"/>
                <w:szCs w:val="20"/>
              </w:rPr>
            </w:pPr>
            <w:r>
              <w:rPr>
                <w:rFonts w:hint="eastAsia" w:ascii="24x12 宋体"/>
                <w:b/>
                <w:bCs/>
                <w:sz w:val="24"/>
                <w:szCs w:val="20"/>
              </w:rPr>
              <w:t>重点、难点(选填)</w:t>
            </w:r>
          </w:p>
        </w:tc>
        <w:tc>
          <w:tcPr>
            <w:tcW w:w="1419" w:type="dxa"/>
            <w:vAlign w:val="center"/>
          </w:tcPr>
          <w:p w14:paraId="39A683A2">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59CDB629">
            <w:pPr>
              <w:jc w:val="center"/>
              <w:rPr>
                <w:rFonts w:hint="eastAsia"/>
                <w:b/>
                <w:bCs/>
                <w:sz w:val="24"/>
                <w:szCs w:val="20"/>
              </w:rPr>
            </w:pPr>
            <w:r>
              <w:rPr>
                <w:rFonts w:hint="eastAsia" w:ascii="24x12 宋体"/>
                <w:b/>
                <w:bCs/>
                <w:sz w:val="24"/>
                <w:szCs w:val="20"/>
              </w:rPr>
              <w:t>备注(选填)</w:t>
            </w:r>
          </w:p>
        </w:tc>
      </w:tr>
      <w:tr w14:paraId="7420D1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E401A2">
            <w:pPr>
              <w:rPr>
                <w:rFonts w:ascii="宋体" w:hAnsi="宋体" w:eastAsia="宋体"/>
                <w:sz w:val="24"/>
                <w:szCs w:val="24"/>
              </w:rPr>
            </w:pPr>
            <w:r>
              <w:rPr>
                <w:rFonts w:hint="eastAsia" w:ascii="宋体" w:hAnsi="宋体" w:eastAsia="宋体"/>
                <w:sz w:val="24"/>
                <w:szCs w:val="24"/>
              </w:rPr>
              <w:t>第一章：导论</w:t>
            </w:r>
          </w:p>
          <w:p w14:paraId="2FBFAB96">
            <w:pPr>
              <w:rPr>
                <w:rFonts w:ascii="宋体" w:hAnsi="宋体" w:eastAsia="宋体"/>
                <w:sz w:val="24"/>
                <w:szCs w:val="24"/>
              </w:rPr>
            </w:pPr>
            <w:r>
              <w:rPr>
                <w:rFonts w:hint="eastAsia" w:ascii="宋体" w:hAnsi="宋体" w:eastAsia="宋体"/>
                <w:sz w:val="24"/>
                <w:szCs w:val="24"/>
              </w:rPr>
              <w:t>第一节：课程安排与计划</w:t>
            </w:r>
          </w:p>
          <w:p w14:paraId="785150E5">
            <w:pPr>
              <w:rPr>
                <w:rFonts w:ascii="宋体" w:hAnsi="宋体" w:eastAsia="宋体"/>
                <w:sz w:val="24"/>
                <w:szCs w:val="24"/>
              </w:rPr>
            </w:pPr>
            <w:r>
              <w:rPr>
                <w:rFonts w:hint="eastAsia" w:ascii="宋体" w:hAnsi="宋体" w:eastAsia="宋体"/>
                <w:sz w:val="24"/>
                <w:szCs w:val="24"/>
              </w:rPr>
              <w:t>第二节：课程体系说明</w:t>
            </w:r>
          </w:p>
          <w:p w14:paraId="4323990D">
            <w:pPr>
              <w:rPr>
                <w:rFonts w:ascii="宋体" w:hAnsi="宋体" w:eastAsia="宋体"/>
                <w:sz w:val="24"/>
                <w:szCs w:val="24"/>
              </w:rPr>
            </w:pPr>
            <w:r>
              <w:rPr>
                <w:rFonts w:hint="eastAsia" w:ascii="宋体" w:hAnsi="宋体" w:eastAsia="宋体"/>
                <w:sz w:val="24"/>
                <w:szCs w:val="24"/>
              </w:rPr>
              <w:t>第三节：不平等的起源与基础理论</w:t>
            </w:r>
          </w:p>
        </w:tc>
        <w:tc>
          <w:tcPr>
            <w:tcW w:w="5096" w:type="dxa"/>
            <w:vAlign w:val="center"/>
          </w:tcPr>
          <w:p w14:paraId="60372583">
            <w:pPr>
              <w:rPr>
                <w:rFonts w:ascii="宋体" w:hAnsi="宋体" w:eastAsia="宋体"/>
                <w:sz w:val="24"/>
                <w:szCs w:val="24"/>
              </w:rPr>
            </w:pPr>
            <w:r>
              <w:rPr>
                <w:rFonts w:hint="eastAsia" w:ascii="宋体" w:hAnsi="宋体" w:eastAsia="宋体"/>
                <w:sz w:val="24"/>
                <w:szCs w:val="24"/>
              </w:rPr>
              <w:t>1.介绍课程的基本情况和学期的整体安排</w:t>
            </w:r>
          </w:p>
          <w:p w14:paraId="268A592C">
            <w:pPr>
              <w:rPr>
                <w:rFonts w:ascii="宋体" w:hAnsi="宋体" w:eastAsia="宋体"/>
                <w:sz w:val="24"/>
                <w:szCs w:val="24"/>
              </w:rPr>
            </w:pPr>
            <w:r>
              <w:rPr>
                <w:rFonts w:hint="eastAsia" w:ascii="宋体" w:hAnsi="宋体" w:eastAsia="宋体"/>
                <w:sz w:val="24"/>
                <w:szCs w:val="24"/>
              </w:rPr>
              <w:t>2.介绍课程的知识体系</w:t>
            </w:r>
          </w:p>
          <w:p w14:paraId="008333A3">
            <w:pPr>
              <w:rPr>
                <w:rFonts w:ascii="宋体" w:hAnsi="宋体" w:eastAsia="宋体"/>
                <w:sz w:val="24"/>
                <w:szCs w:val="24"/>
              </w:rPr>
            </w:pPr>
            <w:r>
              <w:rPr>
                <w:rFonts w:hint="eastAsia" w:ascii="宋体" w:hAnsi="宋体" w:eastAsia="宋体"/>
                <w:sz w:val="24"/>
                <w:szCs w:val="24"/>
              </w:rPr>
              <w:t>3.介绍“不平等”的相关理论</w:t>
            </w:r>
          </w:p>
        </w:tc>
        <w:tc>
          <w:tcPr>
            <w:tcW w:w="5096" w:type="dxa"/>
            <w:vAlign w:val="center"/>
          </w:tcPr>
          <w:p w14:paraId="37E0212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43BEF05">
            <w:pPr>
              <w:rPr>
                <w:rFonts w:ascii="宋体" w:hAnsi="宋体" w:eastAsia="宋体"/>
                <w:sz w:val="24"/>
                <w:szCs w:val="24"/>
              </w:rPr>
            </w:pPr>
            <w:r>
              <w:rPr>
                <w:rFonts w:hint="eastAsia" w:ascii="宋体" w:hAnsi="宋体" w:eastAsia="宋体"/>
                <w:sz w:val="24"/>
                <w:szCs w:val="24"/>
              </w:rPr>
              <w:t>总书记关于社区工作的指示</w:t>
            </w:r>
          </w:p>
        </w:tc>
        <w:tc>
          <w:tcPr>
            <w:tcW w:w="5096" w:type="dxa"/>
            <w:vAlign w:val="center"/>
          </w:tcPr>
          <w:p w14:paraId="56084C0C">
            <w:pPr>
              <w:rPr>
                <w:rFonts w:ascii="宋体" w:hAnsi="宋体" w:eastAsia="宋体"/>
                <w:sz w:val="24"/>
                <w:szCs w:val="24"/>
              </w:rPr>
            </w:pPr>
            <w:r>
              <w:rPr>
                <w:rFonts w:hint="eastAsia" w:ascii="宋体" w:hAnsi="宋体" w:eastAsia="宋体"/>
                <w:sz w:val="24"/>
                <w:szCs w:val="24"/>
              </w:rPr>
              <w:t>基础理论的意义与应用</w:t>
            </w:r>
          </w:p>
        </w:tc>
        <w:tc>
          <w:tcPr>
            <w:tcW w:w="1555" w:type="dxa"/>
            <w:vAlign w:val="center"/>
          </w:tcPr>
          <w:p w14:paraId="2ECFAB93">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4C9F9DE5">
            <w:pPr>
              <w:rPr>
                <w:rFonts w:ascii="宋体" w:hAnsi="宋体" w:eastAsia="宋体"/>
                <w:sz w:val="24"/>
                <w:szCs w:val="24"/>
              </w:rPr>
            </w:pPr>
          </w:p>
        </w:tc>
      </w:tr>
      <w:tr w14:paraId="7EA78F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027907">
            <w:pPr>
              <w:rPr>
                <w:rFonts w:ascii="宋体" w:hAnsi="宋体" w:eastAsia="宋体"/>
                <w:sz w:val="24"/>
                <w:szCs w:val="24"/>
              </w:rPr>
            </w:pPr>
            <w:r>
              <w:rPr>
                <w:rFonts w:hint="eastAsia" w:ascii="宋体" w:hAnsi="宋体" w:eastAsia="宋体"/>
                <w:sz w:val="24"/>
                <w:szCs w:val="24"/>
              </w:rPr>
              <w:t>第二章：从信息鸿沟到数字鸿沟</w:t>
            </w:r>
          </w:p>
          <w:p w14:paraId="36F7FE58">
            <w:pPr>
              <w:rPr>
                <w:rFonts w:ascii="宋体" w:hAnsi="宋体" w:eastAsia="宋体"/>
                <w:sz w:val="24"/>
                <w:szCs w:val="24"/>
              </w:rPr>
            </w:pPr>
            <w:r>
              <w:rPr>
                <w:rFonts w:hint="eastAsia" w:ascii="宋体" w:hAnsi="宋体" w:eastAsia="宋体"/>
                <w:sz w:val="24"/>
                <w:szCs w:val="24"/>
              </w:rPr>
              <w:t>第一节：信息不平等</w:t>
            </w:r>
          </w:p>
          <w:p w14:paraId="1E70C1BD">
            <w:pPr>
              <w:rPr>
                <w:rFonts w:ascii="宋体" w:hAnsi="宋体" w:eastAsia="宋体"/>
                <w:sz w:val="24"/>
                <w:szCs w:val="24"/>
              </w:rPr>
            </w:pPr>
            <w:r>
              <w:rPr>
                <w:rFonts w:hint="eastAsia" w:ascii="宋体" w:hAnsi="宋体" w:eastAsia="宋体"/>
                <w:sz w:val="24"/>
                <w:szCs w:val="24"/>
              </w:rPr>
              <w:t>第二节：数字社会的兴起与数字鸿沟的形成</w:t>
            </w:r>
          </w:p>
          <w:p w14:paraId="1E5D8608">
            <w:pPr>
              <w:rPr>
                <w:rFonts w:ascii="宋体" w:hAnsi="宋体" w:eastAsia="宋体"/>
                <w:sz w:val="24"/>
                <w:szCs w:val="24"/>
              </w:rPr>
            </w:pPr>
            <w:r>
              <w:rPr>
                <w:rFonts w:hint="eastAsia" w:ascii="宋体" w:hAnsi="宋体" w:eastAsia="宋体"/>
                <w:sz w:val="24"/>
                <w:szCs w:val="24"/>
              </w:rPr>
              <w:t>第三节：数字鸿沟的相关研究</w:t>
            </w:r>
          </w:p>
        </w:tc>
        <w:tc>
          <w:tcPr>
            <w:tcW w:w="5096" w:type="dxa"/>
            <w:vAlign w:val="center"/>
          </w:tcPr>
          <w:p w14:paraId="4E8961C3">
            <w:pPr>
              <w:rPr>
                <w:rFonts w:ascii="宋体" w:hAnsi="宋体" w:eastAsia="宋体"/>
                <w:sz w:val="24"/>
                <w:szCs w:val="24"/>
              </w:rPr>
            </w:pPr>
            <w:r>
              <w:rPr>
                <w:rFonts w:hint="eastAsia" w:ascii="宋体" w:hAnsi="宋体" w:eastAsia="宋体"/>
                <w:sz w:val="24"/>
                <w:szCs w:val="24"/>
              </w:rPr>
              <w:t>1. 引导学生了解基础理论的意义与价值；</w:t>
            </w:r>
          </w:p>
          <w:p w14:paraId="4D06B80B">
            <w:pPr>
              <w:rPr>
                <w:rFonts w:ascii="宋体" w:hAnsi="宋体" w:eastAsia="宋体"/>
                <w:sz w:val="24"/>
                <w:szCs w:val="24"/>
              </w:rPr>
            </w:pPr>
            <w:r>
              <w:rPr>
                <w:rFonts w:hint="eastAsia" w:ascii="宋体" w:hAnsi="宋体" w:eastAsia="宋体"/>
                <w:sz w:val="24"/>
                <w:szCs w:val="24"/>
              </w:rPr>
              <w:t>2. 介绍信息不平等与数字鸿沟的基础理论，包括成因、层次、分级等。</w:t>
            </w:r>
          </w:p>
          <w:p w14:paraId="3D10C690">
            <w:pPr>
              <w:rPr>
                <w:rFonts w:ascii="宋体" w:hAnsi="宋体" w:eastAsia="宋体"/>
                <w:sz w:val="24"/>
                <w:szCs w:val="24"/>
              </w:rPr>
            </w:pPr>
            <w:r>
              <w:rPr>
                <w:rFonts w:hint="eastAsia" w:ascii="宋体" w:hAnsi="宋体" w:eastAsia="宋体"/>
                <w:sz w:val="24"/>
                <w:szCs w:val="24"/>
              </w:rPr>
              <w:t>3. 介绍数字社会的基础理论，包括数字化与信息化背景下的社会学、政治学、文化学理论演变等</w:t>
            </w:r>
          </w:p>
        </w:tc>
        <w:tc>
          <w:tcPr>
            <w:tcW w:w="5096" w:type="dxa"/>
            <w:vAlign w:val="center"/>
          </w:tcPr>
          <w:p w14:paraId="1ADA01E1">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AFBBBA5">
            <w:pPr>
              <w:rPr>
                <w:rFonts w:ascii="宋体" w:hAnsi="宋体" w:eastAsia="宋体"/>
                <w:sz w:val="24"/>
                <w:szCs w:val="24"/>
              </w:rPr>
            </w:pPr>
            <w:r>
              <w:rPr>
                <w:rFonts w:hint="eastAsia" w:ascii="宋体" w:hAnsi="宋体" w:eastAsia="宋体"/>
                <w:sz w:val="24"/>
                <w:szCs w:val="24"/>
              </w:rPr>
              <w:t>中华民族的伟大复兴与数字强国建设</w:t>
            </w:r>
          </w:p>
        </w:tc>
        <w:tc>
          <w:tcPr>
            <w:tcW w:w="5096" w:type="dxa"/>
            <w:vAlign w:val="center"/>
          </w:tcPr>
          <w:p w14:paraId="5B849718">
            <w:pPr>
              <w:rPr>
                <w:rFonts w:ascii="宋体" w:hAnsi="宋体" w:eastAsia="宋体"/>
                <w:sz w:val="24"/>
                <w:szCs w:val="24"/>
              </w:rPr>
            </w:pPr>
          </w:p>
        </w:tc>
        <w:tc>
          <w:tcPr>
            <w:tcW w:w="1555" w:type="dxa"/>
            <w:vAlign w:val="center"/>
          </w:tcPr>
          <w:p w14:paraId="0F1567F4">
            <w:pPr>
              <w:jc w:val="center"/>
              <w:rPr>
                <w:rFonts w:ascii="宋体" w:hAnsi="宋体" w:eastAsia="宋体"/>
                <w:sz w:val="24"/>
                <w:szCs w:val="24"/>
              </w:rPr>
            </w:pPr>
            <w:r>
              <w:rPr>
                <w:rFonts w:hint="eastAsia" w:ascii="宋体" w:hAnsi="宋体" w:eastAsia="宋体"/>
                <w:sz w:val="24"/>
                <w:szCs w:val="24"/>
              </w:rPr>
              <w:t>第3,4,5 周</w:t>
            </w:r>
          </w:p>
        </w:tc>
        <w:tc>
          <w:tcPr>
            <w:tcW w:w="5096" w:type="dxa"/>
            <w:vAlign w:val="center"/>
          </w:tcPr>
          <w:p w14:paraId="628FC92F">
            <w:pPr>
              <w:rPr>
                <w:rFonts w:ascii="宋体" w:hAnsi="宋体" w:eastAsia="宋体"/>
                <w:sz w:val="24"/>
                <w:szCs w:val="24"/>
              </w:rPr>
            </w:pPr>
          </w:p>
        </w:tc>
      </w:tr>
      <w:tr w14:paraId="4DD3FE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8D5D34D">
            <w:pPr>
              <w:rPr>
                <w:rFonts w:ascii="宋体" w:hAnsi="宋体" w:eastAsia="宋体"/>
                <w:sz w:val="24"/>
                <w:szCs w:val="24"/>
              </w:rPr>
            </w:pPr>
            <w:r>
              <w:rPr>
                <w:rFonts w:hint="eastAsia" w:ascii="宋体" w:hAnsi="宋体" w:eastAsia="宋体"/>
                <w:sz w:val="24"/>
                <w:szCs w:val="24"/>
              </w:rPr>
              <w:t>第三章：数字鸿沟的应对战略</w:t>
            </w:r>
          </w:p>
          <w:p w14:paraId="2E2C5B94">
            <w:pPr>
              <w:rPr>
                <w:rFonts w:ascii="宋体" w:hAnsi="宋体" w:eastAsia="宋体"/>
                <w:sz w:val="24"/>
                <w:szCs w:val="24"/>
              </w:rPr>
            </w:pPr>
            <w:r>
              <w:rPr>
                <w:rFonts w:hint="eastAsia" w:ascii="宋体" w:hAnsi="宋体" w:eastAsia="宋体"/>
                <w:sz w:val="24"/>
                <w:szCs w:val="24"/>
              </w:rPr>
              <w:t>第一节：世界范围内的应对策略</w:t>
            </w:r>
          </w:p>
          <w:p w14:paraId="0FE94CAE">
            <w:pPr>
              <w:rPr>
                <w:rFonts w:ascii="宋体" w:hAnsi="宋体" w:eastAsia="宋体"/>
                <w:sz w:val="24"/>
                <w:szCs w:val="24"/>
              </w:rPr>
            </w:pPr>
            <w:r>
              <w:rPr>
                <w:rFonts w:hint="eastAsia" w:ascii="宋体" w:hAnsi="宋体" w:eastAsia="宋体"/>
                <w:sz w:val="24"/>
                <w:szCs w:val="24"/>
              </w:rPr>
              <w:t>第二节：中国的国家数字化战略</w:t>
            </w:r>
          </w:p>
        </w:tc>
        <w:tc>
          <w:tcPr>
            <w:tcW w:w="5096" w:type="dxa"/>
            <w:vAlign w:val="center"/>
          </w:tcPr>
          <w:p w14:paraId="66FB5395">
            <w:pPr>
              <w:rPr>
                <w:rFonts w:ascii="宋体" w:hAnsi="宋体" w:eastAsia="宋体"/>
                <w:sz w:val="24"/>
                <w:szCs w:val="24"/>
              </w:rPr>
            </w:pPr>
            <w:r>
              <w:rPr>
                <w:rFonts w:hint="eastAsia" w:ascii="宋体" w:hAnsi="宋体" w:eastAsia="宋体"/>
                <w:sz w:val="24"/>
                <w:szCs w:val="24"/>
              </w:rPr>
              <w:t>1. 介绍和引入ICT4D 的概念。信息通信技术促进发展（ICT4D），即应用信息通信技术在国际发展的研究、训练及实践工作。</w:t>
            </w:r>
          </w:p>
          <w:p w14:paraId="048499D9">
            <w:pPr>
              <w:rPr>
                <w:rFonts w:ascii="宋体" w:hAnsi="宋体" w:eastAsia="宋体"/>
                <w:sz w:val="24"/>
                <w:szCs w:val="24"/>
              </w:rPr>
            </w:pPr>
            <w:r>
              <w:rPr>
                <w:rFonts w:hint="eastAsia" w:ascii="宋体" w:hAnsi="宋体" w:eastAsia="宋体"/>
                <w:sz w:val="24"/>
                <w:szCs w:val="24"/>
              </w:rPr>
              <w:t>2. 介绍在ICT4D语境下，政府相关部门、公共文化机构、社会组织的职能、分工和可行举措</w:t>
            </w:r>
          </w:p>
        </w:tc>
        <w:tc>
          <w:tcPr>
            <w:tcW w:w="5096" w:type="dxa"/>
            <w:vAlign w:val="center"/>
          </w:tcPr>
          <w:p w14:paraId="4169F6C6">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5B6AC40">
            <w:pPr>
              <w:rPr>
                <w:rFonts w:ascii="宋体" w:hAnsi="宋体" w:eastAsia="宋体"/>
                <w:sz w:val="24"/>
                <w:szCs w:val="24"/>
              </w:rPr>
            </w:pPr>
            <w:r>
              <w:rPr>
                <w:rFonts w:hint="eastAsia" w:ascii="宋体" w:hAnsi="宋体" w:eastAsia="宋体"/>
                <w:sz w:val="24"/>
                <w:szCs w:val="24"/>
              </w:rPr>
              <w:t>数字治理方面的中国方案与中国经验</w:t>
            </w:r>
          </w:p>
        </w:tc>
        <w:tc>
          <w:tcPr>
            <w:tcW w:w="5096" w:type="dxa"/>
            <w:vAlign w:val="center"/>
          </w:tcPr>
          <w:p w14:paraId="67D6E507">
            <w:pPr>
              <w:rPr>
                <w:rFonts w:ascii="宋体" w:hAnsi="宋体" w:eastAsia="宋体"/>
                <w:sz w:val="24"/>
                <w:szCs w:val="24"/>
              </w:rPr>
            </w:pPr>
          </w:p>
        </w:tc>
        <w:tc>
          <w:tcPr>
            <w:tcW w:w="1555" w:type="dxa"/>
            <w:vAlign w:val="center"/>
          </w:tcPr>
          <w:p w14:paraId="16197EAB">
            <w:pPr>
              <w:jc w:val="center"/>
              <w:rPr>
                <w:rFonts w:ascii="宋体" w:hAnsi="宋体" w:eastAsia="宋体"/>
                <w:sz w:val="24"/>
                <w:szCs w:val="24"/>
              </w:rPr>
            </w:pPr>
            <w:r>
              <w:rPr>
                <w:rFonts w:hint="eastAsia" w:ascii="宋体" w:hAnsi="宋体" w:eastAsia="宋体"/>
                <w:sz w:val="24"/>
                <w:szCs w:val="24"/>
              </w:rPr>
              <w:t>第6,7 周</w:t>
            </w:r>
          </w:p>
        </w:tc>
        <w:tc>
          <w:tcPr>
            <w:tcW w:w="5096" w:type="dxa"/>
            <w:vAlign w:val="center"/>
          </w:tcPr>
          <w:p w14:paraId="4E111B4B">
            <w:pPr>
              <w:rPr>
                <w:rFonts w:ascii="宋体" w:hAnsi="宋体" w:eastAsia="宋体"/>
                <w:sz w:val="24"/>
                <w:szCs w:val="24"/>
              </w:rPr>
            </w:pPr>
          </w:p>
        </w:tc>
      </w:tr>
      <w:tr w14:paraId="5B7C2F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1954B5">
            <w:pPr>
              <w:rPr>
                <w:rFonts w:ascii="宋体" w:hAnsi="宋体" w:eastAsia="宋体"/>
                <w:sz w:val="24"/>
                <w:szCs w:val="24"/>
              </w:rPr>
            </w:pPr>
            <w:r>
              <w:rPr>
                <w:rFonts w:hint="eastAsia" w:ascii="宋体" w:hAnsi="宋体" w:eastAsia="宋体"/>
                <w:sz w:val="24"/>
                <w:szCs w:val="24"/>
              </w:rPr>
              <w:t>第四章：从宏观到中微观：走近社区</w:t>
            </w:r>
          </w:p>
          <w:p w14:paraId="1EEAFC1D">
            <w:pPr>
              <w:rPr>
                <w:rFonts w:ascii="宋体" w:hAnsi="宋体" w:eastAsia="宋体"/>
                <w:sz w:val="24"/>
                <w:szCs w:val="24"/>
              </w:rPr>
            </w:pPr>
            <w:r>
              <w:rPr>
                <w:rFonts w:hint="eastAsia" w:ascii="宋体" w:hAnsi="宋体" w:eastAsia="宋体"/>
                <w:sz w:val="24"/>
                <w:szCs w:val="24"/>
              </w:rPr>
              <w:t>第一节：田野方法论与调查（一）</w:t>
            </w:r>
          </w:p>
          <w:p w14:paraId="5FC04F4C">
            <w:pPr>
              <w:rPr>
                <w:rFonts w:ascii="宋体" w:hAnsi="宋体" w:eastAsia="宋体"/>
                <w:sz w:val="24"/>
                <w:szCs w:val="24"/>
              </w:rPr>
            </w:pPr>
            <w:r>
              <w:rPr>
                <w:rFonts w:hint="eastAsia" w:ascii="宋体" w:hAnsi="宋体" w:eastAsia="宋体"/>
                <w:sz w:val="24"/>
                <w:szCs w:val="24"/>
              </w:rPr>
              <w:t>第二节：田野课程调查（二）</w:t>
            </w:r>
          </w:p>
          <w:p w14:paraId="5ED9022F">
            <w:pPr>
              <w:rPr>
                <w:rFonts w:ascii="宋体" w:hAnsi="宋体" w:eastAsia="宋体"/>
                <w:sz w:val="24"/>
                <w:szCs w:val="24"/>
              </w:rPr>
            </w:pPr>
            <w:r>
              <w:rPr>
                <w:rFonts w:hint="eastAsia" w:ascii="宋体" w:hAnsi="宋体" w:eastAsia="宋体"/>
                <w:sz w:val="24"/>
                <w:szCs w:val="24"/>
              </w:rPr>
              <w:t>第三节：田野调查（三）</w:t>
            </w:r>
          </w:p>
        </w:tc>
        <w:tc>
          <w:tcPr>
            <w:tcW w:w="5096" w:type="dxa"/>
            <w:vAlign w:val="center"/>
          </w:tcPr>
          <w:p w14:paraId="16E7AE4C">
            <w:pPr>
              <w:rPr>
                <w:rFonts w:ascii="宋体" w:hAnsi="宋体" w:eastAsia="宋体"/>
                <w:sz w:val="24"/>
                <w:szCs w:val="24"/>
              </w:rPr>
            </w:pPr>
            <w:r>
              <w:rPr>
                <w:rFonts w:hint="eastAsia" w:ascii="宋体" w:hAnsi="宋体" w:eastAsia="宋体"/>
                <w:sz w:val="24"/>
                <w:szCs w:val="24"/>
              </w:rPr>
              <w:t>1. 介绍信息、社群与社会研究中的相关方法，包括田野调查、深度访谈、行动研究等；</w:t>
            </w:r>
          </w:p>
          <w:p w14:paraId="1E15542D">
            <w:pPr>
              <w:rPr>
                <w:rFonts w:ascii="宋体" w:hAnsi="宋体" w:eastAsia="宋体"/>
                <w:sz w:val="24"/>
                <w:szCs w:val="24"/>
              </w:rPr>
            </w:pPr>
            <w:r>
              <w:rPr>
                <w:rFonts w:hint="eastAsia" w:ascii="宋体" w:hAnsi="宋体" w:eastAsia="宋体"/>
                <w:sz w:val="24"/>
                <w:szCs w:val="24"/>
              </w:rPr>
              <w:t>2. 采用分组的方式开展行动式田野研究项目，让学生参与社区研究工作，探索信息与技术赋能的路径。</w:t>
            </w:r>
          </w:p>
        </w:tc>
        <w:tc>
          <w:tcPr>
            <w:tcW w:w="5096" w:type="dxa"/>
            <w:vAlign w:val="center"/>
          </w:tcPr>
          <w:p w14:paraId="08AAA52D">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487AFC2A">
            <w:pPr>
              <w:rPr>
                <w:rFonts w:ascii="宋体" w:hAnsi="宋体" w:eastAsia="宋体"/>
                <w:sz w:val="24"/>
                <w:szCs w:val="24"/>
              </w:rPr>
            </w:pPr>
            <w:r>
              <w:rPr>
                <w:rFonts w:hint="eastAsia" w:ascii="宋体" w:hAnsi="宋体" w:eastAsia="宋体"/>
                <w:sz w:val="24"/>
                <w:szCs w:val="24"/>
              </w:rPr>
              <w:t>我党大兴调查研究之风的优良传统</w:t>
            </w:r>
          </w:p>
        </w:tc>
        <w:tc>
          <w:tcPr>
            <w:tcW w:w="5096" w:type="dxa"/>
            <w:vAlign w:val="center"/>
          </w:tcPr>
          <w:p w14:paraId="58C8A45D">
            <w:pPr>
              <w:rPr>
                <w:rFonts w:ascii="宋体" w:hAnsi="宋体" w:eastAsia="宋体"/>
                <w:sz w:val="24"/>
                <w:szCs w:val="24"/>
              </w:rPr>
            </w:pPr>
            <w:r>
              <w:rPr>
                <w:rFonts w:hint="eastAsia" w:ascii="宋体" w:hAnsi="宋体" w:eastAsia="宋体"/>
                <w:sz w:val="24"/>
                <w:szCs w:val="24"/>
              </w:rPr>
              <w:t>1.理解田野调查的实践</w:t>
            </w:r>
          </w:p>
          <w:p w14:paraId="6BF49DBA">
            <w:pPr>
              <w:rPr>
                <w:rFonts w:ascii="宋体" w:hAnsi="宋体" w:eastAsia="宋体"/>
                <w:sz w:val="24"/>
                <w:szCs w:val="24"/>
              </w:rPr>
            </w:pPr>
            <w:r>
              <w:rPr>
                <w:rFonts w:hint="eastAsia" w:ascii="宋体" w:hAnsi="宋体" w:eastAsia="宋体"/>
                <w:sz w:val="24"/>
                <w:szCs w:val="24"/>
              </w:rPr>
              <w:t>2. 实地研究的开展</w:t>
            </w:r>
          </w:p>
        </w:tc>
        <w:tc>
          <w:tcPr>
            <w:tcW w:w="1555" w:type="dxa"/>
            <w:vAlign w:val="center"/>
          </w:tcPr>
          <w:p w14:paraId="1FA5DF1F">
            <w:pPr>
              <w:jc w:val="center"/>
              <w:rPr>
                <w:rFonts w:ascii="宋体" w:hAnsi="宋体" w:eastAsia="宋体"/>
                <w:sz w:val="24"/>
                <w:szCs w:val="24"/>
              </w:rPr>
            </w:pPr>
            <w:r>
              <w:rPr>
                <w:rFonts w:hint="eastAsia" w:ascii="宋体" w:hAnsi="宋体" w:eastAsia="宋体"/>
                <w:sz w:val="24"/>
                <w:szCs w:val="24"/>
              </w:rPr>
              <w:t>第10,8,9 周</w:t>
            </w:r>
          </w:p>
        </w:tc>
        <w:tc>
          <w:tcPr>
            <w:tcW w:w="5096" w:type="dxa"/>
            <w:vAlign w:val="center"/>
          </w:tcPr>
          <w:p w14:paraId="674FA918">
            <w:pPr>
              <w:rPr>
                <w:rFonts w:ascii="宋体" w:hAnsi="宋体" w:eastAsia="宋体"/>
                <w:sz w:val="24"/>
                <w:szCs w:val="24"/>
              </w:rPr>
            </w:pPr>
          </w:p>
        </w:tc>
      </w:tr>
      <w:tr w14:paraId="77F03D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120E597">
            <w:pPr>
              <w:rPr>
                <w:rFonts w:ascii="宋体" w:hAnsi="宋体" w:eastAsia="宋体"/>
                <w:sz w:val="24"/>
                <w:szCs w:val="24"/>
              </w:rPr>
            </w:pPr>
            <w:r>
              <w:rPr>
                <w:rFonts w:hint="eastAsia" w:ascii="宋体" w:hAnsi="宋体" w:eastAsia="宋体"/>
                <w:sz w:val="24"/>
                <w:szCs w:val="24"/>
              </w:rPr>
              <w:t>第五章：理解社区和改变社区</w:t>
            </w:r>
          </w:p>
          <w:p w14:paraId="33E866D4">
            <w:pPr>
              <w:rPr>
                <w:rFonts w:ascii="宋体" w:hAnsi="宋体" w:eastAsia="宋体"/>
                <w:sz w:val="24"/>
                <w:szCs w:val="24"/>
              </w:rPr>
            </w:pPr>
            <w:r>
              <w:rPr>
                <w:rFonts w:hint="eastAsia" w:ascii="宋体" w:hAnsi="宋体" w:eastAsia="宋体"/>
                <w:sz w:val="24"/>
                <w:szCs w:val="24"/>
              </w:rPr>
              <w:t>第一节：社区研究与社群研究</w:t>
            </w:r>
          </w:p>
          <w:p w14:paraId="33C1C5B7">
            <w:pPr>
              <w:rPr>
                <w:rFonts w:ascii="宋体" w:hAnsi="宋体" w:eastAsia="宋体"/>
                <w:sz w:val="24"/>
                <w:szCs w:val="24"/>
              </w:rPr>
            </w:pPr>
            <w:r>
              <w:rPr>
                <w:rFonts w:hint="eastAsia" w:ascii="宋体" w:hAnsi="宋体" w:eastAsia="宋体"/>
                <w:sz w:val="24"/>
                <w:szCs w:val="24"/>
              </w:rPr>
              <w:t>第二节：社群信息学</w:t>
            </w:r>
          </w:p>
          <w:p w14:paraId="4611C55A">
            <w:pPr>
              <w:rPr>
                <w:rFonts w:ascii="宋体" w:hAnsi="宋体" w:eastAsia="宋体"/>
                <w:sz w:val="24"/>
                <w:szCs w:val="24"/>
              </w:rPr>
            </w:pPr>
            <w:r>
              <w:rPr>
                <w:rFonts w:hint="eastAsia" w:ascii="宋体" w:hAnsi="宋体" w:eastAsia="宋体"/>
                <w:sz w:val="24"/>
                <w:szCs w:val="24"/>
              </w:rPr>
              <w:t>第三节：关于“信息”与“附近”的理论与实践</w:t>
            </w:r>
          </w:p>
        </w:tc>
        <w:tc>
          <w:tcPr>
            <w:tcW w:w="5096" w:type="dxa"/>
            <w:vAlign w:val="center"/>
          </w:tcPr>
          <w:p w14:paraId="2CB079C1">
            <w:pPr>
              <w:rPr>
                <w:rFonts w:ascii="宋体" w:hAnsi="宋体" w:eastAsia="宋体"/>
                <w:sz w:val="24"/>
                <w:szCs w:val="24"/>
              </w:rPr>
            </w:pPr>
            <w:r>
              <w:rPr>
                <w:rFonts w:hint="eastAsia" w:ascii="宋体" w:hAnsi="宋体" w:eastAsia="宋体"/>
                <w:sz w:val="24"/>
                <w:szCs w:val="24"/>
              </w:rPr>
              <w:t>1. 介绍社群赋能的基础理论，包括技术赋能、文化赋能、信息赋能等。</w:t>
            </w:r>
          </w:p>
          <w:p w14:paraId="5EB62A79">
            <w:pPr>
              <w:rPr>
                <w:rFonts w:ascii="宋体" w:hAnsi="宋体" w:eastAsia="宋体"/>
                <w:sz w:val="24"/>
                <w:szCs w:val="24"/>
              </w:rPr>
            </w:pPr>
            <w:r>
              <w:rPr>
                <w:rFonts w:hint="eastAsia" w:ascii="宋体" w:hAnsi="宋体" w:eastAsia="宋体"/>
                <w:sz w:val="24"/>
                <w:szCs w:val="24"/>
              </w:rPr>
              <w:t>2. 引导学生了解相关方法的具体应用和案例</w:t>
            </w:r>
          </w:p>
          <w:p w14:paraId="05221C73">
            <w:pPr>
              <w:rPr>
                <w:rFonts w:ascii="宋体" w:hAnsi="宋体" w:eastAsia="宋体"/>
                <w:sz w:val="24"/>
                <w:szCs w:val="24"/>
              </w:rPr>
            </w:pPr>
            <w:r>
              <w:rPr>
                <w:rFonts w:hint="eastAsia" w:ascii="宋体" w:hAnsi="宋体" w:eastAsia="宋体"/>
                <w:sz w:val="24"/>
                <w:szCs w:val="24"/>
              </w:rPr>
              <w:t>3. 介绍和讨论关于社群信息学的相关研究</w:t>
            </w:r>
          </w:p>
          <w:p w14:paraId="57FADCBA">
            <w:pPr>
              <w:rPr>
                <w:rFonts w:ascii="宋体" w:hAnsi="宋体" w:eastAsia="宋体"/>
                <w:sz w:val="24"/>
                <w:szCs w:val="24"/>
              </w:rPr>
            </w:pPr>
          </w:p>
        </w:tc>
        <w:tc>
          <w:tcPr>
            <w:tcW w:w="5096" w:type="dxa"/>
            <w:vAlign w:val="center"/>
          </w:tcPr>
          <w:p w14:paraId="23D5C9E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50BF6BD3">
            <w:pPr>
              <w:rPr>
                <w:rFonts w:ascii="宋体" w:hAnsi="宋体" w:eastAsia="宋体"/>
                <w:sz w:val="24"/>
                <w:szCs w:val="24"/>
              </w:rPr>
            </w:pPr>
            <w:r>
              <w:rPr>
                <w:rFonts w:hint="eastAsia" w:ascii="宋体" w:hAnsi="宋体" w:eastAsia="宋体"/>
                <w:sz w:val="24"/>
                <w:szCs w:val="24"/>
              </w:rPr>
              <w:t>数字治理方面的中国方案与中国经验</w:t>
            </w:r>
          </w:p>
        </w:tc>
        <w:tc>
          <w:tcPr>
            <w:tcW w:w="5096" w:type="dxa"/>
            <w:vAlign w:val="center"/>
          </w:tcPr>
          <w:p w14:paraId="34E05761">
            <w:pPr>
              <w:rPr>
                <w:rFonts w:ascii="宋体" w:hAnsi="宋体" w:eastAsia="宋体"/>
                <w:sz w:val="24"/>
                <w:szCs w:val="24"/>
              </w:rPr>
            </w:pPr>
          </w:p>
        </w:tc>
        <w:tc>
          <w:tcPr>
            <w:tcW w:w="1555" w:type="dxa"/>
            <w:vAlign w:val="center"/>
          </w:tcPr>
          <w:p w14:paraId="223306BB">
            <w:pPr>
              <w:jc w:val="center"/>
              <w:rPr>
                <w:rFonts w:ascii="宋体" w:hAnsi="宋体" w:eastAsia="宋体"/>
                <w:sz w:val="24"/>
                <w:szCs w:val="24"/>
              </w:rPr>
            </w:pPr>
            <w:r>
              <w:rPr>
                <w:rFonts w:hint="eastAsia" w:ascii="宋体" w:hAnsi="宋体" w:eastAsia="宋体"/>
                <w:sz w:val="24"/>
                <w:szCs w:val="24"/>
              </w:rPr>
              <w:t>第11,12,13 周</w:t>
            </w:r>
          </w:p>
        </w:tc>
        <w:tc>
          <w:tcPr>
            <w:tcW w:w="5096" w:type="dxa"/>
            <w:vAlign w:val="center"/>
          </w:tcPr>
          <w:p w14:paraId="1FEFF850">
            <w:pPr>
              <w:rPr>
                <w:rFonts w:ascii="宋体" w:hAnsi="宋体" w:eastAsia="宋体"/>
                <w:sz w:val="24"/>
                <w:szCs w:val="24"/>
              </w:rPr>
            </w:pPr>
          </w:p>
        </w:tc>
      </w:tr>
      <w:tr w14:paraId="5B7FFE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20C3F2B">
            <w:pPr>
              <w:rPr>
                <w:rFonts w:ascii="宋体" w:hAnsi="宋体" w:eastAsia="宋体"/>
                <w:sz w:val="24"/>
                <w:szCs w:val="24"/>
              </w:rPr>
            </w:pPr>
            <w:r>
              <w:rPr>
                <w:rFonts w:hint="eastAsia" w:ascii="宋体" w:hAnsi="宋体" w:eastAsia="宋体"/>
                <w:sz w:val="24"/>
                <w:szCs w:val="24"/>
              </w:rPr>
              <w:t>第六章：行动中的社群信息学</w:t>
            </w:r>
          </w:p>
          <w:p w14:paraId="41F9E0C3">
            <w:pPr>
              <w:rPr>
                <w:rFonts w:ascii="宋体" w:hAnsi="宋体" w:eastAsia="宋体"/>
                <w:sz w:val="24"/>
                <w:szCs w:val="24"/>
              </w:rPr>
            </w:pPr>
            <w:r>
              <w:rPr>
                <w:rFonts w:hint="eastAsia" w:ascii="宋体" w:hAnsi="宋体" w:eastAsia="宋体"/>
                <w:sz w:val="24"/>
                <w:szCs w:val="24"/>
              </w:rPr>
              <w:t>第一节：走进课堂的口述历史</w:t>
            </w:r>
          </w:p>
          <w:p w14:paraId="45232CA1">
            <w:pPr>
              <w:rPr>
                <w:rFonts w:ascii="宋体" w:hAnsi="宋体" w:eastAsia="宋体"/>
                <w:sz w:val="24"/>
                <w:szCs w:val="24"/>
              </w:rPr>
            </w:pPr>
            <w:r>
              <w:rPr>
                <w:rFonts w:hint="eastAsia" w:ascii="宋体" w:hAnsi="宋体" w:eastAsia="宋体"/>
                <w:sz w:val="24"/>
                <w:szCs w:val="24"/>
              </w:rPr>
              <w:t>第二节：探索采用信息研究的方式来进行改变社区</w:t>
            </w:r>
          </w:p>
        </w:tc>
        <w:tc>
          <w:tcPr>
            <w:tcW w:w="5096" w:type="dxa"/>
            <w:vAlign w:val="center"/>
          </w:tcPr>
          <w:p w14:paraId="3214F4A5">
            <w:pPr>
              <w:rPr>
                <w:rFonts w:ascii="宋体" w:hAnsi="宋体" w:eastAsia="宋体"/>
                <w:sz w:val="24"/>
                <w:szCs w:val="24"/>
              </w:rPr>
            </w:pPr>
            <w:r>
              <w:rPr>
                <w:rFonts w:hint="eastAsia" w:ascii="宋体" w:hAnsi="宋体" w:eastAsia="宋体"/>
                <w:sz w:val="24"/>
                <w:szCs w:val="24"/>
              </w:rPr>
              <w:t>1. 引导学生了解和走近口述历史</w:t>
            </w:r>
          </w:p>
          <w:p w14:paraId="11B92460">
            <w:pPr>
              <w:rPr>
                <w:rFonts w:ascii="宋体" w:hAnsi="宋体" w:eastAsia="宋体"/>
                <w:sz w:val="24"/>
                <w:szCs w:val="24"/>
              </w:rPr>
            </w:pPr>
            <w:r>
              <w:rPr>
                <w:rFonts w:hint="eastAsia" w:ascii="宋体" w:hAnsi="宋体" w:eastAsia="宋体"/>
                <w:sz w:val="24"/>
                <w:szCs w:val="24"/>
              </w:rPr>
              <w:t>2. 反思田野调查中的实践素材和资源</w:t>
            </w:r>
          </w:p>
        </w:tc>
        <w:tc>
          <w:tcPr>
            <w:tcW w:w="5096" w:type="dxa"/>
            <w:vAlign w:val="center"/>
          </w:tcPr>
          <w:p w14:paraId="4DF3871A">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266EE09A">
            <w:pPr>
              <w:rPr>
                <w:rFonts w:ascii="宋体" w:hAnsi="宋体" w:eastAsia="宋体"/>
                <w:sz w:val="24"/>
                <w:szCs w:val="24"/>
              </w:rPr>
            </w:pPr>
            <w:r>
              <w:rPr>
                <w:rFonts w:hint="eastAsia" w:ascii="宋体" w:hAnsi="宋体" w:eastAsia="宋体"/>
                <w:sz w:val="24"/>
                <w:szCs w:val="24"/>
              </w:rPr>
              <w:t>我党大兴调查研究之风的优良传统</w:t>
            </w:r>
          </w:p>
        </w:tc>
        <w:tc>
          <w:tcPr>
            <w:tcW w:w="5096" w:type="dxa"/>
            <w:vAlign w:val="center"/>
          </w:tcPr>
          <w:p w14:paraId="707079DA">
            <w:pPr>
              <w:rPr>
                <w:rFonts w:ascii="宋体" w:hAnsi="宋体" w:eastAsia="宋体"/>
                <w:sz w:val="24"/>
                <w:szCs w:val="24"/>
              </w:rPr>
            </w:pPr>
          </w:p>
        </w:tc>
        <w:tc>
          <w:tcPr>
            <w:tcW w:w="1555" w:type="dxa"/>
            <w:vAlign w:val="center"/>
          </w:tcPr>
          <w:p w14:paraId="77E9E0EE">
            <w:pPr>
              <w:jc w:val="center"/>
              <w:rPr>
                <w:rFonts w:ascii="宋体" w:hAnsi="宋体" w:eastAsia="宋体"/>
                <w:sz w:val="24"/>
                <w:szCs w:val="24"/>
              </w:rPr>
            </w:pPr>
            <w:r>
              <w:rPr>
                <w:rFonts w:hint="eastAsia" w:ascii="宋体" w:hAnsi="宋体" w:eastAsia="宋体"/>
                <w:sz w:val="24"/>
                <w:szCs w:val="24"/>
              </w:rPr>
              <w:t>第14,15,16 周</w:t>
            </w:r>
          </w:p>
        </w:tc>
        <w:tc>
          <w:tcPr>
            <w:tcW w:w="5096" w:type="dxa"/>
            <w:vAlign w:val="center"/>
          </w:tcPr>
          <w:p w14:paraId="40D9AA29">
            <w:pPr>
              <w:rPr>
                <w:rFonts w:ascii="宋体" w:hAnsi="宋体" w:eastAsia="宋体"/>
                <w:sz w:val="24"/>
                <w:szCs w:val="24"/>
              </w:rPr>
            </w:pPr>
          </w:p>
        </w:tc>
      </w:tr>
      <w:tr w14:paraId="34DC2E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9CA056">
            <w:pPr>
              <w:rPr>
                <w:rFonts w:ascii="宋体" w:hAnsi="宋体" w:eastAsia="宋体"/>
                <w:sz w:val="24"/>
                <w:szCs w:val="24"/>
              </w:rPr>
            </w:pPr>
            <w:r>
              <w:rPr>
                <w:rFonts w:hint="eastAsia" w:ascii="宋体" w:hAnsi="宋体" w:eastAsia="宋体"/>
                <w:sz w:val="24"/>
                <w:szCs w:val="24"/>
              </w:rPr>
              <w:t>期末复习与考查</w:t>
            </w:r>
          </w:p>
        </w:tc>
        <w:tc>
          <w:tcPr>
            <w:tcW w:w="5096" w:type="dxa"/>
            <w:vAlign w:val="center"/>
          </w:tcPr>
          <w:p w14:paraId="203D6618">
            <w:pPr>
              <w:rPr>
                <w:rFonts w:ascii="宋体" w:hAnsi="宋体" w:eastAsia="宋体"/>
                <w:sz w:val="24"/>
                <w:szCs w:val="24"/>
              </w:rPr>
            </w:pPr>
            <w:r>
              <w:rPr>
                <w:rFonts w:hint="eastAsia" w:ascii="宋体" w:hAnsi="宋体" w:eastAsia="宋体"/>
                <w:sz w:val="24"/>
                <w:szCs w:val="24"/>
              </w:rPr>
              <w:t>期末复习与考查</w:t>
            </w:r>
          </w:p>
        </w:tc>
        <w:tc>
          <w:tcPr>
            <w:tcW w:w="5096" w:type="dxa"/>
            <w:vAlign w:val="center"/>
          </w:tcPr>
          <w:p w14:paraId="3190ACA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75CC14B">
            <w:pPr>
              <w:rPr>
                <w:rFonts w:ascii="宋体" w:hAnsi="宋体" w:eastAsia="宋体"/>
                <w:sz w:val="24"/>
                <w:szCs w:val="24"/>
              </w:rPr>
            </w:pPr>
          </w:p>
        </w:tc>
        <w:tc>
          <w:tcPr>
            <w:tcW w:w="5096" w:type="dxa"/>
            <w:vAlign w:val="center"/>
          </w:tcPr>
          <w:p w14:paraId="2DB5657C">
            <w:pPr>
              <w:rPr>
                <w:rFonts w:ascii="宋体" w:hAnsi="宋体" w:eastAsia="宋体"/>
                <w:sz w:val="24"/>
                <w:szCs w:val="24"/>
              </w:rPr>
            </w:pPr>
          </w:p>
        </w:tc>
        <w:tc>
          <w:tcPr>
            <w:tcW w:w="1555" w:type="dxa"/>
            <w:vAlign w:val="center"/>
          </w:tcPr>
          <w:p w14:paraId="5BA7684F">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076C0CFC">
            <w:pPr>
              <w:rPr>
                <w:rFonts w:ascii="宋体" w:hAnsi="宋体" w:eastAsia="宋体"/>
                <w:sz w:val="24"/>
                <w:szCs w:val="24"/>
              </w:rPr>
            </w:pPr>
          </w:p>
        </w:tc>
      </w:tr>
    </w:tbl>
    <w:p w14:paraId="2D6F9B87">
      <w:pPr>
        <w:spacing w:line="480" w:lineRule="exact"/>
        <w:ind w:firstLine="360" w:firstLineChars="150"/>
        <w:rPr>
          <w:rFonts w:hint="eastAsia"/>
          <w:sz w:val="24"/>
        </w:rPr>
      </w:pPr>
      <w:r>
        <w:rPr>
          <w:sz w:val="24"/>
        </w:rPr>
        <w:t>合计:34</w:t>
      </w:r>
    </w:p>
    <w:p w14:paraId="2D927015">
      <w:pPr>
        <w:spacing w:line="480" w:lineRule="exact"/>
        <w:rPr>
          <w:sz w:val="24"/>
        </w:rPr>
      </w:pPr>
    </w:p>
    <w:p w14:paraId="706EA79B">
      <w:pPr>
        <w:spacing w:line="480" w:lineRule="exact"/>
        <w:rPr>
          <w:rFonts w:hint="eastAsia"/>
          <w:sz w:val="24"/>
        </w:rPr>
      </w:pPr>
    </w:p>
    <w:p w14:paraId="0885D14B">
      <w:pPr>
        <w:spacing w:line="480" w:lineRule="exact"/>
        <w:ind w:firstLine="480" w:firstLineChars="200"/>
        <w:rPr>
          <w:sz w:val="24"/>
        </w:rPr>
      </w:pPr>
      <w:r>
        <w:rPr>
          <w:sz w:val="24"/>
        </w:rPr>
        <w:t>（二）</w:t>
      </w:r>
      <w:r>
        <w:rPr>
          <w:b/>
          <w:sz w:val="24"/>
        </w:rPr>
        <w:t>教学环节安排</w:t>
      </w:r>
    </w:p>
    <w:p w14:paraId="6568F069">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11E3F9A">
      <w:pPr>
        <w:spacing w:line="480" w:lineRule="exact"/>
        <w:ind w:firstLine="360" w:firstLineChars="150"/>
        <w:rPr>
          <w:rFonts w:hint="eastAsia"/>
          <w:sz w:val="24"/>
        </w:rPr>
      </w:pPr>
      <w:r>
        <w:rPr>
          <w:sz w:val="24"/>
        </w:rPr>
        <w:t>主要分为理论和实践两大环节进行，其中理论包括第一章、第二章、第三章、第五章内容，介绍信息社群与社会的相关学术议题；实践方面主要为第四章和第六章内容，学生采用分组的方式开展行动式田野研究项目和口述历史研究工作，让学生参与社区信息建设工作，探索技术赋能的路径，并进行课程汇报工作。</w:t>
      </w:r>
    </w:p>
    <w:p w14:paraId="6A5CC43D">
      <w:pPr>
        <w:spacing w:line="480" w:lineRule="exact"/>
        <w:rPr>
          <w:sz w:val="24"/>
        </w:rPr>
      </w:pPr>
    </w:p>
    <w:p w14:paraId="001C7F94">
      <w:pPr>
        <w:spacing w:line="480" w:lineRule="exact"/>
        <w:ind w:firstLine="480" w:firstLineChars="200"/>
        <w:rPr>
          <w:rFonts w:hint="eastAsia"/>
          <w:sz w:val="24"/>
        </w:rPr>
      </w:pPr>
      <w:r>
        <w:rPr>
          <w:sz w:val="24"/>
        </w:rPr>
        <w:t>（三）</w:t>
      </w:r>
      <w:r>
        <w:rPr>
          <w:b/>
          <w:sz w:val="24"/>
        </w:rPr>
        <w:t>教学方法</w:t>
      </w:r>
    </w:p>
    <w:p w14:paraId="34E7C2C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55989CE">
      <w:pPr>
        <w:spacing w:line="480" w:lineRule="exact"/>
        <w:ind w:firstLine="360" w:firstLineChars="150"/>
        <w:rPr>
          <w:rFonts w:hint="eastAsia"/>
          <w:sz w:val="24"/>
        </w:rPr>
      </w:pPr>
      <w:r>
        <w:rPr>
          <w:sz w:val="24"/>
        </w:rPr>
        <w:t>1. 课堂讲授：主要将对信息社群与社会的主要概念、重要理论、机构特质、研究方法等进行讲授。</w:t>
      </w:r>
    </w:p>
    <w:p w14:paraId="06A3AEAB">
      <w:pPr>
        <w:spacing w:line="480" w:lineRule="exact"/>
        <w:ind w:firstLine="360" w:firstLineChars="150"/>
        <w:rPr>
          <w:rFonts w:hint="eastAsia"/>
          <w:sz w:val="24"/>
        </w:rPr>
      </w:pPr>
      <w:r>
        <w:rPr>
          <w:sz w:val="24"/>
        </w:rPr>
        <w:t>2. 课程实践：通过搜索资料，开展田野调查项目，让同学们在实践中了解社群赋能的核心要义和实际方法。</w:t>
      </w:r>
    </w:p>
    <w:p w14:paraId="1A478655">
      <w:pPr>
        <w:spacing w:line="480" w:lineRule="exact"/>
        <w:ind w:firstLine="360" w:firstLineChars="150"/>
        <w:rPr>
          <w:rFonts w:hint="eastAsia"/>
          <w:sz w:val="24"/>
        </w:rPr>
      </w:pPr>
      <w:r>
        <w:rPr>
          <w:sz w:val="24"/>
        </w:rPr>
        <w:t>3. 课堂交流：围绕相关调研，掌握相关的表达能力和书写能力。</w:t>
      </w:r>
    </w:p>
    <w:p w14:paraId="2A54D600">
      <w:pPr>
        <w:spacing w:line="480" w:lineRule="exact"/>
        <w:ind w:firstLine="360" w:firstLineChars="150"/>
        <w:rPr>
          <w:rFonts w:hint="eastAsia"/>
          <w:sz w:val="24"/>
        </w:rPr>
      </w:pPr>
      <w:r>
        <w:rPr>
          <w:sz w:val="24"/>
        </w:rPr>
        <w:t>4. 课堂讨论：围绕特定议题，穿插于不同的课程之中，展开相关的重要讨论和思考。</w:t>
      </w:r>
    </w:p>
    <w:p w14:paraId="14059C77">
      <w:pPr>
        <w:spacing w:line="480" w:lineRule="exact"/>
        <w:ind w:firstLine="360" w:firstLineChars="150"/>
        <w:rPr>
          <w:sz w:val="24"/>
        </w:rPr>
      </w:pPr>
    </w:p>
    <w:p w14:paraId="05D8ABE8">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4AD4FF6">
      <w:pPr>
        <w:spacing w:line="480" w:lineRule="exact"/>
        <w:ind w:firstLine="360" w:firstLineChars="150"/>
        <w:rPr>
          <w:sz w:val="24"/>
        </w:rPr>
      </w:pPr>
      <w:r>
        <w:rPr>
          <w:rFonts w:hint="eastAsia"/>
          <w:sz w:val="24"/>
        </w:rPr>
        <w:t>无</w:t>
      </w:r>
    </w:p>
    <w:p w14:paraId="65D8B9D2">
      <w:pPr>
        <w:spacing w:line="480" w:lineRule="exact"/>
        <w:ind w:firstLine="360" w:firstLineChars="150"/>
        <w:rPr>
          <w:sz w:val="24"/>
        </w:rPr>
      </w:pPr>
    </w:p>
    <w:p w14:paraId="72A22FA2">
      <w:pPr>
        <w:spacing w:line="480" w:lineRule="exact"/>
        <w:ind w:firstLine="480" w:firstLineChars="200"/>
        <w:rPr>
          <w:sz w:val="24"/>
        </w:rPr>
      </w:pPr>
      <w:r>
        <w:rPr>
          <w:sz w:val="24"/>
        </w:rPr>
        <w:t>（五）</w:t>
      </w:r>
      <w:r>
        <w:rPr>
          <w:b/>
          <w:sz w:val="24"/>
        </w:rPr>
        <w:t>主要参考书目</w:t>
      </w:r>
    </w:p>
    <w:p w14:paraId="43C18E05">
      <w:pPr>
        <w:spacing w:line="480" w:lineRule="exact"/>
        <w:ind w:firstLine="482" w:firstLineChars="200"/>
        <w:rPr>
          <w:sz w:val="24"/>
        </w:rPr>
      </w:pPr>
      <w:r>
        <w:rPr>
          <w:b/>
          <w:sz w:val="24"/>
        </w:rPr>
        <w:t>（推荐若干参考书，并注明书名、作者、出版社、版本、出版日期等，每个章节指定一定数量、明确的阅读资料）</w:t>
      </w:r>
    </w:p>
    <w:p w14:paraId="516B42B5">
      <w:pPr>
        <w:spacing w:line="480" w:lineRule="exact"/>
        <w:ind w:firstLine="360" w:firstLineChars="150"/>
        <w:rPr>
          <w:sz w:val="24"/>
        </w:rPr>
      </w:pPr>
      <w:r>
        <w:rPr>
          <w:rFonts w:hint="eastAsia"/>
          <w:sz w:val="24"/>
        </w:rPr>
        <w:t>闫慧.社群信息学:一个值得关注的新兴领域[J]. 图书情报工作,2010,54(4):53-55+99.</w:t>
      </w:r>
    </w:p>
    <w:p w14:paraId="2CB7E0DB">
      <w:pPr>
        <w:spacing w:line="480" w:lineRule="exact"/>
        <w:ind w:firstLine="360" w:firstLineChars="150"/>
        <w:rPr>
          <w:sz w:val="24"/>
        </w:rPr>
      </w:pPr>
      <w:r>
        <w:rPr>
          <w:rFonts w:hint="eastAsia"/>
          <w:sz w:val="24"/>
        </w:rPr>
        <w:t>李刚,孙建军,傅丽萍.促进社会包容——美国社群信息学研究述评[J]. 中国图书馆学报,2012,38(3):40-50.</w:t>
      </w:r>
    </w:p>
    <w:p w14:paraId="40C5F16C">
      <w:pPr>
        <w:spacing w:line="480" w:lineRule="exact"/>
        <w:ind w:firstLine="360" w:firstLineChars="150"/>
        <w:rPr>
          <w:sz w:val="24"/>
        </w:rPr>
      </w:pPr>
      <w:r>
        <w:rPr>
          <w:rFonts w:hint="eastAsia"/>
          <w:sz w:val="24"/>
        </w:rPr>
        <w:t>于良芝,于斌斌.保障中国农村社区ICT接入的自上而下路径——社群信息学的机遇[J]. 中国图书馆学报,2013,39(3):69-70.</w:t>
      </w:r>
    </w:p>
    <w:p w14:paraId="50873775">
      <w:pPr>
        <w:spacing w:line="480" w:lineRule="exact"/>
        <w:ind w:firstLine="360" w:firstLineChars="150"/>
        <w:rPr>
          <w:sz w:val="24"/>
        </w:rPr>
      </w:pPr>
      <w:r>
        <w:rPr>
          <w:rFonts w:hint="eastAsia"/>
          <w:sz w:val="24"/>
        </w:rPr>
        <w:t>李桂华.阅读社区研究:阅读推广视角的社群信息学研究实践[J]. 图书馆论坛,2017,37(7):33-40.</w:t>
      </w:r>
    </w:p>
    <w:p w14:paraId="0FE16857">
      <w:pPr>
        <w:spacing w:line="480" w:lineRule="exact"/>
        <w:ind w:firstLine="360" w:firstLineChars="150"/>
        <w:rPr>
          <w:sz w:val="24"/>
        </w:rPr>
      </w:pPr>
      <w:r>
        <w:rPr>
          <w:rFonts w:hint="eastAsia"/>
          <w:sz w:val="24"/>
        </w:rPr>
        <w:t>周文博,于良芝.LIS 的社区实践及其理论遗产——从社区图书馆到社群信息学的理论视角回顾[J]. 中国图书馆学报,2020,46(5):22-35.</w:t>
      </w:r>
    </w:p>
    <w:p w14:paraId="5E574451">
      <w:pPr>
        <w:spacing w:line="480" w:lineRule="exact"/>
        <w:ind w:firstLine="360" w:firstLineChars="150"/>
        <w:rPr>
          <w:sz w:val="24"/>
        </w:rPr>
      </w:pPr>
    </w:p>
    <w:p w14:paraId="3267C167">
      <w:pPr>
        <w:spacing w:line="480" w:lineRule="exact"/>
        <w:ind w:firstLine="480" w:firstLineChars="200"/>
        <w:rPr>
          <w:sz w:val="24"/>
        </w:rPr>
      </w:pPr>
      <w:r>
        <w:rPr>
          <w:sz w:val="24"/>
        </w:rPr>
        <w:t>（六）</w:t>
      </w:r>
      <w:r>
        <w:rPr>
          <w:b/>
          <w:sz w:val="24"/>
        </w:rPr>
        <w:t>成绩评定方式</w:t>
      </w:r>
    </w:p>
    <w:p w14:paraId="65F61D78">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6B44A2E6">
      <w:pPr>
        <w:spacing w:line="480" w:lineRule="exact"/>
        <w:ind w:firstLine="482" w:firstLineChars="200"/>
        <w:rPr>
          <w:sz w:val="24"/>
        </w:rPr>
      </w:pPr>
      <w:r>
        <w:rPr>
          <w:rFonts w:hint="eastAsia"/>
          <w:b/>
          <w:sz w:val="24"/>
        </w:rPr>
        <w:t>考 核 方 式：考查</w:t>
      </w:r>
    </w:p>
    <w:p w14:paraId="394DAA0F">
      <w:pPr>
        <w:spacing w:line="480" w:lineRule="exact"/>
        <w:ind w:firstLine="482" w:firstLineChars="200"/>
        <w:rPr>
          <w:sz w:val="24"/>
        </w:rPr>
      </w:pPr>
      <w:r>
        <w:rPr>
          <w:rFonts w:hint="eastAsia"/>
          <w:b/>
          <w:sz w:val="24"/>
        </w:rPr>
        <w:t>成绩录入方式： 百分制</w:t>
      </w:r>
    </w:p>
    <w:p w14:paraId="70B26BAF">
      <w:pPr>
        <w:spacing w:line="480" w:lineRule="exact"/>
        <w:ind w:firstLine="360" w:firstLineChars="150"/>
        <w:rPr>
          <w:sz w:val="24"/>
        </w:rPr>
      </w:pPr>
      <w:r>
        <w:rPr>
          <w:rFonts w:hint="eastAsia"/>
          <w:sz w:val="24"/>
        </w:rPr>
        <w:t>一、总成绩构成：平时考核占比60%，期末考核占比40%。</w:t>
      </w:r>
    </w:p>
    <w:p w14:paraId="171F353E">
      <w:pPr>
        <w:spacing w:line="480" w:lineRule="exact"/>
        <w:ind w:firstLine="360" w:firstLineChars="150"/>
        <w:rPr>
          <w:sz w:val="24"/>
        </w:rPr>
      </w:pPr>
      <w:r>
        <w:rPr>
          <w:rFonts w:hint="eastAsia"/>
          <w:sz w:val="24"/>
        </w:rPr>
        <w:t>二、期末考核说明：</w:t>
      </w:r>
    </w:p>
    <w:p w14:paraId="27153068">
      <w:pPr>
        <w:spacing w:line="480" w:lineRule="exact"/>
        <w:ind w:firstLine="360" w:firstLineChars="150"/>
        <w:rPr>
          <w:sz w:val="24"/>
        </w:rPr>
      </w:pPr>
      <w:r>
        <w:rPr>
          <w:rFonts w:hint="eastAsia"/>
          <w:sz w:val="24"/>
        </w:rPr>
        <w:t>期末考核采用考查，题目为“社群信息学的本土道路与思考”。考查内容为学生基于本学期全部章节的教学内容以及田野调查的经验，研究当代中国解决数字鸿沟、信息不平等，推动可持续发展与社区赋能方面的重要成就与伟大贡献，结合实际案例与研究数据，按照指定的论文格式撰写1篇论文。评分标准包括按时提交、内容编排、表达与规范。</w:t>
      </w:r>
    </w:p>
    <w:p w14:paraId="2D11A37D">
      <w:pPr>
        <w:spacing w:line="480" w:lineRule="exact"/>
        <w:ind w:firstLine="360" w:firstLineChars="150"/>
        <w:rPr>
          <w:sz w:val="24"/>
        </w:rPr>
      </w:pPr>
      <w:r>
        <w:rPr>
          <w:rFonts w:hint="eastAsia"/>
          <w:sz w:val="24"/>
        </w:rPr>
        <w:t>三、平时考核说明：</w:t>
      </w:r>
    </w:p>
    <w:p w14:paraId="6AC6D16C">
      <w:pPr>
        <w:spacing w:line="480" w:lineRule="exact"/>
        <w:ind w:firstLine="360" w:firstLineChars="150"/>
        <w:rPr>
          <w:sz w:val="24"/>
        </w:rPr>
      </w:pPr>
      <w:r>
        <w:rPr>
          <w:rFonts w:hint="eastAsia"/>
          <w:sz w:val="24"/>
        </w:rPr>
        <w:t>（1）课堂参与度与出勤情况（占平时成绩20%）。每学期考勤次数不少于3次，每次点名不到扣5分，无故旷课、迟到、早退等情况扣除当次考勤分数。请假须按照学校规定执行，须提前请假，不得由他人代请假；却因特殊情况未提前请假的，须事后1周内补齐请假手续，否则按旷课处理。</w:t>
      </w:r>
    </w:p>
    <w:p w14:paraId="06826EE4">
      <w:pPr>
        <w:spacing w:line="480" w:lineRule="exact"/>
        <w:ind w:firstLine="360" w:firstLineChars="150"/>
        <w:rPr>
          <w:sz w:val="24"/>
        </w:rPr>
      </w:pPr>
      <w:r>
        <w:rPr>
          <w:rFonts w:hint="eastAsia"/>
          <w:sz w:val="24"/>
        </w:rPr>
        <w:t>（2）田野调查搜集与汇报（占平时成绩40%）。根据教学进度，在8-10周安排学生们在合适时间前往特定社区开展田野调查，学生应该根据要求进行分组和选题工作，并在课堂上简要汇报选题和具体工作思路。主要考察学生对相关知识的理解和运用能力，由任课教师在课堂上现场给分。评分标准包括：调查结果的内涵与深度（占本项的30%）、前期准备与调查（占本项的40%）、口头汇报的情况（占本项的30%）。</w:t>
      </w:r>
    </w:p>
    <w:p w14:paraId="6CD5ECC3">
      <w:pPr>
        <w:spacing w:line="480" w:lineRule="exact"/>
        <w:ind w:firstLine="360" w:firstLineChars="150"/>
        <w:rPr>
          <w:sz w:val="24"/>
        </w:rPr>
      </w:pPr>
      <w:r>
        <w:rPr>
          <w:rFonts w:hint="eastAsia"/>
          <w:sz w:val="24"/>
        </w:rPr>
        <w:t>（3）口述历史与信息社会实践（占平时成绩30%）。在课堂由老师发布口述历史的任务，学生根据选题情况，开展针对特定社区和社群的口述历史访谈工作，并通过数字化的方式进行呈现。评分标准包括：学生对口述历史的理解和认识（占本项的30%），口述的完整性（占本项的20%），资料整理和提交情况（占本项的50%）。</w:t>
      </w:r>
    </w:p>
    <w:p w14:paraId="1DAFF211">
      <w:pPr>
        <w:spacing w:line="480" w:lineRule="exact"/>
        <w:ind w:firstLine="360" w:firstLineChars="150"/>
        <w:rPr>
          <w:sz w:val="24"/>
        </w:rPr>
      </w:pPr>
      <w:r>
        <w:rPr>
          <w:rFonts w:hint="eastAsia"/>
          <w:sz w:val="24"/>
        </w:rPr>
        <w:t>（4）田野调查实践的理论反思与汇报（占平时成绩10%）。在第17周和第18周课堂上进行关于田野调查与口述历史项目的现场交流。主要考察学生的表达和理论反思能力。评分标准包括：汇报的完整性（占本项的30%），流畅性（占本项的50%），反思深刻性（占本项的20%）。</w:t>
      </w:r>
    </w:p>
    <w:p w14:paraId="6271C7E7">
      <w:pPr>
        <w:spacing w:line="480" w:lineRule="exact"/>
        <w:rPr>
          <w:sz w:val="24"/>
        </w:rPr>
      </w:pPr>
    </w:p>
    <w:p w14:paraId="2805F3EE">
      <w:pPr>
        <w:spacing w:line="480" w:lineRule="exact"/>
        <w:rPr>
          <w:sz w:val="24"/>
        </w:rPr>
      </w:pPr>
    </w:p>
    <w:p w14:paraId="755ACB00">
      <w:pPr>
        <w:spacing w:line="480" w:lineRule="exact"/>
        <w:rPr>
          <w:sz w:val="24"/>
        </w:rPr>
      </w:pPr>
    </w:p>
    <w:p w14:paraId="22326991">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8E11A13"/>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7</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2026-04-12T06:25:27Z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A477A8A3461B488AA437CBCFDD0D9081_13</vt:lpwstr>
  </property>
</Properties>
</file>