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16F8A7">
      <w:pPr>
        <w:spacing w:line="480" w:lineRule="exact"/>
        <w:rPr>
          <w:sz w:val="24"/>
        </w:rPr>
      </w:pPr>
      <w:bookmarkStart w:id="0" w:name="_GoBack"/>
      <w:bookmarkEnd w:id="0"/>
    </w:p>
    <w:p w14:paraId="4B067C24">
      <w:pPr>
        <w:spacing w:line="1480" w:lineRule="exact"/>
        <w:jc w:val="center"/>
        <w:rPr>
          <w:rFonts w:eastAsia="楷体_GB2312"/>
          <w:b/>
          <w:bCs/>
          <w:spacing w:val="40"/>
          <w:sz w:val="72"/>
        </w:rPr>
      </w:pPr>
      <w:r>
        <w:rPr>
          <w:rFonts w:eastAsia="楷体_GB2312"/>
          <w:b/>
          <w:bCs/>
          <w:spacing w:val="40"/>
          <w:sz w:val="72"/>
        </w:rPr>
        <w:t>中山大学</w:t>
      </w:r>
    </w:p>
    <w:p w14:paraId="7ACE8C36">
      <w:pPr>
        <w:spacing w:before="312" w:beforeLines="100" w:line="640" w:lineRule="exact"/>
        <w:jc w:val="center"/>
        <w:rPr>
          <w:rFonts w:eastAsia="黑体"/>
          <w:sz w:val="56"/>
        </w:rPr>
      </w:pPr>
      <w:r>
        <w:rPr>
          <w:rFonts w:eastAsia="黑体"/>
          <w:sz w:val="56"/>
        </w:rPr>
        <w:t>本科</w:t>
      </w:r>
      <w:r>
        <w:rPr>
          <w:rFonts w:hint="eastAsia" w:eastAsia="黑体"/>
          <w:sz w:val="56"/>
        </w:rPr>
        <w:t>课程</w:t>
      </w:r>
      <w:r>
        <w:rPr>
          <w:rFonts w:eastAsia="黑体"/>
          <w:sz w:val="56"/>
        </w:rPr>
        <w:t>教学大纲</w:t>
      </w:r>
    </w:p>
    <w:p w14:paraId="0B807179">
      <w:pPr>
        <w:spacing w:line="1480" w:lineRule="exact"/>
        <w:jc w:val="center"/>
        <w:rPr>
          <w:sz w:val="52"/>
        </w:rPr>
      </w:pPr>
    </w:p>
    <w:p w14:paraId="6BB16825">
      <w:pPr>
        <w:spacing w:line="480" w:lineRule="exact"/>
        <w:ind w:firstLine="2127" w:firstLineChars="709"/>
        <w:rPr>
          <w:rFonts w:eastAsia="黑体"/>
          <w:sz w:val="30"/>
          <w:u w:val="single"/>
        </w:rPr>
      </w:pPr>
      <w:r>
        <w:rPr>
          <w:rFonts w:eastAsia="黑体"/>
          <w:sz w:val="30"/>
        </w:rPr>
        <w:t>学院（系）</w:t>
      </w:r>
      <w:r>
        <w:rPr>
          <w:rFonts w:hint="eastAsia" w:eastAsia="黑体"/>
          <w:sz w:val="30"/>
          <w:u w:val="single"/>
        </w:rPr>
        <w:t>信息管理学院</w:t>
      </w:r>
    </w:p>
    <w:p w14:paraId="2B084680">
      <w:pPr>
        <w:spacing w:line="480" w:lineRule="exact"/>
        <w:ind w:firstLine="2127" w:firstLineChars="709"/>
        <w:rPr>
          <w:rFonts w:eastAsia="黑体"/>
          <w:sz w:val="30"/>
          <w:u w:val="single"/>
        </w:rPr>
      </w:pPr>
    </w:p>
    <w:p w14:paraId="6596D743">
      <w:pPr>
        <w:spacing w:line="480" w:lineRule="exact"/>
        <w:ind w:firstLine="2127" w:firstLineChars="709"/>
        <w:rPr>
          <w:sz w:val="30"/>
          <w:u w:val="single"/>
        </w:rPr>
      </w:pPr>
      <w:r>
        <w:rPr>
          <w:rFonts w:eastAsia="黑体"/>
          <w:sz w:val="30"/>
        </w:rPr>
        <w:t>课程名称</w:t>
      </w:r>
      <w:r>
        <w:rPr>
          <w:rFonts w:eastAsia="黑体"/>
          <w:sz w:val="30"/>
          <w:u w:val="single"/>
        </w:rPr>
        <w:t xml:space="preserve"> 情报学概论</w:t>
      </w:r>
    </w:p>
    <w:p w14:paraId="1F9E495F">
      <w:pPr>
        <w:spacing w:line="900" w:lineRule="exact"/>
        <w:ind w:firstLine="3600" w:firstLineChars="1200"/>
        <w:rPr>
          <w:sz w:val="30"/>
        </w:rPr>
      </w:pPr>
    </w:p>
    <w:p w14:paraId="04C70AAC">
      <w:pPr>
        <w:spacing w:line="900" w:lineRule="exact"/>
        <w:jc w:val="center"/>
        <w:rPr>
          <w:rFonts w:eastAsia="仿宋_GB2312"/>
          <w:b/>
          <w:bCs/>
          <w:kern w:val="28"/>
          <w:sz w:val="32"/>
          <w:szCs w:val="32"/>
        </w:rPr>
      </w:pPr>
    </w:p>
    <w:p w14:paraId="1E128C97">
      <w:pPr>
        <w:spacing w:line="900" w:lineRule="exact"/>
        <w:jc w:val="center"/>
        <w:rPr>
          <w:rFonts w:eastAsia="仿宋_GB2312"/>
          <w:b/>
          <w:bCs/>
          <w:kern w:val="28"/>
          <w:sz w:val="32"/>
          <w:szCs w:val="32"/>
        </w:rPr>
      </w:pPr>
    </w:p>
    <w:p w14:paraId="649C088A">
      <w:pPr>
        <w:spacing w:line="900" w:lineRule="exact"/>
        <w:jc w:val="center"/>
        <w:rPr>
          <w:rFonts w:eastAsia="仿宋_GB2312"/>
          <w:b/>
          <w:bCs/>
          <w:kern w:val="28"/>
          <w:sz w:val="32"/>
          <w:szCs w:val="32"/>
        </w:rPr>
      </w:pPr>
    </w:p>
    <w:p w14:paraId="1CA69C39">
      <w:pPr>
        <w:spacing w:line="900" w:lineRule="exact"/>
        <w:jc w:val="center"/>
        <w:rPr>
          <w:rFonts w:eastAsia="仿宋_GB2312"/>
          <w:b/>
          <w:bCs/>
          <w:kern w:val="28"/>
          <w:sz w:val="32"/>
          <w:szCs w:val="32"/>
        </w:rPr>
      </w:pPr>
    </w:p>
    <w:p w14:paraId="5F84E098">
      <w:pPr>
        <w:spacing w:line="900" w:lineRule="exact"/>
        <w:jc w:val="center"/>
        <w:rPr>
          <w:rFonts w:ascii="仿宋_GB2312" w:hAnsi="仿宋_GB2312" w:eastAsia="仿宋_GB2312" w:cs="仿宋_GB2312"/>
          <w:b/>
          <w:bCs/>
          <w:kern w:val="28"/>
          <w:sz w:val="32"/>
          <w:szCs w:val="32"/>
        </w:rPr>
      </w:pPr>
      <w:r>
        <w:rPr>
          <w:rFonts w:eastAsia="仿宋_GB2312"/>
          <w:b/>
          <w:bCs/>
          <w:kern w:val="28"/>
          <w:sz w:val="32"/>
          <w:szCs w:val="32"/>
        </w:rPr>
        <w:t>二〇二五</w:t>
      </w:r>
    </w:p>
    <w:p w14:paraId="73640FF2">
      <w:pPr>
        <w:spacing w:line="900" w:lineRule="exact"/>
        <w:jc w:val="center"/>
        <w:rPr>
          <w:rFonts w:ascii="仿宋_GB2312" w:hAnsi="仿宋_GB2312" w:eastAsia="仿宋_GB2312" w:cs="仿宋_GB2312"/>
          <w:b/>
          <w:bCs/>
          <w:kern w:val="28"/>
          <w:sz w:val="32"/>
          <w:szCs w:val="32"/>
        </w:rPr>
      </w:pPr>
    </w:p>
    <w:p w14:paraId="444970FC">
      <w:pPr>
        <w:spacing w:line="900" w:lineRule="exact"/>
        <w:jc w:val="center"/>
        <w:rPr>
          <w:rFonts w:hint="eastAsia" w:ascii="仿宋_GB2312" w:hAnsi="仿宋_GB2312" w:eastAsia="仿宋_GB2312" w:cs="仿宋_GB2312"/>
          <w:b/>
          <w:bCs/>
          <w:kern w:val="28"/>
          <w:sz w:val="32"/>
          <w:szCs w:val="32"/>
        </w:rPr>
      </w:pPr>
    </w:p>
    <w:p w14:paraId="55908474">
      <w:pPr>
        <w:spacing w:line="900" w:lineRule="exact"/>
        <w:jc w:val="center"/>
        <w:rPr>
          <w:rFonts w:hint="eastAsia" w:eastAsia="仿宋_GB2312"/>
          <w:b/>
          <w:bCs/>
          <w:kern w:val="28"/>
          <w:sz w:val="32"/>
          <w:szCs w:val="32"/>
        </w:rPr>
      </w:pPr>
    </w:p>
    <w:p w14:paraId="1E1AB607">
      <w:pPr>
        <w:pStyle w:val="7"/>
        <w:spacing w:line="480" w:lineRule="exact"/>
        <w:rPr>
          <w:rFonts w:hint="eastAsia" w:ascii="Times New Roman" w:hAnsi="Times New Roman" w:eastAsia="黑体" w:cs="Times New Roman"/>
        </w:rPr>
      </w:pPr>
      <w:r>
        <w:rPr>
          <w:rFonts w:hint="eastAsia" w:ascii="宋体" w:hAnsi="宋体" w:cs="宋体"/>
          <w:bCs w:val="0"/>
        </w:rPr>
        <w:t>课程</w:t>
      </w:r>
      <w:r>
        <w:rPr>
          <w:rFonts w:ascii="Times New Roman" w:hAnsi="Times New Roman" w:eastAsia="黑体" w:cs="Times New Roman"/>
        </w:rPr>
        <w:t>教学大纲</w:t>
      </w:r>
    </w:p>
    <w:p w14:paraId="05E2E5D8">
      <w:pPr>
        <w:pStyle w:val="2"/>
        <w:spacing w:line="480" w:lineRule="exact"/>
        <w:ind w:firstLine="0" w:firstLineChars="0"/>
        <w:jc w:val="center"/>
        <w:rPr>
          <w:rFonts w:eastAsia="宋体"/>
          <w:sz w:val="24"/>
        </w:rPr>
      </w:pPr>
      <w:r>
        <w:rPr>
          <w:rFonts w:eastAsia="宋体"/>
          <w:sz w:val="24"/>
        </w:rPr>
        <w:t>（编写日期：2025年12月）</w:t>
      </w:r>
    </w:p>
    <w:p w14:paraId="2663DBDD">
      <w:pPr>
        <w:pStyle w:val="2"/>
        <w:spacing w:line="480" w:lineRule="exact"/>
        <w:ind w:firstLine="0" w:firstLineChars="0"/>
        <w:jc w:val="center"/>
        <w:rPr>
          <w:rFonts w:eastAsia="宋体"/>
          <w:sz w:val="24"/>
        </w:rPr>
      </w:pPr>
    </w:p>
    <w:p w14:paraId="2316984D">
      <w:pPr>
        <w:pStyle w:val="2"/>
        <w:spacing w:line="480" w:lineRule="exact"/>
        <w:ind w:firstLine="480"/>
        <w:rPr>
          <w:rFonts w:eastAsia="宋体"/>
          <w:sz w:val="21"/>
        </w:rPr>
      </w:pPr>
      <w:r>
        <w:rPr>
          <w:rFonts w:eastAsia="宋体"/>
          <w:sz w:val="24"/>
        </w:rPr>
        <w:t>一、课程基本信息</w:t>
      </w:r>
    </w:p>
    <w:tbl>
      <w:tblPr>
        <w:tblStyle w:val="8"/>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3"/>
        <w:gridCol w:w="1379"/>
        <w:gridCol w:w="1598"/>
        <w:gridCol w:w="1435"/>
        <w:gridCol w:w="1400"/>
        <w:gridCol w:w="1345"/>
      </w:tblGrid>
      <w:tr w14:paraId="78CFA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0" w:hRule="atLeast"/>
        </w:trPr>
        <w:tc>
          <w:tcPr>
            <w:tcW w:w="9000" w:type="dxa"/>
            <w:gridSpan w:val="6"/>
            <w:vAlign w:val="center"/>
          </w:tcPr>
          <w:p w14:paraId="454B1C05">
            <w:pPr>
              <w:pStyle w:val="2"/>
              <w:spacing w:line="480" w:lineRule="exact"/>
              <w:ind w:firstLine="0" w:firstLineChars="0"/>
              <w:jc w:val="center"/>
              <w:rPr>
                <w:rFonts w:eastAsia="宋体"/>
                <w:sz w:val="24"/>
              </w:rPr>
            </w:pPr>
          </w:p>
          <w:p w14:paraId="3B72E84E">
            <w:pPr>
              <w:pStyle w:val="2"/>
              <w:adjustRightInd w:val="0"/>
              <w:snapToGrid w:val="0"/>
              <w:ind w:firstLine="0" w:firstLineChars="0"/>
              <w:jc w:val="center"/>
              <w:rPr>
                <w:rFonts w:eastAsia="宋体"/>
                <w:sz w:val="24"/>
                <w:lang w:val="en-US" w:eastAsia="zh-CN"/>
              </w:rPr>
            </w:pPr>
            <w:r>
              <w:rPr>
                <w:rFonts w:eastAsia="宋体"/>
                <w:sz w:val="24"/>
                <w:lang w:val="en-US" w:eastAsia="zh-CN"/>
              </w:rPr>
              <w:t>情报学概论</w:t>
            </w:r>
          </w:p>
          <w:p w14:paraId="76E1337D">
            <w:pPr>
              <w:pStyle w:val="2"/>
              <w:adjustRightInd w:val="0"/>
              <w:snapToGrid w:val="0"/>
              <w:ind w:firstLine="0" w:firstLineChars="0"/>
              <w:jc w:val="center"/>
              <w:rPr>
                <w:rFonts w:eastAsia="宋体"/>
                <w:sz w:val="24"/>
                <w:lang w:val="en-US" w:eastAsia="zh-CN"/>
              </w:rPr>
            </w:pPr>
            <w:r>
              <w:rPr>
                <w:rFonts w:eastAsia="宋体"/>
                <w:sz w:val="24"/>
                <w:lang w:val="en-US" w:eastAsia="zh-CN"/>
              </w:rPr>
              <w:t>Introduction to Information Science</w:t>
            </w:r>
          </w:p>
          <w:p w14:paraId="2D14C9A1">
            <w:pPr>
              <w:pStyle w:val="2"/>
              <w:spacing w:line="480" w:lineRule="exact"/>
              <w:ind w:firstLine="0" w:firstLineChars="0"/>
              <w:jc w:val="center"/>
              <w:rPr>
                <w:rFonts w:eastAsia="宋体"/>
                <w:sz w:val="24"/>
              </w:rPr>
            </w:pPr>
          </w:p>
        </w:tc>
      </w:tr>
      <w:tr w14:paraId="0C20C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3" w:hRule="atLeast"/>
        </w:trPr>
        <w:tc>
          <w:tcPr>
            <w:tcW w:w="1843" w:type="dxa"/>
            <w:vAlign w:val="center"/>
          </w:tcPr>
          <w:p w14:paraId="7E190ECA">
            <w:pPr>
              <w:pStyle w:val="2"/>
              <w:adjustRightInd w:val="0"/>
              <w:snapToGrid w:val="0"/>
              <w:ind w:firstLine="0" w:firstLineChars="0"/>
              <w:jc w:val="center"/>
            </w:pPr>
            <w:r>
              <w:rPr>
                <w:rFonts w:eastAsia="宋体"/>
                <w:sz w:val="24"/>
                <w:lang w:val="en-US" w:eastAsia="zh-CN"/>
              </w:rPr>
              <w:t>课程</w:t>
            </w:r>
            <w:r>
              <w:rPr>
                <w:rFonts w:hint="eastAsia" w:eastAsia="宋体"/>
                <w:sz w:val="24"/>
                <w:lang w:val="en-US" w:eastAsia="zh-CN"/>
              </w:rPr>
              <w:t>类别</w:t>
            </w:r>
          </w:p>
        </w:tc>
        <w:tc>
          <w:tcPr>
            <w:tcW w:w="1379" w:type="dxa"/>
            <w:vAlign w:val="center"/>
          </w:tcPr>
          <w:p w14:paraId="5225DA56">
            <w:pPr>
              <w:jc w:val="center"/>
              <w:rPr>
                <w:sz w:val="24"/>
              </w:rPr>
            </w:pPr>
            <w:r>
              <w:rPr>
                <w:rFonts w:hint="eastAsia" w:eastAsia="宋体"/>
                <w:sz w:val="24"/>
                <w:lang w:val="en-US" w:eastAsia="zh-CN"/>
              </w:rPr>
              <w:t>专选</w:t>
            </w:r>
          </w:p>
        </w:tc>
        <w:tc>
          <w:tcPr>
            <w:tcW w:w="1598" w:type="dxa"/>
            <w:vAlign w:val="center"/>
          </w:tcPr>
          <w:p w14:paraId="2A089E89">
            <w:pPr>
              <w:rPr>
                <w:sz w:val="24"/>
              </w:rPr>
            </w:pPr>
            <w:r>
              <w:rPr>
                <w:sz w:val="24"/>
              </w:rPr>
              <w:t>课程编码</w:t>
            </w:r>
          </w:p>
        </w:tc>
        <w:tc>
          <w:tcPr>
            <w:tcW w:w="1435" w:type="dxa"/>
            <w:vAlign w:val="center"/>
          </w:tcPr>
          <w:p w14:paraId="50616E5D">
            <w:pPr>
              <w:jc w:val="center"/>
              <w:rPr>
                <w:sz w:val="24"/>
              </w:rPr>
            </w:pPr>
            <w:r>
              <w:rPr>
                <w:sz w:val="24"/>
              </w:rPr>
              <w:t>IM3136</w:t>
            </w:r>
          </w:p>
        </w:tc>
        <w:tc>
          <w:tcPr>
            <w:tcW w:w="1400" w:type="dxa"/>
            <w:vAlign w:val="center"/>
          </w:tcPr>
          <w:p w14:paraId="086CA72B">
            <w:pPr>
              <w:pStyle w:val="2"/>
              <w:adjustRightInd w:val="0"/>
              <w:snapToGrid w:val="0"/>
              <w:ind w:firstLine="0" w:firstLineChars="0"/>
              <w:jc w:val="center"/>
              <w:rPr>
                <w:sz w:val="24"/>
                <w:lang w:val="en-US" w:eastAsia="zh-CN"/>
              </w:rPr>
            </w:pPr>
            <w:r>
              <w:rPr>
                <w:rFonts w:eastAsia="宋体"/>
                <w:sz w:val="24"/>
                <w:lang w:val="en-US" w:eastAsia="zh-CN"/>
              </w:rPr>
              <w:t>开课单位</w:t>
            </w:r>
          </w:p>
        </w:tc>
        <w:tc>
          <w:tcPr>
            <w:tcW w:w="1345" w:type="dxa"/>
            <w:vAlign w:val="center"/>
          </w:tcPr>
          <w:p w14:paraId="7A9B3BEA">
            <w:pPr>
              <w:jc w:val="center"/>
              <w:rPr>
                <w:sz w:val="24"/>
              </w:rPr>
            </w:pPr>
            <w:r>
              <w:rPr>
                <w:rFonts w:eastAsia="宋体"/>
                <w:sz w:val="24"/>
                <w:lang w:val="en-US" w:eastAsia="zh-CN"/>
              </w:rPr>
              <w:t>信息管理学院</w:t>
            </w:r>
          </w:p>
        </w:tc>
      </w:tr>
      <w:tr w14:paraId="7A219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trPr>
        <w:tc>
          <w:tcPr>
            <w:tcW w:w="1843" w:type="dxa"/>
            <w:vAlign w:val="center"/>
          </w:tcPr>
          <w:p w14:paraId="3E176D03">
            <w:pPr>
              <w:jc w:val="center"/>
              <w:rPr>
                <w:sz w:val="24"/>
              </w:rPr>
            </w:pPr>
            <w:r>
              <w:rPr>
                <w:sz w:val="24"/>
              </w:rPr>
              <w:t>学分</w:t>
            </w:r>
          </w:p>
        </w:tc>
        <w:tc>
          <w:tcPr>
            <w:tcW w:w="1379" w:type="dxa"/>
            <w:vAlign w:val="center"/>
          </w:tcPr>
          <w:p w14:paraId="27EF48F9">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2</w:t>
            </w:r>
          </w:p>
        </w:tc>
        <w:tc>
          <w:tcPr>
            <w:tcW w:w="1598" w:type="dxa"/>
            <w:vAlign w:val="center"/>
          </w:tcPr>
          <w:p w14:paraId="7A5C016C">
            <w:pPr>
              <w:pStyle w:val="2"/>
              <w:adjustRightInd w:val="0"/>
              <w:snapToGrid w:val="0"/>
              <w:ind w:firstLine="0" w:firstLineChars="0"/>
              <w:jc w:val="center"/>
              <w:rPr>
                <w:rFonts w:eastAsia="宋体"/>
                <w:sz w:val="24"/>
                <w:lang w:val="en-US" w:eastAsia="zh-CN"/>
              </w:rPr>
            </w:pPr>
            <w:r>
              <w:rPr>
                <w:rFonts w:eastAsia="宋体"/>
                <w:sz w:val="24"/>
                <w:lang w:val="en-US" w:eastAsia="zh-CN"/>
              </w:rPr>
              <w:t>学时</w:t>
            </w:r>
          </w:p>
        </w:tc>
        <w:tc>
          <w:tcPr>
            <w:tcW w:w="1435" w:type="dxa"/>
            <w:vAlign w:val="center"/>
          </w:tcPr>
          <w:p w14:paraId="66EAA90B">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36</w:t>
            </w:r>
          </w:p>
        </w:tc>
        <w:tc>
          <w:tcPr>
            <w:tcW w:w="1400" w:type="dxa"/>
            <w:vAlign w:val="center"/>
          </w:tcPr>
          <w:p w14:paraId="20483C5C">
            <w:pPr>
              <w:pStyle w:val="2"/>
              <w:adjustRightInd w:val="0"/>
              <w:snapToGrid w:val="0"/>
              <w:ind w:firstLine="0" w:firstLineChars="0"/>
              <w:jc w:val="center"/>
              <w:rPr>
                <w:rFonts w:eastAsia="宋体"/>
                <w:sz w:val="24"/>
                <w:lang w:val="en-US" w:eastAsia="zh-CN"/>
              </w:rPr>
            </w:pPr>
            <w:r>
              <w:rPr>
                <w:rFonts w:eastAsia="宋体"/>
                <w:sz w:val="24"/>
                <w:lang w:val="en-US" w:eastAsia="zh-CN"/>
              </w:rPr>
              <w:t>授课年级</w:t>
            </w:r>
          </w:p>
        </w:tc>
        <w:tc>
          <w:tcPr>
            <w:tcW w:w="1345" w:type="dxa"/>
            <w:vAlign w:val="center"/>
          </w:tcPr>
          <w:p w14:paraId="70055CA1">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大三</w:t>
            </w:r>
          </w:p>
        </w:tc>
      </w:tr>
      <w:tr w14:paraId="23BDD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4" w:hRule="atLeast"/>
        </w:trPr>
        <w:tc>
          <w:tcPr>
            <w:tcW w:w="1843" w:type="dxa"/>
            <w:vAlign w:val="center"/>
          </w:tcPr>
          <w:p w14:paraId="2614B68E">
            <w:pPr>
              <w:pStyle w:val="2"/>
              <w:adjustRightInd w:val="0"/>
              <w:snapToGrid w:val="0"/>
              <w:ind w:firstLine="0" w:firstLineChars="0"/>
              <w:jc w:val="center"/>
              <w:rPr>
                <w:rFonts w:eastAsia="宋体"/>
                <w:sz w:val="24"/>
                <w:lang w:val="en-US" w:eastAsia="zh-CN"/>
              </w:rPr>
            </w:pPr>
            <w:r>
              <w:rPr>
                <w:rFonts w:eastAsia="宋体"/>
                <w:sz w:val="24"/>
                <w:lang w:val="en-US" w:eastAsia="zh-CN"/>
              </w:rPr>
              <w:t>面向专业/大类</w:t>
            </w:r>
          </w:p>
        </w:tc>
        <w:tc>
          <w:tcPr>
            <w:tcW w:w="7157" w:type="dxa"/>
            <w:gridSpan w:val="5"/>
            <w:vAlign w:val="center"/>
          </w:tcPr>
          <w:p w14:paraId="10DC3C14">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信息管理与信息系统Information Management and Information Systems,档案学Archival Science</w:t>
            </w:r>
          </w:p>
        </w:tc>
      </w:tr>
      <w:tr w14:paraId="7916C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trPr>
        <w:tc>
          <w:tcPr>
            <w:tcW w:w="1843" w:type="dxa"/>
            <w:vAlign w:val="center"/>
          </w:tcPr>
          <w:p w14:paraId="0D1DED9C">
            <w:pPr>
              <w:pStyle w:val="2"/>
              <w:adjustRightInd w:val="0"/>
              <w:snapToGrid w:val="0"/>
              <w:ind w:firstLine="0" w:firstLineChars="0"/>
              <w:jc w:val="center"/>
              <w:rPr>
                <w:rFonts w:eastAsia="宋体"/>
                <w:sz w:val="24"/>
                <w:lang w:val="en-US" w:eastAsia="zh-CN"/>
              </w:rPr>
            </w:pPr>
            <w:r>
              <w:rPr>
                <w:rFonts w:eastAsia="宋体"/>
                <w:sz w:val="24"/>
                <w:lang w:val="en-US" w:eastAsia="zh-CN"/>
              </w:rPr>
              <w:t>课程负责人</w:t>
            </w:r>
          </w:p>
        </w:tc>
        <w:tc>
          <w:tcPr>
            <w:tcW w:w="7157" w:type="dxa"/>
            <w:gridSpan w:val="5"/>
            <w:vAlign w:val="center"/>
          </w:tcPr>
          <w:p w14:paraId="7874C6D4">
            <w:pPr>
              <w:pStyle w:val="2"/>
              <w:adjustRightInd w:val="0"/>
              <w:snapToGrid w:val="0"/>
              <w:ind w:firstLine="0" w:firstLineChars="0"/>
              <w:jc w:val="center"/>
              <w:rPr>
                <w:rFonts w:hint="eastAsia" w:eastAsia="宋体"/>
                <w:sz w:val="24"/>
                <w:lang w:val="en-US" w:eastAsia="zh-CN"/>
              </w:rPr>
            </w:pPr>
            <w:r>
              <w:rPr>
                <w:rFonts w:hint="eastAsia" w:eastAsia="宋体"/>
                <w:sz w:val="24"/>
                <w:lang w:val="en-US" w:eastAsia="zh-CN"/>
              </w:rPr>
              <w:t>武琳</w:t>
            </w:r>
          </w:p>
        </w:tc>
      </w:tr>
      <w:tr w14:paraId="76CE8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trPr>
        <w:tc>
          <w:tcPr>
            <w:tcW w:w="1843" w:type="dxa"/>
            <w:vAlign w:val="center"/>
          </w:tcPr>
          <w:p w14:paraId="38ACD272">
            <w:pPr>
              <w:pStyle w:val="2"/>
              <w:adjustRightInd w:val="0"/>
              <w:snapToGrid w:val="0"/>
              <w:ind w:firstLine="0" w:firstLineChars="0"/>
              <w:jc w:val="center"/>
              <w:rPr>
                <w:rFonts w:eastAsia="宋体"/>
                <w:sz w:val="24"/>
                <w:lang w:val="en-US" w:eastAsia="zh-CN"/>
              </w:rPr>
            </w:pPr>
            <w:r>
              <w:rPr>
                <w:rFonts w:eastAsia="宋体"/>
                <w:sz w:val="24"/>
                <w:lang w:val="en-US" w:eastAsia="zh-CN"/>
              </w:rPr>
              <w:t>先修课程</w:t>
            </w:r>
          </w:p>
        </w:tc>
        <w:tc>
          <w:tcPr>
            <w:tcW w:w="7157" w:type="dxa"/>
            <w:gridSpan w:val="5"/>
            <w:vAlign w:val="center"/>
          </w:tcPr>
          <w:p w14:paraId="4A5F234A">
            <w:pPr>
              <w:pStyle w:val="2"/>
              <w:adjustRightInd w:val="0"/>
              <w:snapToGrid w:val="0"/>
              <w:ind w:firstLine="0" w:firstLineChars="0"/>
              <w:jc w:val="left"/>
              <w:rPr>
                <w:rFonts w:hint="eastAsia" w:eastAsia="宋体"/>
                <w:sz w:val="24"/>
                <w:lang w:val="en-US" w:eastAsia="zh-CN"/>
              </w:rPr>
            </w:pPr>
            <w:r>
              <w:rPr>
                <w:rFonts w:hint="eastAsia" w:eastAsia="宋体"/>
                <w:sz w:val="24"/>
                <w:lang w:val="en-US" w:eastAsia="zh-CN"/>
              </w:rPr>
              <w:t>无</w:t>
            </w:r>
          </w:p>
        </w:tc>
      </w:tr>
      <w:tr w14:paraId="165DA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vAlign w:val="center"/>
          </w:tcPr>
          <w:p w14:paraId="078F5970">
            <w:pPr>
              <w:pStyle w:val="2"/>
              <w:spacing w:line="480" w:lineRule="exact"/>
              <w:ind w:firstLine="0" w:firstLineChars="0"/>
              <w:jc w:val="center"/>
              <w:rPr>
                <w:rFonts w:eastAsia="宋体"/>
                <w:sz w:val="24"/>
                <w:lang w:val="en-US" w:eastAsia="zh-CN"/>
              </w:rPr>
            </w:pPr>
          </w:p>
          <w:p w14:paraId="7F9B54EB">
            <w:pPr>
              <w:pStyle w:val="2"/>
              <w:spacing w:line="480" w:lineRule="exact"/>
              <w:ind w:firstLine="0" w:firstLineChars="0"/>
              <w:jc w:val="center"/>
              <w:rPr>
                <w:rFonts w:eastAsia="宋体"/>
                <w:sz w:val="24"/>
                <w:lang w:val="en-US" w:eastAsia="zh-CN"/>
              </w:rPr>
            </w:pPr>
          </w:p>
          <w:p w14:paraId="30CD38B5">
            <w:pPr>
              <w:pStyle w:val="2"/>
              <w:spacing w:line="480" w:lineRule="exact"/>
              <w:ind w:firstLine="0" w:firstLineChars="0"/>
              <w:jc w:val="center"/>
              <w:rPr>
                <w:rFonts w:eastAsia="宋体"/>
                <w:sz w:val="24"/>
                <w:lang w:val="en-US" w:eastAsia="zh-CN"/>
              </w:rPr>
            </w:pPr>
            <w:r>
              <w:rPr>
                <w:rFonts w:eastAsia="宋体"/>
                <w:sz w:val="24"/>
                <w:lang w:val="en-US" w:eastAsia="zh-CN"/>
              </w:rPr>
              <w:t>课程目标</w:t>
            </w:r>
          </w:p>
          <w:p w14:paraId="6DCB6DF4">
            <w:pPr>
              <w:pStyle w:val="2"/>
              <w:spacing w:line="480" w:lineRule="exact"/>
              <w:ind w:firstLine="0" w:firstLineChars="0"/>
              <w:jc w:val="center"/>
              <w:rPr>
                <w:rFonts w:eastAsia="宋体"/>
                <w:sz w:val="24"/>
                <w:lang w:val="en-US" w:eastAsia="zh-CN"/>
              </w:rPr>
            </w:pPr>
          </w:p>
          <w:p w14:paraId="49DC0A4E">
            <w:pPr>
              <w:pStyle w:val="2"/>
              <w:spacing w:line="480" w:lineRule="exact"/>
              <w:ind w:firstLine="0" w:firstLineChars="0"/>
              <w:jc w:val="center"/>
              <w:rPr>
                <w:rFonts w:eastAsia="宋体"/>
                <w:sz w:val="24"/>
                <w:lang w:val="en-US" w:eastAsia="zh-CN"/>
              </w:rPr>
            </w:pPr>
          </w:p>
        </w:tc>
        <w:tc>
          <w:tcPr>
            <w:tcW w:w="7157" w:type="dxa"/>
            <w:gridSpan w:val="5"/>
            <w:vAlign w:val="center"/>
          </w:tcPr>
          <w:p w14:paraId="2D726C2D">
            <w:pPr>
              <w:pStyle w:val="2"/>
              <w:ind w:firstLine="0" w:firstLineChars="0"/>
              <w:jc w:val="left"/>
              <w:rPr>
                <w:rFonts w:ascii="宋体" w:hAnsi="宋体" w:eastAsia="宋体"/>
                <w:sz w:val="24"/>
                <w:lang w:val="en-US" w:eastAsia="zh-CN"/>
              </w:rPr>
            </w:pPr>
            <w:r>
              <w:rPr>
                <w:rFonts w:hint="eastAsia" w:ascii="宋体" w:hAnsi="宋体" w:eastAsia="宋体"/>
                <w:sz w:val="24"/>
                <w:lang w:val="en-US" w:eastAsia="zh-CN"/>
              </w:rPr>
              <w:t>通过对情报学的整体介绍，要求学生掌握情报学经验规律、情报学基础理论、情报学研究方法的一般知识，强调奠定情报组织、情报检索、情报分析三大核心能力。</w:t>
            </w:r>
          </w:p>
          <w:p w14:paraId="34DC1077">
            <w:pPr>
              <w:pStyle w:val="2"/>
              <w:ind w:firstLine="0" w:firstLineChars="0"/>
              <w:jc w:val="left"/>
              <w:rPr>
                <w:rFonts w:ascii="宋体" w:hAnsi="宋体" w:eastAsia="宋体"/>
                <w:sz w:val="24"/>
                <w:lang w:val="en-US" w:eastAsia="zh-CN"/>
              </w:rPr>
            </w:pPr>
            <w:r>
              <w:rPr>
                <w:rFonts w:hint="eastAsia" w:ascii="宋体" w:hAnsi="宋体" w:eastAsia="宋体"/>
                <w:sz w:val="24"/>
                <w:lang w:val="en-US" w:eastAsia="zh-CN"/>
              </w:rPr>
              <w:t>本课程内容覆盖情报学理论与方法、情报管理与服务各相关领域，简要分述情报源、情报管理、情报检索、情报分析、情报技术等情报学核心分支的基本知识和新近发展，作为本科专业教学向研究生专业学习发展的基础。具有扎实的情报学基本理论基础知识和技能与情报学发展中的前沿课题能深入进行研究并获得进展满足社会对信息开发、利用需要的专门人才。</w:t>
            </w:r>
          </w:p>
          <w:p w14:paraId="2CAB0871">
            <w:pPr>
              <w:pStyle w:val="2"/>
              <w:ind w:firstLine="0" w:firstLineChars="0"/>
              <w:jc w:val="left"/>
              <w:rPr>
                <w:rFonts w:ascii="宋体" w:hAnsi="宋体" w:eastAsia="宋体"/>
                <w:sz w:val="24"/>
                <w:lang w:val="en-US" w:eastAsia="zh-CN"/>
              </w:rPr>
            </w:pPr>
            <w:r>
              <w:rPr>
                <w:rFonts w:hint="eastAsia" w:ascii="宋体" w:hAnsi="宋体" w:eastAsia="宋体"/>
                <w:sz w:val="24"/>
                <w:lang w:val="en-US" w:eastAsia="zh-CN"/>
              </w:rPr>
              <w:t>育人方面：重点介绍中国杰出信息计量学者及代表作和中国情报学理论特色，培养学生的理论自信和正确的信息伦理道德观念。强调中国特色情报学学科体系、学术体系、话语体系。</w:t>
            </w:r>
          </w:p>
        </w:tc>
      </w:tr>
    </w:tbl>
    <w:p w14:paraId="0725CC7E">
      <w:pPr>
        <w:spacing w:line="480" w:lineRule="exact"/>
        <w:ind w:firstLine="480" w:firstLineChars="200"/>
        <w:rPr>
          <w:sz w:val="24"/>
        </w:rPr>
      </w:pPr>
    </w:p>
    <w:p w14:paraId="7125FFCF">
      <w:pPr>
        <w:spacing w:line="480" w:lineRule="exact"/>
        <w:ind w:firstLine="480" w:firstLineChars="200"/>
        <w:rPr>
          <w:sz w:val="24"/>
        </w:rPr>
      </w:pPr>
      <w:r>
        <w:rPr>
          <w:sz w:val="24"/>
        </w:rPr>
        <w:t>二、课程基本内容（要求有一定的字数，不能过于简单）</w:t>
      </w:r>
    </w:p>
    <w:p w14:paraId="6980F45E">
      <w:pPr>
        <w:spacing w:line="480" w:lineRule="exact"/>
        <w:ind w:firstLine="480" w:firstLineChars="200"/>
        <w:rPr>
          <w:sz w:val="24"/>
        </w:rPr>
      </w:pPr>
      <w:r>
        <w:rPr>
          <w:sz w:val="24"/>
        </w:rPr>
        <w:t>（一）</w:t>
      </w:r>
      <w:r>
        <w:rPr>
          <w:rFonts w:hint="eastAsia"/>
          <w:b/>
          <w:sz w:val="24"/>
        </w:rPr>
        <w:t>教学进度表</w:t>
      </w:r>
    </w:p>
    <w:tbl>
      <w:tblPr>
        <w:tblStyle w:val="8"/>
        <w:tblW w:w="8435"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1194"/>
        <w:gridCol w:w="1298"/>
        <w:gridCol w:w="1063"/>
        <w:gridCol w:w="1724"/>
        <w:gridCol w:w="1194"/>
        <w:gridCol w:w="899"/>
        <w:gridCol w:w="1063"/>
      </w:tblGrid>
      <w:tr w14:paraId="2789F2F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55" w:hRule="atLeast"/>
          <w:jc w:val="center"/>
        </w:trPr>
        <w:tc>
          <w:tcPr>
            <w:tcW w:w="5096" w:type="dxa"/>
            <w:vAlign w:val="center"/>
          </w:tcPr>
          <w:p w14:paraId="5BB6D29B">
            <w:pPr>
              <w:jc w:val="center"/>
              <w:rPr>
                <w:rFonts w:hint="eastAsia" w:ascii="24x12 宋体"/>
                <w:b/>
                <w:bCs/>
                <w:sz w:val="24"/>
                <w:szCs w:val="20"/>
              </w:rPr>
            </w:pPr>
            <w:r>
              <w:rPr>
                <w:rFonts w:hint="eastAsia" w:ascii="24x12 宋体"/>
                <w:b/>
                <w:bCs/>
                <w:sz w:val="24"/>
                <w:szCs w:val="20"/>
              </w:rPr>
              <w:t>章节次序及名称(细化至节，必填)</w:t>
            </w:r>
          </w:p>
        </w:tc>
        <w:tc>
          <w:tcPr>
            <w:tcW w:w="5096" w:type="dxa"/>
            <w:vAlign w:val="center"/>
          </w:tcPr>
          <w:p w14:paraId="2B9CE547">
            <w:pPr>
              <w:jc w:val="center"/>
              <w:rPr>
                <w:rFonts w:hint="eastAsia" w:ascii="24x12 宋体"/>
                <w:b/>
                <w:bCs/>
                <w:sz w:val="24"/>
                <w:szCs w:val="20"/>
              </w:rPr>
            </w:pPr>
            <w:r>
              <w:rPr>
                <w:rFonts w:hint="eastAsia" w:ascii="24x12 宋体"/>
                <w:b/>
                <w:bCs/>
                <w:sz w:val="24"/>
                <w:szCs w:val="20"/>
              </w:rPr>
              <w:t>主要教学内容(必填)</w:t>
            </w:r>
          </w:p>
        </w:tc>
        <w:tc>
          <w:tcPr>
            <w:tcW w:w="1803" w:type="dxa"/>
          </w:tcPr>
          <w:p w14:paraId="4644BD88">
            <w:pPr>
              <w:jc w:val="center"/>
              <w:rPr>
                <w:rFonts w:ascii="24x12 宋体"/>
                <w:b/>
                <w:bCs/>
                <w:sz w:val="24"/>
                <w:szCs w:val="20"/>
              </w:rPr>
            </w:pPr>
            <w:r>
              <w:rPr>
                <w:rFonts w:hint="eastAsia" w:ascii="24x12 宋体"/>
                <w:b/>
                <w:bCs/>
                <w:sz w:val="24"/>
                <w:szCs w:val="20"/>
              </w:rPr>
              <w:t>所需学时(必填)</w:t>
            </w:r>
          </w:p>
        </w:tc>
        <w:tc>
          <w:tcPr>
            <w:tcW w:w="1920" w:type="dxa"/>
            <w:vAlign w:val="center"/>
          </w:tcPr>
          <w:p w14:paraId="76FF2F12">
            <w:pPr>
              <w:jc w:val="center"/>
              <w:rPr>
                <w:rFonts w:hint="eastAsia"/>
                <w:b/>
                <w:bCs/>
                <w:sz w:val="24"/>
                <w:szCs w:val="20"/>
              </w:rPr>
            </w:pPr>
            <w:r>
              <w:rPr>
                <w:rFonts w:hint="eastAsia" w:ascii="24x12 宋体"/>
                <w:b/>
                <w:bCs/>
                <w:sz w:val="24"/>
                <w:szCs w:val="20"/>
              </w:rPr>
              <w:t>育人元素</w:t>
            </w:r>
          </w:p>
        </w:tc>
        <w:tc>
          <w:tcPr>
            <w:tcW w:w="1920" w:type="dxa"/>
            <w:vAlign w:val="center"/>
          </w:tcPr>
          <w:p w14:paraId="1784EDAF">
            <w:pPr>
              <w:jc w:val="center"/>
              <w:rPr>
                <w:rFonts w:hint="eastAsia"/>
                <w:b/>
                <w:bCs/>
                <w:sz w:val="24"/>
                <w:szCs w:val="20"/>
              </w:rPr>
            </w:pPr>
            <w:r>
              <w:rPr>
                <w:rFonts w:hint="eastAsia" w:ascii="24x12 宋体"/>
                <w:b/>
                <w:bCs/>
                <w:sz w:val="24"/>
                <w:szCs w:val="20"/>
              </w:rPr>
              <w:t>重点、难点(选填)</w:t>
            </w:r>
          </w:p>
        </w:tc>
        <w:tc>
          <w:tcPr>
            <w:tcW w:w="1419" w:type="dxa"/>
            <w:vAlign w:val="center"/>
          </w:tcPr>
          <w:p w14:paraId="00E84200">
            <w:pPr>
              <w:jc w:val="center"/>
              <w:rPr>
                <w:rFonts w:hint="eastAsia" w:ascii="24x12 宋体"/>
                <w:b/>
                <w:bCs/>
                <w:sz w:val="24"/>
                <w:szCs w:val="20"/>
              </w:rPr>
            </w:pPr>
            <w:r>
              <w:rPr>
                <w:rFonts w:hint="eastAsia" w:ascii="24x12 宋体"/>
                <w:b/>
                <w:bCs/>
                <w:sz w:val="24"/>
                <w:szCs w:val="20"/>
              </w:rPr>
              <w:t>周次(选填)</w:t>
            </w:r>
          </w:p>
        </w:tc>
        <w:tc>
          <w:tcPr>
            <w:tcW w:w="1920" w:type="dxa"/>
            <w:vAlign w:val="center"/>
          </w:tcPr>
          <w:p w14:paraId="05950DA5">
            <w:pPr>
              <w:jc w:val="center"/>
              <w:rPr>
                <w:rFonts w:hint="eastAsia"/>
                <w:b/>
                <w:bCs/>
                <w:sz w:val="24"/>
                <w:szCs w:val="20"/>
              </w:rPr>
            </w:pPr>
            <w:r>
              <w:rPr>
                <w:rFonts w:hint="eastAsia" w:ascii="24x12 宋体"/>
                <w:b/>
                <w:bCs/>
                <w:sz w:val="24"/>
                <w:szCs w:val="20"/>
              </w:rPr>
              <w:t>备注(选填)</w:t>
            </w:r>
          </w:p>
        </w:tc>
      </w:tr>
      <w:tr w14:paraId="18B4D78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0FD30996">
            <w:pPr>
              <w:rPr>
                <w:rFonts w:ascii="宋体" w:hAnsi="宋体" w:eastAsia="宋体"/>
                <w:sz w:val="24"/>
                <w:szCs w:val="24"/>
              </w:rPr>
            </w:pPr>
            <w:r>
              <w:rPr>
                <w:rFonts w:hint="eastAsia" w:ascii="宋体" w:hAnsi="宋体" w:eastAsia="宋体"/>
                <w:sz w:val="24"/>
                <w:szCs w:val="24"/>
              </w:rPr>
              <w:t>第1章 情报学经验规律</w:t>
            </w:r>
          </w:p>
          <w:p w14:paraId="77FF342A">
            <w:pPr>
              <w:rPr>
                <w:rFonts w:ascii="宋体" w:hAnsi="宋体" w:eastAsia="宋体"/>
                <w:sz w:val="24"/>
                <w:szCs w:val="24"/>
              </w:rPr>
            </w:pPr>
          </w:p>
        </w:tc>
        <w:tc>
          <w:tcPr>
            <w:tcW w:w="5096" w:type="dxa"/>
            <w:vAlign w:val="center"/>
          </w:tcPr>
          <w:p w14:paraId="007D0994">
            <w:pPr>
              <w:rPr>
                <w:rFonts w:ascii="宋体" w:hAnsi="宋体" w:eastAsia="宋体"/>
                <w:sz w:val="24"/>
                <w:szCs w:val="24"/>
              </w:rPr>
            </w:pPr>
            <w:r>
              <w:rPr>
                <w:rFonts w:hint="eastAsia" w:ascii="宋体" w:hAnsi="宋体" w:eastAsia="宋体"/>
                <w:sz w:val="24"/>
                <w:szCs w:val="24"/>
              </w:rPr>
              <w:t>布拉德福定律，洛特卡定律，齐夫定律；文献增长律；文献老化律；情报学经验规律的统一模型和机理研究</w:t>
            </w:r>
          </w:p>
        </w:tc>
        <w:tc>
          <w:tcPr>
            <w:tcW w:w="5096" w:type="dxa"/>
            <w:vAlign w:val="center"/>
          </w:tcPr>
          <w:p w14:paraId="542339AC">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3E4E2F1C">
            <w:pPr>
              <w:rPr>
                <w:rFonts w:ascii="宋体" w:hAnsi="宋体" w:eastAsia="宋体"/>
                <w:sz w:val="24"/>
                <w:szCs w:val="24"/>
              </w:rPr>
            </w:pPr>
            <w:r>
              <w:rPr>
                <w:rFonts w:hint="eastAsia" w:ascii="宋体" w:hAnsi="宋体" w:eastAsia="宋体"/>
                <w:sz w:val="24"/>
                <w:szCs w:val="24"/>
              </w:rPr>
              <w:t>理论自信：中国杰出信息计量学者及代表作介绍</w:t>
            </w:r>
          </w:p>
        </w:tc>
        <w:tc>
          <w:tcPr>
            <w:tcW w:w="5096" w:type="dxa"/>
            <w:vAlign w:val="center"/>
          </w:tcPr>
          <w:p w14:paraId="72CA230A">
            <w:pPr>
              <w:rPr>
                <w:rFonts w:ascii="宋体" w:hAnsi="宋体" w:eastAsia="宋体"/>
                <w:sz w:val="24"/>
                <w:szCs w:val="24"/>
              </w:rPr>
            </w:pPr>
            <w:r>
              <w:rPr>
                <w:rFonts w:hint="eastAsia" w:ascii="宋体" w:hAnsi="宋体" w:eastAsia="宋体"/>
                <w:sz w:val="24"/>
                <w:szCs w:val="24"/>
              </w:rPr>
              <w:t>重点：新数字时代文献计量的应用</w:t>
            </w:r>
          </w:p>
        </w:tc>
        <w:tc>
          <w:tcPr>
            <w:tcW w:w="1555" w:type="dxa"/>
            <w:vAlign w:val="center"/>
          </w:tcPr>
          <w:p w14:paraId="2DC0841F">
            <w:pPr>
              <w:jc w:val="center"/>
              <w:rPr>
                <w:rFonts w:ascii="宋体" w:hAnsi="宋体" w:eastAsia="宋体"/>
                <w:sz w:val="24"/>
                <w:szCs w:val="24"/>
              </w:rPr>
            </w:pPr>
            <w:r>
              <w:rPr>
                <w:rFonts w:hint="eastAsia" w:ascii="宋体" w:hAnsi="宋体" w:eastAsia="宋体"/>
                <w:sz w:val="24"/>
                <w:szCs w:val="24"/>
              </w:rPr>
              <w:t>第1 周</w:t>
            </w:r>
          </w:p>
        </w:tc>
        <w:tc>
          <w:tcPr>
            <w:tcW w:w="5096" w:type="dxa"/>
            <w:vAlign w:val="center"/>
          </w:tcPr>
          <w:p w14:paraId="3CB22B03">
            <w:pPr>
              <w:rPr>
                <w:rFonts w:ascii="宋体" w:hAnsi="宋体" w:eastAsia="宋体"/>
                <w:sz w:val="24"/>
                <w:szCs w:val="24"/>
              </w:rPr>
            </w:pPr>
          </w:p>
        </w:tc>
      </w:tr>
      <w:tr w14:paraId="4CCC8F2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0EC4E05D">
            <w:pPr>
              <w:rPr>
                <w:rFonts w:ascii="宋体" w:hAnsi="宋体" w:eastAsia="宋体"/>
                <w:sz w:val="24"/>
                <w:szCs w:val="24"/>
              </w:rPr>
            </w:pPr>
            <w:r>
              <w:rPr>
                <w:rFonts w:hint="eastAsia" w:ascii="宋体" w:hAnsi="宋体" w:eastAsia="宋体"/>
                <w:sz w:val="24"/>
                <w:szCs w:val="24"/>
              </w:rPr>
              <w:t>第2章  情报学基础理论</w:t>
            </w:r>
          </w:p>
          <w:p w14:paraId="1C370263">
            <w:pPr>
              <w:rPr>
                <w:rFonts w:ascii="宋体" w:hAnsi="宋体" w:eastAsia="宋体"/>
                <w:sz w:val="24"/>
                <w:szCs w:val="24"/>
              </w:rPr>
            </w:pPr>
          </w:p>
        </w:tc>
        <w:tc>
          <w:tcPr>
            <w:tcW w:w="5096" w:type="dxa"/>
            <w:vAlign w:val="center"/>
          </w:tcPr>
          <w:p w14:paraId="6A259B2F">
            <w:pPr>
              <w:rPr>
                <w:rFonts w:ascii="宋体" w:hAnsi="宋体" w:eastAsia="宋体"/>
                <w:sz w:val="24"/>
                <w:szCs w:val="24"/>
              </w:rPr>
            </w:pPr>
            <w:r>
              <w:rPr>
                <w:rFonts w:hint="eastAsia" w:ascii="宋体" w:hAnsi="宋体" w:eastAsia="宋体"/>
                <w:sz w:val="24"/>
                <w:szCs w:val="24"/>
              </w:rPr>
              <w:t>情报学概念系统；</w:t>
            </w:r>
          </w:p>
          <w:p w14:paraId="4BA26D8F">
            <w:pPr>
              <w:rPr>
                <w:rFonts w:ascii="宋体" w:hAnsi="宋体" w:eastAsia="宋体"/>
                <w:sz w:val="24"/>
                <w:szCs w:val="24"/>
              </w:rPr>
            </w:pPr>
            <w:r>
              <w:rPr>
                <w:rFonts w:hint="eastAsia" w:ascii="宋体" w:hAnsi="宋体" w:eastAsia="宋体"/>
                <w:sz w:val="24"/>
                <w:szCs w:val="24"/>
              </w:rPr>
              <w:t>国外代表性情报学基础理论；</w:t>
            </w:r>
          </w:p>
          <w:p w14:paraId="5353AF2E">
            <w:pPr>
              <w:rPr>
                <w:rFonts w:ascii="宋体" w:hAnsi="宋体" w:eastAsia="宋体"/>
                <w:sz w:val="24"/>
                <w:szCs w:val="24"/>
              </w:rPr>
            </w:pPr>
            <w:r>
              <w:rPr>
                <w:rFonts w:hint="eastAsia" w:ascii="宋体" w:hAnsi="宋体" w:eastAsia="宋体"/>
                <w:sz w:val="24"/>
                <w:szCs w:val="24"/>
              </w:rPr>
              <w:t>国内代表性情报学基础理论；</w:t>
            </w:r>
          </w:p>
          <w:p w14:paraId="40D70F51">
            <w:pPr>
              <w:rPr>
                <w:rFonts w:ascii="宋体" w:hAnsi="宋体" w:eastAsia="宋体"/>
                <w:sz w:val="24"/>
                <w:szCs w:val="24"/>
              </w:rPr>
            </w:pPr>
            <w:r>
              <w:rPr>
                <w:rFonts w:hint="eastAsia" w:ascii="宋体" w:hAnsi="宋体" w:eastAsia="宋体"/>
                <w:sz w:val="24"/>
                <w:szCs w:val="24"/>
              </w:rPr>
              <w:t>情报学基础理论新探；</w:t>
            </w:r>
          </w:p>
          <w:p w14:paraId="4999C816">
            <w:pPr>
              <w:rPr>
                <w:rFonts w:ascii="宋体" w:hAnsi="宋体" w:eastAsia="宋体"/>
                <w:sz w:val="24"/>
                <w:szCs w:val="24"/>
              </w:rPr>
            </w:pPr>
            <w:r>
              <w:rPr>
                <w:rFonts w:hint="eastAsia" w:ascii="宋体" w:hAnsi="宋体" w:eastAsia="宋体"/>
                <w:sz w:val="24"/>
                <w:szCs w:val="24"/>
              </w:rPr>
              <w:t>情报学理论原则；</w:t>
            </w:r>
          </w:p>
          <w:p w14:paraId="2E936761">
            <w:pPr>
              <w:rPr>
                <w:rFonts w:ascii="宋体" w:hAnsi="宋体" w:eastAsia="宋体"/>
                <w:sz w:val="24"/>
                <w:szCs w:val="24"/>
              </w:rPr>
            </w:pPr>
            <w:r>
              <w:rPr>
                <w:rFonts w:hint="eastAsia" w:ascii="宋体" w:hAnsi="宋体" w:eastAsia="宋体"/>
                <w:sz w:val="24"/>
                <w:szCs w:val="24"/>
              </w:rPr>
              <w:t>情报学相关学科</w:t>
            </w:r>
          </w:p>
          <w:p w14:paraId="738C418C">
            <w:pPr>
              <w:rPr>
                <w:rFonts w:ascii="宋体" w:hAnsi="宋体" w:eastAsia="宋体"/>
                <w:sz w:val="24"/>
                <w:szCs w:val="24"/>
              </w:rPr>
            </w:pPr>
          </w:p>
        </w:tc>
        <w:tc>
          <w:tcPr>
            <w:tcW w:w="5096" w:type="dxa"/>
            <w:vAlign w:val="center"/>
          </w:tcPr>
          <w:p w14:paraId="4A864225">
            <w:pPr>
              <w:rPr>
                <w:rFonts w:ascii="宋体" w:hAnsi="宋体" w:eastAsia="宋体"/>
                <w:sz w:val="24"/>
                <w:szCs w:val="24"/>
              </w:rPr>
            </w:pPr>
            <w:r>
              <w:rPr>
                <w:rFonts w:hint="eastAsia" w:ascii="宋体" w:hAnsi="宋体" w:eastAsia="宋体"/>
                <w:sz w:val="24"/>
                <w:szCs w:val="24"/>
              </w:rPr>
              <w:t>4</w:t>
            </w:r>
          </w:p>
        </w:tc>
        <w:tc>
          <w:tcPr>
            <w:tcW w:w="5096" w:type="dxa"/>
            <w:vAlign w:val="center"/>
          </w:tcPr>
          <w:p w14:paraId="6B0498A7">
            <w:pPr>
              <w:rPr>
                <w:rFonts w:ascii="宋体" w:hAnsi="宋体" w:eastAsia="宋体"/>
                <w:sz w:val="24"/>
                <w:szCs w:val="24"/>
              </w:rPr>
            </w:pPr>
            <w:r>
              <w:rPr>
                <w:rFonts w:hint="eastAsia" w:ascii="宋体" w:hAnsi="宋体" w:eastAsia="宋体"/>
                <w:sz w:val="24"/>
                <w:szCs w:val="24"/>
              </w:rPr>
              <w:t>理论自信：中国情报学理论特色`````我国情报学代表学者的突出贡献</w:t>
            </w:r>
          </w:p>
        </w:tc>
        <w:tc>
          <w:tcPr>
            <w:tcW w:w="5096" w:type="dxa"/>
            <w:vAlign w:val="center"/>
          </w:tcPr>
          <w:p w14:paraId="2E4F7CA8">
            <w:pPr>
              <w:rPr>
                <w:rFonts w:ascii="宋体" w:hAnsi="宋体" w:eastAsia="宋体"/>
                <w:sz w:val="24"/>
                <w:szCs w:val="24"/>
              </w:rPr>
            </w:pPr>
            <w:r>
              <w:rPr>
                <w:rFonts w:hint="eastAsia" w:ascii="宋体" w:hAnsi="宋体" w:eastAsia="宋体"/>
                <w:sz w:val="24"/>
                <w:szCs w:val="24"/>
              </w:rPr>
              <w:t>重点：情报学概念系统</w:t>
            </w:r>
          </w:p>
          <w:p w14:paraId="44F1CF2C">
            <w:pPr>
              <w:rPr>
                <w:rFonts w:ascii="宋体" w:hAnsi="宋体" w:eastAsia="宋体"/>
                <w:sz w:val="24"/>
                <w:szCs w:val="24"/>
              </w:rPr>
            </w:pPr>
            <w:r>
              <w:rPr>
                <w:rFonts w:hint="eastAsia" w:ascii="宋体" w:hAnsi="宋体" w:eastAsia="宋体"/>
                <w:sz w:val="24"/>
                <w:szCs w:val="24"/>
              </w:rPr>
              <w:t>理论原则</w:t>
            </w:r>
          </w:p>
        </w:tc>
        <w:tc>
          <w:tcPr>
            <w:tcW w:w="1555" w:type="dxa"/>
            <w:vAlign w:val="center"/>
          </w:tcPr>
          <w:p w14:paraId="0CAE13CB">
            <w:pPr>
              <w:jc w:val="center"/>
              <w:rPr>
                <w:rFonts w:ascii="宋体" w:hAnsi="宋体" w:eastAsia="宋体"/>
                <w:sz w:val="24"/>
                <w:szCs w:val="24"/>
              </w:rPr>
            </w:pPr>
            <w:r>
              <w:rPr>
                <w:rFonts w:hint="eastAsia" w:ascii="宋体" w:hAnsi="宋体" w:eastAsia="宋体"/>
                <w:sz w:val="24"/>
                <w:szCs w:val="24"/>
              </w:rPr>
              <w:t>第2,3 周</w:t>
            </w:r>
          </w:p>
        </w:tc>
        <w:tc>
          <w:tcPr>
            <w:tcW w:w="5096" w:type="dxa"/>
            <w:vAlign w:val="center"/>
          </w:tcPr>
          <w:p w14:paraId="30E8F4ED">
            <w:pPr>
              <w:rPr>
                <w:rFonts w:ascii="宋体" w:hAnsi="宋体" w:eastAsia="宋体"/>
                <w:sz w:val="24"/>
                <w:szCs w:val="24"/>
              </w:rPr>
            </w:pPr>
          </w:p>
        </w:tc>
      </w:tr>
      <w:tr w14:paraId="7FBBC52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44BF001A">
            <w:pPr>
              <w:rPr>
                <w:rFonts w:ascii="宋体" w:hAnsi="宋体" w:eastAsia="宋体"/>
                <w:sz w:val="24"/>
                <w:szCs w:val="24"/>
              </w:rPr>
            </w:pPr>
            <w:r>
              <w:rPr>
                <w:rFonts w:hint="eastAsia" w:ascii="宋体" w:hAnsi="宋体" w:eastAsia="宋体"/>
                <w:sz w:val="24"/>
                <w:szCs w:val="24"/>
              </w:rPr>
              <w:t>第3章 情报学方法论</w:t>
            </w:r>
          </w:p>
          <w:p w14:paraId="61B0122A">
            <w:pPr>
              <w:rPr>
                <w:rFonts w:ascii="宋体" w:hAnsi="宋体" w:eastAsia="宋体"/>
                <w:sz w:val="24"/>
                <w:szCs w:val="24"/>
              </w:rPr>
            </w:pPr>
          </w:p>
        </w:tc>
        <w:tc>
          <w:tcPr>
            <w:tcW w:w="5096" w:type="dxa"/>
            <w:vAlign w:val="center"/>
          </w:tcPr>
          <w:p w14:paraId="6646A5E4">
            <w:pPr>
              <w:rPr>
                <w:rFonts w:ascii="宋体" w:hAnsi="宋体" w:eastAsia="宋体"/>
                <w:sz w:val="24"/>
                <w:szCs w:val="24"/>
              </w:rPr>
            </w:pPr>
            <w:r>
              <w:rPr>
                <w:rFonts w:hint="eastAsia" w:ascii="宋体" w:hAnsi="宋体" w:eastAsia="宋体"/>
                <w:sz w:val="24"/>
                <w:szCs w:val="24"/>
              </w:rPr>
              <w:t>情报学方法论概述；</w:t>
            </w:r>
          </w:p>
          <w:p w14:paraId="0B003641">
            <w:pPr>
              <w:rPr>
                <w:rFonts w:ascii="宋体" w:hAnsi="宋体" w:eastAsia="宋体"/>
                <w:sz w:val="24"/>
                <w:szCs w:val="24"/>
              </w:rPr>
            </w:pPr>
            <w:r>
              <w:rPr>
                <w:rFonts w:hint="eastAsia" w:ascii="宋体" w:hAnsi="宋体" w:eastAsia="宋体"/>
                <w:sz w:val="24"/>
                <w:szCs w:val="24"/>
              </w:rPr>
              <w:t>通用科学方法</w:t>
            </w:r>
          </w:p>
          <w:p w14:paraId="02B7B905">
            <w:pPr>
              <w:rPr>
                <w:rFonts w:ascii="宋体" w:hAnsi="宋体" w:eastAsia="宋体"/>
                <w:sz w:val="24"/>
                <w:szCs w:val="24"/>
              </w:rPr>
            </w:pPr>
            <w:r>
              <w:rPr>
                <w:rFonts w:hint="eastAsia" w:ascii="宋体" w:hAnsi="宋体" w:eastAsia="宋体"/>
                <w:sz w:val="24"/>
                <w:szCs w:val="24"/>
              </w:rPr>
              <w:t>情报学专门方法</w:t>
            </w:r>
          </w:p>
        </w:tc>
        <w:tc>
          <w:tcPr>
            <w:tcW w:w="5096" w:type="dxa"/>
            <w:vAlign w:val="center"/>
          </w:tcPr>
          <w:p w14:paraId="4EEC76F4">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7DF65D9F">
            <w:pPr>
              <w:rPr>
                <w:rFonts w:ascii="宋体" w:hAnsi="宋体" w:eastAsia="宋体"/>
                <w:sz w:val="24"/>
                <w:szCs w:val="24"/>
              </w:rPr>
            </w:pPr>
            <w:r>
              <w:rPr>
                <w:rFonts w:hint="eastAsia" w:ascii="宋体" w:hAnsi="宋体" w:eastAsia="宋体"/>
                <w:sz w:val="24"/>
                <w:szCs w:val="24"/>
              </w:rPr>
              <w:t>引文分析法的科学评价`````华人科学家发明的科学计量工具</w:t>
            </w:r>
          </w:p>
        </w:tc>
        <w:tc>
          <w:tcPr>
            <w:tcW w:w="5096" w:type="dxa"/>
            <w:vAlign w:val="center"/>
          </w:tcPr>
          <w:p w14:paraId="1A3ECFAB">
            <w:pPr>
              <w:rPr>
                <w:rFonts w:ascii="宋体" w:hAnsi="宋体" w:eastAsia="宋体"/>
                <w:sz w:val="24"/>
                <w:szCs w:val="24"/>
              </w:rPr>
            </w:pPr>
            <w:r>
              <w:rPr>
                <w:rFonts w:hint="eastAsia" w:ascii="宋体" w:hAnsi="宋体" w:eastAsia="宋体"/>
                <w:sz w:val="24"/>
                <w:szCs w:val="24"/>
              </w:rPr>
              <w:t>难点：引文分析法</w:t>
            </w:r>
          </w:p>
        </w:tc>
        <w:tc>
          <w:tcPr>
            <w:tcW w:w="1555" w:type="dxa"/>
            <w:vAlign w:val="center"/>
          </w:tcPr>
          <w:p w14:paraId="568DCCC3">
            <w:pPr>
              <w:jc w:val="center"/>
              <w:rPr>
                <w:rFonts w:ascii="宋体" w:hAnsi="宋体" w:eastAsia="宋体"/>
                <w:sz w:val="24"/>
                <w:szCs w:val="24"/>
              </w:rPr>
            </w:pPr>
            <w:r>
              <w:rPr>
                <w:rFonts w:hint="eastAsia" w:ascii="宋体" w:hAnsi="宋体" w:eastAsia="宋体"/>
                <w:sz w:val="24"/>
                <w:szCs w:val="24"/>
              </w:rPr>
              <w:t>第4 周</w:t>
            </w:r>
          </w:p>
        </w:tc>
        <w:tc>
          <w:tcPr>
            <w:tcW w:w="5096" w:type="dxa"/>
            <w:vAlign w:val="center"/>
          </w:tcPr>
          <w:p w14:paraId="60941B6B">
            <w:pPr>
              <w:rPr>
                <w:rFonts w:ascii="宋体" w:hAnsi="宋体" w:eastAsia="宋体"/>
                <w:sz w:val="24"/>
                <w:szCs w:val="24"/>
              </w:rPr>
            </w:pPr>
          </w:p>
        </w:tc>
      </w:tr>
      <w:tr w14:paraId="29FF6E2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28364A9E">
            <w:pPr>
              <w:rPr>
                <w:rFonts w:ascii="宋体" w:hAnsi="宋体" w:eastAsia="宋体"/>
                <w:sz w:val="24"/>
                <w:szCs w:val="24"/>
              </w:rPr>
            </w:pPr>
            <w:r>
              <w:rPr>
                <w:rFonts w:hint="eastAsia" w:ascii="宋体" w:hAnsi="宋体" w:eastAsia="宋体"/>
                <w:sz w:val="24"/>
                <w:szCs w:val="24"/>
              </w:rPr>
              <w:t>第4章 情报源</w:t>
            </w:r>
          </w:p>
        </w:tc>
        <w:tc>
          <w:tcPr>
            <w:tcW w:w="5096" w:type="dxa"/>
            <w:vAlign w:val="center"/>
          </w:tcPr>
          <w:p w14:paraId="1285B7AC">
            <w:pPr>
              <w:rPr>
                <w:rFonts w:ascii="宋体" w:hAnsi="宋体" w:eastAsia="宋体"/>
                <w:sz w:val="24"/>
                <w:szCs w:val="24"/>
              </w:rPr>
            </w:pPr>
            <w:r>
              <w:rPr>
                <w:rFonts w:hint="eastAsia" w:ascii="宋体" w:hAnsi="宋体" w:eastAsia="宋体"/>
                <w:sz w:val="24"/>
                <w:szCs w:val="24"/>
              </w:rPr>
              <w:t>情报源导引；</w:t>
            </w:r>
          </w:p>
          <w:p w14:paraId="064B8E4C">
            <w:pPr>
              <w:rPr>
                <w:rFonts w:ascii="宋体" w:hAnsi="宋体" w:eastAsia="宋体"/>
                <w:sz w:val="24"/>
                <w:szCs w:val="24"/>
              </w:rPr>
            </w:pPr>
            <w:r>
              <w:rPr>
                <w:rFonts w:hint="eastAsia" w:ascii="宋体" w:hAnsi="宋体" w:eastAsia="宋体"/>
                <w:sz w:val="24"/>
                <w:szCs w:val="24"/>
              </w:rPr>
              <w:t>文献情报源及其数字化资源</w:t>
            </w:r>
          </w:p>
          <w:p w14:paraId="2F33E227">
            <w:pPr>
              <w:rPr>
                <w:rFonts w:ascii="宋体" w:hAnsi="宋体" w:eastAsia="宋体"/>
                <w:sz w:val="24"/>
                <w:szCs w:val="24"/>
              </w:rPr>
            </w:pPr>
            <w:r>
              <w:rPr>
                <w:rFonts w:hint="eastAsia" w:ascii="宋体" w:hAnsi="宋体" w:eastAsia="宋体"/>
                <w:sz w:val="24"/>
                <w:szCs w:val="24"/>
              </w:rPr>
              <w:t>非文献情报源</w:t>
            </w:r>
          </w:p>
          <w:p w14:paraId="1FDB7167">
            <w:pPr>
              <w:rPr>
                <w:rFonts w:ascii="宋体" w:hAnsi="宋体" w:eastAsia="宋体"/>
                <w:sz w:val="24"/>
                <w:szCs w:val="24"/>
              </w:rPr>
            </w:pPr>
            <w:r>
              <w:rPr>
                <w:rFonts w:hint="eastAsia" w:ascii="宋体" w:hAnsi="宋体" w:eastAsia="宋体"/>
                <w:sz w:val="24"/>
                <w:szCs w:val="24"/>
              </w:rPr>
              <w:t>情报源评价</w:t>
            </w:r>
          </w:p>
        </w:tc>
        <w:tc>
          <w:tcPr>
            <w:tcW w:w="5096" w:type="dxa"/>
            <w:vAlign w:val="center"/>
          </w:tcPr>
          <w:p w14:paraId="474DFBBF">
            <w:pPr>
              <w:rPr>
                <w:rFonts w:ascii="宋体" w:hAnsi="宋体" w:eastAsia="宋体"/>
                <w:sz w:val="24"/>
                <w:szCs w:val="24"/>
              </w:rPr>
            </w:pPr>
            <w:r>
              <w:rPr>
                <w:rFonts w:hint="eastAsia" w:ascii="宋体" w:hAnsi="宋体" w:eastAsia="宋体"/>
                <w:sz w:val="24"/>
                <w:szCs w:val="24"/>
              </w:rPr>
              <w:t>4</w:t>
            </w:r>
          </w:p>
        </w:tc>
        <w:tc>
          <w:tcPr>
            <w:tcW w:w="5096" w:type="dxa"/>
            <w:vAlign w:val="center"/>
          </w:tcPr>
          <w:p w14:paraId="57EE6C79">
            <w:pPr>
              <w:rPr>
                <w:rFonts w:ascii="宋体" w:hAnsi="宋体" w:eastAsia="宋体"/>
                <w:sz w:val="24"/>
                <w:szCs w:val="24"/>
              </w:rPr>
            </w:pPr>
            <w:r>
              <w:rPr>
                <w:rFonts w:hint="eastAsia" w:ascii="宋体" w:hAnsi="宋体" w:eastAsia="宋体"/>
                <w:sz w:val="24"/>
                <w:szCs w:val="24"/>
              </w:rPr>
              <w:t>价值引领：求真务实；情报源公开，真实，客观是开展情报分析的基础</w:t>
            </w:r>
          </w:p>
        </w:tc>
        <w:tc>
          <w:tcPr>
            <w:tcW w:w="5096" w:type="dxa"/>
            <w:vAlign w:val="center"/>
          </w:tcPr>
          <w:p w14:paraId="61040C18">
            <w:pPr>
              <w:rPr>
                <w:rFonts w:ascii="宋体" w:hAnsi="宋体" w:eastAsia="宋体"/>
                <w:sz w:val="24"/>
                <w:szCs w:val="24"/>
              </w:rPr>
            </w:pPr>
            <w:r>
              <w:rPr>
                <w:rFonts w:hint="eastAsia" w:ascii="宋体" w:hAnsi="宋体" w:eastAsia="宋体"/>
                <w:sz w:val="24"/>
                <w:szCs w:val="24"/>
              </w:rPr>
              <w:t>重点：公开情报源</w:t>
            </w:r>
          </w:p>
          <w:p w14:paraId="5A01DD32">
            <w:pPr>
              <w:rPr>
                <w:rFonts w:ascii="宋体" w:hAnsi="宋体" w:eastAsia="宋体"/>
                <w:sz w:val="24"/>
                <w:szCs w:val="24"/>
              </w:rPr>
            </w:pPr>
            <w:r>
              <w:rPr>
                <w:rFonts w:hint="eastAsia" w:ascii="宋体" w:hAnsi="宋体" w:eastAsia="宋体"/>
                <w:sz w:val="24"/>
                <w:szCs w:val="24"/>
              </w:rPr>
              <w:t>AI环境下信息管理的挑战</w:t>
            </w:r>
          </w:p>
        </w:tc>
        <w:tc>
          <w:tcPr>
            <w:tcW w:w="1555" w:type="dxa"/>
            <w:vAlign w:val="center"/>
          </w:tcPr>
          <w:p w14:paraId="2FB32D19">
            <w:pPr>
              <w:jc w:val="center"/>
              <w:rPr>
                <w:rFonts w:ascii="宋体" w:hAnsi="宋体" w:eastAsia="宋体"/>
                <w:sz w:val="24"/>
                <w:szCs w:val="24"/>
              </w:rPr>
            </w:pPr>
            <w:r>
              <w:rPr>
                <w:rFonts w:hint="eastAsia" w:ascii="宋体" w:hAnsi="宋体" w:eastAsia="宋体"/>
                <w:sz w:val="24"/>
                <w:szCs w:val="24"/>
              </w:rPr>
              <w:t>第5,6 周</w:t>
            </w:r>
          </w:p>
        </w:tc>
        <w:tc>
          <w:tcPr>
            <w:tcW w:w="5096" w:type="dxa"/>
            <w:vAlign w:val="center"/>
          </w:tcPr>
          <w:p w14:paraId="3A1A66C8">
            <w:pPr>
              <w:rPr>
                <w:rFonts w:ascii="宋体" w:hAnsi="宋体" w:eastAsia="宋体"/>
                <w:sz w:val="24"/>
                <w:szCs w:val="24"/>
              </w:rPr>
            </w:pPr>
          </w:p>
        </w:tc>
      </w:tr>
      <w:tr w14:paraId="74C29B6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14985E5C">
            <w:pPr>
              <w:rPr>
                <w:rFonts w:ascii="宋体" w:hAnsi="宋体" w:eastAsia="宋体"/>
                <w:sz w:val="24"/>
                <w:szCs w:val="24"/>
              </w:rPr>
            </w:pPr>
            <w:r>
              <w:rPr>
                <w:rFonts w:hint="eastAsia" w:ascii="宋体" w:hAnsi="宋体" w:eastAsia="宋体"/>
                <w:sz w:val="24"/>
                <w:szCs w:val="24"/>
              </w:rPr>
              <w:t>专题讨论1：情报源</w:t>
            </w:r>
          </w:p>
        </w:tc>
        <w:tc>
          <w:tcPr>
            <w:tcW w:w="5096" w:type="dxa"/>
            <w:vAlign w:val="center"/>
          </w:tcPr>
          <w:p w14:paraId="634B900D">
            <w:pPr>
              <w:rPr>
                <w:rFonts w:ascii="宋体" w:hAnsi="宋体" w:eastAsia="宋体"/>
                <w:sz w:val="24"/>
                <w:szCs w:val="24"/>
              </w:rPr>
            </w:pPr>
            <w:r>
              <w:rPr>
                <w:rFonts w:hint="eastAsia" w:ascii="宋体" w:hAnsi="宋体" w:eastAsia="宋体"/>
                <w:sz w:val="24"/>
                <w:szCs w:val="24"/>
              </w:rPr>
              <w:t>AI环境下情报信息的获取</w:t>
            </w:r>
          </w:p>
          <w:p w14:paraId="2E94418D">
            <w:pPr>
              <w:rPr>
                <w:rFonts w:ascii="宋体" w:hAnsi="宋体" w:eastAsia="宋体"/>
                <w:sz w:val="24"/>
                <w:szCs w:val="24"/>
              </w:rPr>
            </w:pPr>
            <w:r>
              <w:rPr>
                <w:rFonts w:hint="eastAsia" w:ascii="宋体" w:hAnsi="宋体" w:eastAsia="宋体"/>
                <w:sz w:val="24"/>
                <w:szCs w:val="24"/>
              </w:rPr>
              <w:t>信息源、信息质量评价标准</w:t>
            </w:r>
          </w:p>
        </w:tc>
        <w:tc>
          <w:tcPr>
            <w:tcW w:w="5096" w:type="dxa"/>
            <w:vAlign w:val="center"/>
          </w:tcPr>
          <w:p w14:paraId="57D651A9">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61A699F0">
            <w:pPr>
              <w:rPr>
                <w:rFonts w:ascii="宋体" w:hAnsi="宋体" w:eastAsia="宋体"/>
                <w:sz w:val="24"/>
                <w:szCs w:val="24"/>
              </w:rPr>
            </w:pPr>
            <w:r>
              <w:rPr>
                <w:rFonts w:hint="eastAsia" w:ascii="宋体" w:hAnsi="宋体" w:eastAsia="宋体"/>
                <w:sz w:val="24"/>
                <w:szCs w:val="24"/>
              </w:rPr>
              <w:t>AI前沿技术应用，提示词工程的框架，提升AI 素养、强调AI伦理</w:t>
            </w:r>
          </w:p>
        </w:tc>
        <w:tc>
          <w:tcPr>
            <w:tcW w:w="5096" w:type="dxa"/>
            <w:vAlign w:val="center"/>
          </w:tcPr>
          <w:p w14:paraId="7B53FF6D">
            <w:pPr>
              <w:rPr>
                <w:rFonts w:ascii="宋体" w:hAnsi="宋体" w:eastAsia="宋体"/>
                <w:sz w:val="24"/>
                <w:szCs w:val="24"/>
              </w:rPr>
            </w:pPr>
            <w:r>
              <w:rPr>
                <w:rFonts w:hint="eastAsia" w:ascii="宋体" w:hAnsi="宋体" w:eastAsia="宋体"/>
                <w:sz w:val="24"/>
                <w:szCs w:val="24"/>
              </w:rPr>
              <w:t>难点：AI技术迭代快速，提示词工程的框架的变化需要及时跟进</w:t>
            </w:r>
          </w:p>
        </w:tc>
        <w:tc>
          <w:tcPr>
            <w:tcW w:w="1555" w:type="dxa"/>
            <w:vAlign w:val="center"/>
          </w:tcPr>
          <w:p w14:paraId="7EA45747">
            <w:pPr>
              <w:jc w:val="center"/>
              <w:rPr>
                <w:rFonts w:ascii="宋体" w:hAnsi="宋体" w:eastAsia="宋体"/>
                <w:sz w:val="24"/>
                <w:szCs w:val="24"/>
              </w:rPr>
            </w:pPr>
            <w:r>
              <w:rPr>
                <w:rFonts w:hint="eastAsia" w:ascii="宋体" w:hAnsi="宋体" w:eastAsia="宋体"/>
                <w:sz w:val="24"/>
                <w:szCs w:val="24"/>
              </w:rPr>
              <w:t>第7 周</w:t>
            </w:r>
          </w:p>
        </w:tc>
        <w:tc>
          <w:tcPr>
            <w:tcW w:w="5096" w:type="dxa"/>
            <w:vAlign w:val="center"/>
          </w:tcPr>
          <w:p w14:paraId="1286213A">
            <w:pPr>
              <w:rPr>
                <w:rFonts w:ascii="宋体" w:hAnsi="宋体" w:eastAsia="宋体"/>
                <w:sz w:val="24"/>
                <w:szCs w:val="24"/>
              </w:rPr>
            </w:pPr>
          </w:p>
        </w:tc>
      </w:tr>
      <w:tr w14:paraId="18C1E45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27A86FF3">
            <w:pPr>
              <w:rPr>
                <w:rFonts w:ascii="宋体" w:hAnsi="宋体" w:eastAsia="宋体"/>
                <w:sz w:val="24"/>
                <w:szCs w:val="24"/>
              </w:rPr>
            </w:pPr>
            <w:r>
              <w:rPr>
                <w:rFonts w:hint="eastAsia" w:ascii="宋体" w:hAnsi="宋体" w:eastAsia="宋体"/>
                <w:sz w:val="24"/>
                <w:szCs w:val="24"/>
              </w:rPr>
              <w:t>第5章 情报管理</w:t>
            </w:r>
          </w:p>
          <w:p w14:paraId="492C3C64">
            <w:pPr>
              <w:rPr>
                <w:rFonts w:ascii="宋体" w:hAnsi="宋体" w:eastAsia="宋体"/>
                <w:sz w:val="24"/>
                <w:szCs w:val="24"/>
              </w:rPr>
            </w:pPr>
          </w:p>
        </w:tc>
        <w:tc>
          <w:tcPr>
            <w:tcW w:w="5096" w:type="dxa"/>
            <w:vAlign w:val="center"/>
          </w:tcPr>
          <w:p w14:paraId="1B94BE35">
            <w:pPr>
              <w:rPr>
                <w:rFonts w:ascii="宋体" w:hAnsi="宋体" w:eastAsia="宋体"/>
                <w:sz w:val="24"/>
                <w:szCs w:val="24"/>
              </w:rPr>
            </w:pPr>
            <w:r>
              <w:rPr>
                <w:rFonts w:hint="eastAsia" w:ascii="宋体" w:hAnsi="宋体" w:eastAsia="宋体"/>
                <w:sz w:val="24"/>
                <w:szCs w:val="24"/>
              </w:rPr>
              <w:t>元数据；</w:t>
            </w:r>
          </w:p>
          <w:p w14:paraId="6BE8CD6E">
            <w:pPr>
              <w:rPr>
                <w:rFonts w:ascii="宋体" w:hAnsi="宋体" w:eastAsia="宋体"/>
                <w:sz w:val="24"/>
                <w:szCs w:val="24"/>
              </w:rPr>
            </w:pPr>
            <w:r>
              <w:rPr>
                <w:rFonts w:hint="eastAsia" w:ascii="宋体" w:hAnsi="宋体" w:eastAsia="宋体"/>
                <w:sz w:val="24"/>
                <w:szCs w:val="24"/>
              </w:rPr>
              <w:t>知识组织、知识本体和知识图谱</w:t>
            </w:r>
          </w:p>
          <w:p w14:paraId="5328EF50">
            <w:pPr>
              <w:rPr>
                <w:rFonts w:ascii="宋体" w:hAnsi="宋体" w:eastAsia="宋体"/>
                <w:sz w:val="24"/>
                <w:szCs w:val="24"/>
              </w:rPr>
            </w:pPr>
          </w:p>
        </w:tc>
        <w:tc>
          <w:tcPr>
            <w:tcW w:w="5096" w:type="dxa"/>
            <w:vAlign w:val="center"/>
          </w:tcPr>
          <w:p w14:paraId="3307A6E7">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3A9F031F">
            <w:pPr>
              <w:rPr>
                <w:rFonts w:ascii="宋体" w:hAnsi="宋体" w:eastAsia="宋体"/>
                <w:sz w:val="24"/>
                <w:szCs w:val="24"/>
              </w:rPr>
            </w:pPr>
            <w:r>
              <w:rPr>
                <w:rFonts w:hint="eastAsia" w:ascii="宋体" w:hAnsi="宋体" w:eastAsia="宋体"/>
                <w:sz w:val="24"/>
                <w:szCs w:val="24"/>
              </w:rPr>
              <w:t>中国特色的知识组织进展，文化遗产领域的知识组织代表性项目</w:t>
            </w:r>
          </w:p>
        </w:tc>
        <w:tc>
          <w:tcPr>
            <w:tcW w:w="5096" w:type="dxa"/>
            <w:vAlign w:val="center"/>
          </w:tcPr>
          <w:p w14:paraId="1D87B858">
            <w:pPr>
              <w:rPr>
                <w:rFonts w:ascii="宋体" w:hAnsi="宋体" w:eastAsia="宋体"/>
                <w:sz w:val="24"/>
                <w:szCs w:val="24"/>
              </w:rPr>
            </w:pPr>
            <w:r>
              <w:rPr>
                <w:rFonts w:hint="eastAsia" w:ascii="宋体" w:hAnsi="宋体" w:eastAsia="宋体"/>
                <w:sz w:val="24"/>
                <w:szCs w:val="24"/>
              </w:rPr>
              <w:t>难点：AI知识组织任务的实操</w:t>
            </w:r>
          </w:p>
        </w:tc>
        <w:tc>
          <w:tcPr>
            <w:tcW w:w="1555" w:type="dxa"/>
            <w:vAlign w:val="center"/>
          </w:tcPr>
          <w:p w14:paraId="16C14B4A">
            <w:pPr>
              <w:jc w:val="center"/>
              <w:rPr>
                <w:rFonts w:ascii="宋体" w:hAnsi="宋体" w:eastAsia="宋体"/>
                <w:sz w:val="24"/>
                <w:szCs w:val="24"/>
              </w:rPr>
            </w:pPr>
            <w:r>
              <w:rPr>
                <w:rFonts w:hint="eastAsia" w:ascii="宋体" w:hAnsi="宋体" w:eastAsia="宋体"/>
                <w:sz w:val="24"/>
                <w:szCs w:val="24"/>
              </w:rPr>
              <w:t>第8 周</w:t>
            </w:r>
          </w:p>
        </w:tc>
        <w:tc>
          <w:tcPr>
            <w:tcW w:w="5096" w:type="dxa"/>
            <w:vAlign w:val="center"/>
          </w:tcPr>
          <w:p w14:paraId="2E3A3823">
            <w:pPr>
              <w:rPr>
                <w:rFonts w:ascii="宋体" w:hAnsi="宋体" w:eastAsia="宋体"/>
                <w:sz w:val="24"/>
                <w:szCs w:val="24"/>
              </w:rPr>
            </w:pPr>
          </w:p>
        </w:tc>
      </w:tr>
      <w:tr w14:paraId="020D2FC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18313B41">
            <w:pPr>
              <w:rPr>
                <w:rFonts w:ascii="宋体" w:hAnsi="宋体" w:eastAsia="宋体"/>
                <w:sz w:val="24"/>
                <w:szCs w:val="24"/>
              </w:rPr>
            </w:pPr>
            <w:r>
              <w:rPr>
                <w:rFonts w:hint="eastAsia" w:ascii="宋体" w:hAnsi="宋体" w:eastAsia="宋体"/>
                <w:sz w:val="24"/>
                <w:szCs w:val="24"/>
              </w:rPr>
              <w:t>第6章 情报检索</w:t>
            </w:r>
          </w:p>
        </w:tc>
        <w:tc>
          <w:tcPr>
            <w:tcW w:w="5096" w:type="dxa"/>
            <w:vAlign w:val="center"/>
          </w:tcPr>
          <w:p w14:paraId="6F37F0CF">
            <w:pPr>
              <w:rPr>
                <w:rFonts w:ascii="宋体" w:hAnsi="宋体" w:eastAsia="宋体"/>
                <w:sz w:val="24"/>
                <w:szCs w:val="24"/>
              </w:rPr>
            </w:pPr>
            <w:r>
              <w:rPr>
                <w:rFonts w:hint="eastAsia" w:ascii="宋体" w:hAnsi="宋体" w:eastAsia="宋体"/>
                <w:sz w:val="24"/>
                <w:szCs w:val="24"/>
              </w:rPr>
              <w:t>情报检索理论基础和检索评价参数；</w:t>
            </w:r>
          </w:p>
          <w:p w14:paraId="5E2B4AFF">
            <w:pPr>
              <w:rPr>
                <w:rFonts w:ascii="宋体" w:hAnsi="宋体" w:eastAsia="宋体"/>
                <w:sz w:val="24"/>
                <w:szCs w:val="24"/>
              </w:rPr>
            </w:pPr>
            <w:r>
              <w:rPr>
                <w:rFonts w:hint="eastAsia" w:ascii="宋体" w:hAnsi="宋体" w:eastAsia="宋体"/>
                <w:sz w:val="24"/>
                <w:szCs w:val="24"/>
              </w:rPr>
              <w:t>全文数据库的发展及其检索利用；</w:t>
            </w:r>
          </w:p>
          <w:p w14:paraId="4FB77042">
            <w:pPr>
              <w:rPr>
                <w:rFonts w:ascii="宋体" w:hAnsi="宋体" w:eastAsia="宋体"/>
                <w:sz w:val="24"/>
                <w:szCs w:val="24"/>
              </w:rPr>
            </w:pPr>
            <w:r>
              <w:rPr>
                <w:rFonts w:hint="eastAsia" w:ascii="宋体" w:hAnsi="宋体" w:eastAsia="宋体"/>
                <w:sz w:val="24"/>
                <w:szCs w:val="24"/>
              </w:rPr>
              <w:t>重要手工检索工具及其对应数据库；</w:t>
            </w:r>
          </w:p>
          <w:p w14:paraId="2EB78E67">
            <w:pPr>
              <w:rPr>
                <w:rFonts w:ascii="宋体" w:hAnsi="宋体" w:eastAsia="宋体"/>
                <w:sz w:val="24"/>
                <w:szCs w:val="24"/>
              </w:rPr>
            </w:pPr>
            <w:r>
              <w:rPr>
                <w:rFonts w:hint="eastAsia" w:ascii="宋体" w:hAnsi="宋体" w:eastAsia="宋体"/>
                <w:sz w:val="24"/>
                <w:szCs w:val="24"/>
              </w:rPr>
              <w:t>专利检索实践操作；</w:t>
            </w:r>
          </w:p>
          <w:p w14:paraId="5C665395">
            <w:pPr>
              <w:rPr>
                <w:rFonts w:ascii="宋体" w:hAnsi="宋体" w:eastAsia="宋体"/>
                <w:sz w:val="24"/>
                <w:szCs w:val="24"/>
              </w:rPr>
            </w:pPr>
            <w:r>
              <w:rPr>
                <w:rFonts w:hint="eastAsia" w:ascii="宋体" w:hAnsi="宋体" w:eastAsia="宋体"/>
                <w:sz w:val="24"/>
                <w:szCs w:val="24"/>
              </w:rPr>
              <w:t>网络信息检索技术和主要搜索引擎</w:t>
            </w:r>
          </w:p>
        </w:tc>
        <w:tc>
          <w:tcPr>
            <w:tcW w:w="5096" w:type="dxa"/>
            <w:vAlign w:val="center"/>
          </w:tcPr>
          <w:p w14:paraId="6B1F33A2">
            <w:pPr>
              <w:rPr>
                <w:rFonts w:ascii="宋体" w:hAnsi="宋体" w:eastAsia="宋体"/>
                <w:sz w:val="24"/>
                <w:szCs w:val="24"/>
              </w:rPr>
            </w:pPr>
            <w:r>
              <w:rPr>
                <w:rFonts w:hint="eastAsia" w:ascii="宋体" w:hAnsi="宋体" w:eastAsia="宋体"/>
                <w:sz w:val="24"/>
                <w:szCs w:val="24"/>
              </w:rPr>
              <w:t>4</w:t>
            </w:r>
          </w:p>
        </w:tc>
        <w:tc>
          <w:tcPr>
            <w:tcW w:w="5096" w:type="dxa"/>
            <w:vAlign w:val="center"/>
          </w:tcPr>
          <w:p w14:paraId="3A24D3D9">
            <w:pPr>
              <w:rPr>
                <w:rFonts w:ascii="宋体" w:hAnsi="宋体" w:eastAsia="宋体"/>
                <w:sz w:val="24"/>
                <w:szCs w:val="24"/>
              </w:rPr>
            </w:pPr>
            <w:r>
              <w:rPr>
                <w:rFonts w:hint="eastAsia" w:ascii="宋体" w:hAnsi="宋体" w:eastAsia="宋体"/>
                <w:sz w:val="24"/>
                <w:szCs w:val="24"/>
              </w:rPr>
              <w:t>检索结果的全面、客观评价</w:t>
            </w:r>
          </w:p>
        </w:tc>
        <w:tc>
          <w:tcPr>
            <w:tcW w:w="5096" w:type="dxa"/>
            <w:vAlign w:val="center"/>
          </w:tcPr>
          <w:p w14:paraId="51095667">
            <w:pPr>
              <w:rPr>
                <w:rFonts w:ascii="宋体" w:hAnsi="宋体" w:eastAsia="宋体"/>
                <w:sz w:val="24"/>
                <w:szCs w:val="24"/>
              </w:rPr>
            </w:pPr>
            <w:r>
              <w:rPr>
                <w:rFonts w:hint="eastAsia" w:ascii="宋体" w:hAnsi="宋体" w:eastAsia="宋体"/>
                <w:sz w:val="24"/>
                <w:szCs w:val="24"/>
              </w:rPr>
              <w:t>重点：中国大型学术文献发现平台</w:t>
            </w:r>
          </w:p>
          <w:p w14:paraId="1A603889">
            <w:pPr>
              <w:rPr>
                <w:rFonts w:ascii="宋体" w:hAnsi="宋体" w:eastAsia="宋体"/>
                <w:sz w:val="24"/>
                <w:szCs w:val="24"/>
              </w:rPr>
            </w:pPr>
            <w:r>
              <w:rPr>
                <w:rFonts w:hint="eastAsia" w:ascii="宋体" w:hAnsi="宋体" w:eastAsia="宋体"/>
                <w:sz w:val="24"/>
                <w:szCs w:val="24"/>
              </w:rPr>
              <w:t>难点：AI学术检索</w:t>
            </w:r>
          </w:p>
        </w:tc>
        <w:tc>
          <w:tcPr>
            <w:tcW w:w="1555" w:type="dxa"/>
            <w:vAlign w:val="center"/>
          </w:tcPr>
          <w:p w14:paraId="634C6BAF">
            <w:pPr>
              <w:jc w:val="center"/>
              <w:rPr>
                <w:rFonts w:ascii="宋体" w:hAnsi="宋体" w:eastAsia="宋体"/>
                <w:sz w:val="24"/>
                <w:szCs w:val="24"/>
              </w:rPr>
            </w:pPr>
            <w:r>
              <w:rPr>
                <w:rFonts w:hint="eastAsia" w:ascii="宋体" w:hAnsi="宋体" w:eastAsia="宋体"/>
                <w:sz w:val="24"/>
                <w:szCs w:val="24"/>
              </w:rPr>
              <w:t>第10,9 周</w:t>
            </w:r>
          </w:p>
        </w:tc>
        <w:tc>
          <w:tcPr>
            <w:tcW w:w="5096" w:type="dxa"/>
            <w:vAlign w:val="center"/>
          </w:tcPr>
          <w:p w14:paraId="34B88D9D">
            <w:pPr>
              <w:rPr>
                <w:rFonts w:ascii="宋体" w:hAnsi="宋体" w:eastAsia="宋体"/>
                <w:sz w:val="24"/>
                <w:szCs w:val="24"/>
              </w:rPr>
            </w:pPr>
          </w:p>
        </w:tc>
      </w:tr>
      <w:tr w14:paraId="7324110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216C1118">
            <w:pPr>
              <w:rPr>
                <w:rFonts w:ascii="宋体" w:hAnsi="宋体" w:eastAsia="宋体"/>
                <w:sz w:val="24"/>
                <w:szCs w:val="24"/>
              </w:rPr>
            </w:pPr>
            <w:r>
              <w:rPr>
                <w:rFonts w:hint="eastAsia" w:ascii="宋体" w:hAnsi="宋体" w:eastAsia="宋体"/>
                <w:sz w:val="24"/>
                <w:szCs w:val="24"/>
              </w:rPr>
              <w:t>专题讨论：AI检索</w:t>
            </w:r>
          </w:p>
        </w:tc>
        <w:tc>
          <w:tcPr>
            <w:tcW w:w="5096" w:type="dxa"/>
            <w:vAlign w:val="center"/>
          </w:tcPr>
          <w:p w14:paraId="1E37436B">
            <w:pPr>
              <w:rPr>
                <w:rFonts w:ascii="宋体" w:hAnsi="宋体" w:eastAsia="宋体"/>
                <w:sz w:val="24"/>
                <w:szCs w:val="24"/>
              </w:rPr>
            </w:pPr>
          </w:p>
          <w:p w14:paraId="01DE0FBD">
            <w:pPr>
              <w:rPr>
                <w:rFonts w:ascii="宋体" w:hAnsi="宋体" w:eastAsia="宋体"/>
                <w:sz w:val="24"/>
                <w:szCs w:val="24"/>
              </w:rPr>
            </w:pPr>
            <w:r>
              <w:rPr>
                <w:rFonts w:hint="eastAsia" w:ascii="宋体" w:hAnsi="宋体" w:eastAsia="宋体"/>
                <w:sz w:val="24"/>
                <w:szCs w:val="24"/>
              </w:rPr>
              <w:t>调研、讨论、比较AI检索工具性能</w:t>
            </w:r>
          </w:p>
          <w:p w14:paraId="28D08299">
            <w:pPr>
              <w:rPr>
                <w:rFonts w:ascii="宋体" w:hAnsi="宋体" w:eastAsia="宋体"/>
                <w:sz w:val="24"/>
                <w:szCs w:val="24"/>
              </w:rPr>
            </w:pPr>
          </w:p>
          <w:p w14:paraId="4B645257">
            <w:pPr>
              <w:rPr>
                <w:rFonts w:ascii="宋体" w:hAnsi="宋体" w:eastAsia="宋体"/>
                <w:sz w:val="24"/>
                <w:szCs w:val="24"/>
              </w:rPr>
            </w:pPr>
          </w:p>
        </w:tc>
        <w:tc>
          <w:tcPr>
            <w:tcW w:w="5096" w:type="dxa"/>
            <w:vAlign w:val="center"/>
          </w:tcPr>
          <w:p w14:paraId="5D0A5F02">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700F40E8">
            <w:pPr>
              <w:rPr>
                <w:rFonts w:ascii="宋体" w:hAnsi="宋体" w:eastAsia="宋体"/>
                <w:sz w:val="24"/>
                <w:szCs w:val="24"/>
              </w:rPr>
            </w:pPr>
            <w:r>
              <w:rPr>
                <w:rFonts w:hint="eastAsia" w:ascii="宋体" w:hAnsi="宋体" w:eastAsia="宋体"/>
                <w:sz w:val="24"/>
                <w:szCs w:val="24"/>
              </w:rPr>
              <w:t>CNKI、万方、等`````的AI检索功能、KIMI、秘塔、通义千问等AI工具的功能等</w:t>
            </w:r>
          </w:p>
        </w:tc>
        <w:tc>
          <w:tcPr>
            <w:tcW w:w="5096" w:type="dxa"/>
            <w:vAlign w:val="center"/>
          </w:tcPr>
          <w:p w14:paraId="36E75FB8">
            <w:pPr>
              <w:rPr>
                <w:rFonts w:ascii="宋体" w:hAnsi="宋体" w:eastAsia="宋体"/>
                <w:sz w:val="24"/>
                <w:szCs w:val="24"/>
              </w:rPr>
            </w:pPr>
            <w:r>
              <w:rPr>
                <w:rFonts w:hint="eastAsia" w:ascii="宋体" w:hAnsi="宋体" w:eastAsia="宋体"/>
                <w:sz w:val="24"/>
                <w:szCs w:val="24"/>
              </w:rPr>
              <w:t>重点：</w:t>
            </w:r>
          </w:p>
          <w:p w14:paraId="55625DFA">
            <w:pPr>
              <w:rPr>
                <w:rFonts w:ascii="宋体" w:hAnsi="宋体" w:eastAsia="宋体"/>
                <w:sz w:val="24"/>
                <w:szCs w:val="24"/>
              </w:rPr>
            </w:pPr>
            <w:r>
              <w:rPr>
                <w:rFonts w:hint="eastAsia" w:ascii="宋体" w:hAnsi="宋体" w:eastAsia="宋体"/>
                <w:sz w:val="24"/>
                <w:szCs w:val="24"/>
              </w:rPr>
              <w:t>AI学术检索与分析工具的性能</w:t>
            </w:r>
          </w:p>
        </w:tc>
        <w:tc>
          <w:tcPr>
            <w:tcW w:w="1555" w:type="dxa"/>
            <w:vAlign w:val="center"/>
          </w:tcPr>
          <w:p w14:paraId="2FF99A3B">
            <w:pPr>
              <w:jc w:val="center"/>
              <w:rPr>
                <w:rFonts w:ascii="宋体" w:hAnsi="宋体" w:eastAsia="宋体"/>
                <w:sz w:val="24"/>
                <w:szCs w:val="24"/>
              </w:rPr>
            </w:pPr>
            <w:r>
              <w:rPr>
                <w:rFonts w:hint="eastAsia" w:ascii="宋体" w:hAnsi="宋体" w:eastAsia="宋体"/>
                <w:sz w:val="24"/>
                <w:szCs w:val="24"/>
              </w:rPr>
              <w:t>第11 周</w:t>
            </w:r>
          </w:p>
        </w:tc>
        <w:tc>
          <w:tcPr>
            <w:tcW w:w="5096" w:type="dxa"/>
            <w:vAlign w:val="center"/>
          </w:tcPr>
          <w:p w14:paraId="13DD42D3">
            <w:pPr>
              <w:rPr>
                <w:rFonts w:ascii="宋体" w:hAnsi="宋体" w:eastAsia="宋体"/>
                <w:sz w:val="24"/>
                <w:szCs w:val="24"/>
              </w:rPr>
            </w:pPr>
          </w:p>
        </w:tc>
      </w:tr>
      <w:tr w14:paraId="481AB86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2B8E5B52">
            <w:pPr>
              <w:rPr>
                <w:rFonts w:ascii="宋体" w:hAnsi="宋体" w:eastAsia="宋体"/>
                <w:sz w:val="24"/>
                <w:szCs w:val="24"/>
              </w:rPr>
            </w:pPr>
            <w:r>
              <w:rPr>
                <w:rFonts w:hint="eastAsia" w:ascii="宋体" w:hAnsi="宋体" w:eastAsia="宋体"/>
                <w:sz w:val="24"/>
                <w:szCs w:val="24"/>
              </w:rPr>
              <w:t>第7章 情报分析</w:t>
            </w:r>
          </w:p>
        </w:tc>
        <w:tc>
          <w:tcPr>
            <w:tcW w:w="5096" w:type="dxa"/>
            <w:vAlign w:val="center"/>
          </w:tcPr>
          <w:p w14:paraId="27A28F00">
            <w:pPr>
              <w:rPr>
                <w:rFonts w:ascii="宋体" w:hAnsi="宋体" w:eastAsia="宋体"/>
                <w:sz w:val="24"/>
                <w:szCs w:val="24"/>
              </w:rPr>
            </w:pPr>
            <w:r>
              <w:rPr>
                <w:rFonts w:hint="eastAsia" w:ascii="宋体" w:hAnsi="宋体" w:eastAsia="宋体"/>
                <w:sz w:val="24"/>
                <w:szCs w:val="24"/>
              </w:rPr>
              <w:t>情报分析导引；</w:t>
            </w:r>
          </w:p>
          <w:p w14:paraId="29683101">
            <w:pPr>
              <w:rPr>
                <w:rFonts w:ascii="宋体" w:hAnsi="宋体" w:eastAsia="宋体"/>
                <w:sz w:val="24"/>
                <w:szCs w:val="24"/>
              </w:rPr>
            </w:pPr>
            <w:r>
              <w:rPr>
                <w:rFonts w:hint="eastAsia" w:ascii="宋体" w:hAnsi="宋体" w:eastAsia="宋体"/>
                <w:sz w:val="24"/>
                <w:szCs w:val="24"/>
              </w:rPr>
              <w:t>典型社科情报分析——竞争情报分析</w:t>
            </w:r>
          </w:p>
          <w:p w14:paraId="2CE458A1">
            <w:pPr>
              <w:rPr>
                <w:rFonts w:ascii="宋体" w:hAnsi="宋体" w:eastAsia="宋体"/>
                <w:sz w:val="24"/>
                <w:szCs w:val="24"/>
              </w:rPr>
            </w:pPr>
            <w:r>
              <w:rPr>
                <w:rFonts w:hint="eastAsia" w:ascii="宋体" w:hAnsi="宋体" w:eastAsia="宋体"/>
                <w:sz w:val="24"/>
                <w:szCs w:val="24"/>
              </w:rPr>
              <w:t>典型科技情报分析——专利情报分析</w:t>
            </w:r>
          </w:p>
        </w:tc>
        <w:tc>
          <w:tcPr>
            <w:tcW w:w="5096" w:type="dxa"/>
            <w:vAlign w:val="center"/>
          </w:tcPr>
          <w:p w14:paraId="21E8CCD2">
            <w:pPr>
              <w:rPr>
                <w:rFonts w:ascii="宋体" w:hAnsi="宋体" w:eastAsia="宋体"/>
                <w:sz w:val="24"/>
                <w:szCs w:val="24"/>
              </w:rPr>
            </w:pPr>
            <w:r>
              <w:rPr>
                <w:rFonts w:hint="eastAsia" w:ascii="宋体" w:hAnsi="宋体" w:eastAsia="宋体"/>
                <w:sz w:val="24"/>
                <w:szCs w:val="24"/>
              </w:rPr>
              <w:t>4</w:t>
            </w:r>
          </w:p>
        </w:tc>
        <w:tc>
          <w:tcPr>
            <w:tcW w:w="5096" w:type="dxa"/>
            <w:vAlign w:val="center"/>
          </w:tcPr>
          <w:p w14:paraId="29EAFB69">
            <w:pPr>
              <w:rPr>
                <w:rFonts w:ascii="宋体" w:hAnsi="宋体" w:eastAsia="宋体"/>
                <w:sz w:val="24"/>
                <w:szCs w:val="24"/>
              </w:rPr>
            </w:pPr>
            <w:r>
              <w:rPr>
                <w:rFonts w:hint="eastAsia" w:ascii="宋体" w:hAnsi="宋体" w:eastAsia="宋体"/>
                <w:sz w:val="24"/>
                <w:szCs w:val="24"/>
              </w:rPr>
              <w:t>核心价值观：法治；美国337调查的情报分析，成功案例</w:t>
            </w:r>
          </w:p>
        </w:tc>
        <w:tc>
          <w:tcPr>
            <w:tcW w:w="5096" w:type="dxa"/>
            <w:vAlign w:val="center"/>
          </w:tcPr>
          <w:p w14:paraId="4A94087D">
            <w:pPr>
              <w:rPr>
                <w:rFonts w:ascii="宋体" w:hAnsi="宋体" w:eastAsia="宋体"/>
                <w:sz w:val="24"/>
                <w:szCs w:val="24"/>
              </w:rPr>
            </w:pPr>
            <w:r>
              <w:rPr>
                <w:rFonts w:hint="eastAsia" w:ascii="宋体" w:hAnsi="宋体" w:eastAsia="宋体"/>
                <w:sz w:val="24"/>
                <w:szCs w:val="24"/>
              </w:rPr>
              <w:t>重点：我国专利检索与分析</w:t>
            </w:r>
          </w:p>
          <w:p w14:paraId="69CB5990">
            <w:pPr>
              <w:rPr>
                <w:rFonts w:ascii="宋体" w:hAnsi="宋体" w:eastAsia="宋体"/>
                <w:sz w:val="24"/>
                <w:szCs w:val="24"/>
              </w:rPr>
            </w:pPr>
            <w:r>
              <w:rPr>
                <w:rFonts w:hint="eastAsia" w:ascii="宋体" w:hAnsi="宋体" w:eastAsia="宋体"/>
                <w:sz w:val="24"/>
                <w:szCs w:val="24"/>
              </w:rPr>
              <w:t>难点：典型情报案例分析</w:t>
            </w:r>
          </w:p>
        </w:tc>
        <w:tc>
          <w:tcPr>
            <w:tcW w:w="1555" w:type="dxa"/>
            <w:vAlign w:val="center"/>
          </w:tcPr>
          <w:p w14:paraId="76E4F487">
            <w:pPr>
              <w:jc w:val="center"/>
              <w:rPr>
                <w:rFonts w:ascii="宋体" w:hAnsi="宋体" w:eastAsia="宋体"/>
                <w:sz w:val="24"/>
                <w:szCs w:val="24"/>
              </w:rPr>
            </w:pPr>
            <w:r>
              <w:rPr>
                <w:rFonts w:hint="eastAsia" w:ascii="宋体" w:hAnsi="宋体" w:eastAsia="宋体"/>
                <w:sz w:val="24"/>
                <w:szCs w:val="24"/>
              </w:rPr>
              <w:t>第12,13 周</w:t>
            </w:r>
          </w:p>
        </w:tc>
        <w:tc>
          <w:tcPr>
            <w:tcW w:w="5096" w:type="dxa"/>
            <w:vAlign w:val="center"/>
          </w:tcPr>
          <w:p w14:paraId="71524DDC">
            <w:pPr>
              <w:rPr>
                <w:rFonts w:ascii="宋体" w:hAnsi="宋体" w:eastAsia="宋体"/>
                <w:sz w:val="24"/>
                <w:szCs w:val="24"/>
              </w:rPr>
            </w:pPr>
          </w:p>
        </w:tc>
      </w:tr>
      <w:tr w14:paraId="2B05166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33C19CE0">
            <w:pPr>
              <w:rPr>
                <w:rFonts w:ascii="宋体" w:hAnsi="宋体" w:eastAsia="宋体"/>
                <w:sz w:val="24"/>
                <w:szCs w:val="24"/>
              </w:rPr>
            </w:pPr>
            <w:r>
              <w:rPr>
                <w:rFonts w:hint="eastAsia" w:ascii="宋体" w:hAnsi="宋体" w:eastAsia="宋体"/>
                <w:sz w:val="24"/>
                <w:szCs w:val="24"/>
              </w:rPr>
              <w:t>第8章 情报技术</w:t>
            </w:r>
          </w:p>
          <w:p w14:paraId="56AEA387">
            <w:pPr>
              <w:rPr>
                <w:rFonts w:ascii="宋体" w:hAnsi="宋体" w:eastAsia="宋体"/>
                <w:sz w:val="24"/>
                <w:szCs w:val="24"/>
              </w:rPr>
            </w:pPr>
          </w:p>
          <w:p w14:paraId="31E354E1">
            <w:pPr>
              <w:rPr>
                <w:rFonts w:ascii="宋体" w:hAnsi="宋体" w:eastAsia="宋体"/>
                <w:sz w:val="24"/>
                <w:szCs w:val="24"/>
              </w:rPr>
            </w:pPr>
          </w:p>
        </w:tc>
        <w:tc>
          <w:tcPr>
            <w:tcW w:w="5096" w:type="dxa"/>
            <w:vAlign w:val="center"/>
          </w:tcPr>
          <w:p w14:paraId="01C9ECB2">
            <w:pPr>
              <w:rPr>
                <w:rFonts w:ascii="宋体" w:hAnsi="宋体" w:eastAsia="宋体"/>
                <w:sz w:val="24"/>
                <w:szCs w:val="24"/>
              </w:rPr>
            </w:pPr>
            <w:r>
              <w:rPr>
                <w:rFonts w:hint="eastAsia" w:ascii="宋体" w:hAnsi="宋体" w:eastAsia="宋体"/>
                <w:sz w:val="24"/>
                <w:szCs w:val="24"/>
              </w:rPr>
              <w:t>人工智能技术的基本内容与方法</w:t>
            </w:r>
          </w:p>
          <w:p w14:paraId="13738ACF">
            <w:pPr>
              <w:rPr>
                <w:rFonts w:ascii="宋体" w:hAnsi="宋体" w:eastAsia="宋体"/>
                <w:sz w:val="24"/>
                <w:szCs w:val="24"/>
              </w:rPr>
            </w:pPr>
            <w:r>
              <w:rPr>
                <w:rFonts w:hint="eastAsia" w:ascii="宋体" w:hAnsi="宋体" w:eastAsia="宋体"/>
                <w:sz w:val="24"/>
                <w:szCs w:val="24"/>
              </w:rPr>
              <w:t>人工智能在情报服务实践中的应用</w:t>
            </w:r>
          </w:p>
        </w:tc>
        <w:tc>
          <w:tcPr>
            <w:tcW w:w="5096" w:type="dxa"/>
            <w:vAlign w:val="center"/>
          </w:tcPr>
          <w:p w14:paraId="6F8B9AC5">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2E06ECB6">
            <w:pPr>
              <w:rPr>
                <w:rFonts w:ascii="宋体" w:hAnsi="宋体" w:eastAsia="宋体"/>
                <w:sz w:val="24"/>
                <w:szCs w:val="24"/>
              </w:rPr>
            </w:pPr>
            <w:r>
              <w:rPr>
                <w:rFonts w:hint="eastAsia" w:ascii="宋体" w:hAnsi="宋体" w:eastAsia="宋体"/>
                <w:sz w:val="24"/>
                <w:szCs w:val="24"/>
              </w:rPr>
              <w:t>国内外情报学研究热点，了解国内外研究动态</w:t>
            </w:r>
          </w:p>
        </w:tc>
        <w:tc>
          <w:tcPr>
            <w:tcW w:w="5096" w:type="dxa"/>
            <w:vAlign w:val="center"/>
          </w:tcPr>
          <w:p w14:paraId="33E72281">
            <w:pPr>
              <w:rPr>
                <w:rFonts w:ascii="宋体" w:hAnsi="宋体" w:eastAsia="宋体"/>
                <w:sz w:val="24"/>
                <w:szCs w:val="24"/>
              </w:rPr>
            </w:pPr>
            <w:r>
              <w:rPr>
                <w:rFonts w:hint="eastAsia" w:ascii="宋体" w:hAnsi="宋体" w:eastAsia="宋体"/>
                <w:sz w:val="24"/>
                <w:szCs w:val="24"/>
              </w:rPr>
              <w:t>重点：情报学研究使用的技术</w:t>
            </w:r>
          </w:p>
          <w:p w14:paraId="3A9D7A6B">
            <w:pPr>
              <w:rPr>
                <w:rFonts w:ascii="宋体" w:hAnsi="宋体" w:eastAsia="宋体"/>
                <w:sz w:val="24"/>
                <w:szCs w:val="24"/>
              </w:rPr>
            </w:pPr>
            <w:r>
              <w:rPr>
                <w:rFonts w:hint="eastAsia" w:ascii="宋体" w:hAnsi="宋体" w:eastAsia="宋体"/>
                <w:sz w:val="24"/>
                <w:szCs w:val="24"/>
              </w:rPr>
              <w:t>智能情报的进展</w:t>
            </w:r>
          </w:p>
        </w:tc>
        <w:tc>
          <w:tcPr>
            <w:tcW w:w="1555" w:type="dxa"/>
            <w:vAlign w:val="center"/>
          </w:tcPr>
          <w:p w14:paraId="59DDAD30">
            <w:pPr>
              <w:jc w:val="center"/>
              <w:rPr>
                <w:rFonts w:ascii="宋体" w:hAnsi="宋体" w:eastAsia="宋体"/>
                <w:sz w:val="24"/>
                <w:szCs w:val="24"/>
              </w:rPr>
            </w:pPr>
            <w:r>
              <w:rPr>
                <w:rFonts w:hint="eastAsia" w:ascii="宋体" w:hAnsi="宋体" w:eastAsia="宋体"/>
                <w:sz w:val="24"/>
                <w:szCs w:val="24"/>
              </w:rPr>
              <w:t>第14 周</w:t>
            </w:r>
          </w:p>
        </w:tc>
        <w:tc>
          <w:tcPr>
            <w:tcW w:w="5096" w:type="dxa"/>
            <w:vAlign w:val="center"/>
          </w:tcPr>
          <w:p w14:paraId="083FF2B9">
            <w:pPr>
              <w:rPr>
                <w:rFonts w:ascii="宋体" w:hAnsi="宋体" w:eastAsia="宋体"/>
                <w:sz w:val="24"/>
                <w:szCs w:val="24"/>
              </w:rPr>
            </w:pPr>
          </w:p>
        </w:tc>
      </w:tr>
      <w:tr w14:paraId="3B3A656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3D30C478">
            <w:pPr>
              <w:rPr>
                <w:rFonts w:ascii="宋体" w:hAnsi="宋体" w:eastAsia="宋体"/>
                <w:sz w:val="24"/>
                <w:szCs w:val="24"/>
              </w:rPr>
            </w:pPr>
            <w:r>
              <w:rPr>
                <w:rFonts w:hint="eastAsia" w:ascii="宋体" w:hAnsi="宋体" w:eastAsia="宋体"/>
                <w:sz w:val="24"/>
                <w:szCs w:val="24"/>
              </w:rPr>
              <w:t>第9章 情报系统与情报服务</w:t>
            </w:r>
          </w:p>
        </w:tc>
        <w:tc>
          <w:tcPr>
            <w:tcW w:w="5096" w:type="dxa"/>
            <w:vAlign w:val="center"/>
          </w:tcPr>
          <w:p w14:paraId="367599A5">
            <w:pPr>
              <w:rPr>
                <w:rFonts w:ascii="宋体" w:hAnsi="宋体" w:eastAsia="宋体"/>
                <w:sz w:val="24"/>
                <w:szCs w:val="24"/>
              </w:rPr>
            </w:pPr>
            <w:r>
              <w:rPr>
                <w:rFonts w:hint="eastAsia" w:ascii="宋体" w:hAnsi="宋体" w:eastAsia="宋体"/>
                <w:sz w:val="24"/>
                <w:szCs w:val="24"/>
              </w:rPr>
              <w:t>从MIS到ERP；从DSS到CIS；</w:t>
            </w:r>
          </w:p>
          <w:p w14:paraId="21B939A3">
            <w:pPr>
              <w:rPr>
                <w:rFonts w:ascii="宋体" w:hAnsi="宋体" w:eastAsia="宋体"/>
                <w:sz w:val="24"/>
                <w:szCs w:val="24"/>
              </w:rPr>
            </w:pPr>
            <w:r>
              <w:rPr>
                <w:rFonts w:hint="eastAsia" w:ascii="宋体" w:hAnsi="宋体" w:eastAsia="宋体"/>
                <w:sz w:val="24"/>
                <w:szCs w:val="24"/>
              </w:rPr>
              <w:t>从OAS到电子政务系统</w:t>
            </w:r>
          </w:p>
          <w:p w14:paraId="75F90456">
            <w:pPr>
              <w:rPr>
                <w:rFonts w:ascii="宋体" w:hAnsi="宋体" w:eastAsia="宋体"/>
                <w:sz w:val="24"/>
                <w:szCs w:val="24"/>
              </w:rPr>
            </w:pPr>
            <w:r>
              <w:rPr>
                <w:rFonts w:hint="eastAsia" w:ascii="宋体" w:hAnsi="宋体" w:eastAsia="宋体"/>
                <w:sz w:val="24"/>
                <w:szCs w:val="24"/>
              </w:rPr>
              <w:t>AI智能情报系统：数据分析、数据服务</w:t>
            </w:r>
          </w:p>
          <w:p w14:paraId="7C90D1B7">
            <w:pPr>
              <w:rPr>
                <w:rFonts w:ascii="宋体" w:hAnsi="宋体" w:eastAsia="宋体"/>
                <w:sz w:val="24"/>
                <w:szCs w:val="24"/>
              </w:rPr>
            </w:pPr>
            <w:r>
              <w:rPr>
                <w:rFonts w:hint="eastAsia" w:ascii="宋体" w:hAnsi="宋体" w:eastAsia="宋体"/>
                <w:sz w:val="24"/>
                <w:szCs w:val="24"/>
              </w:rPr>
              <w:t>AI赋能企业、文化机构</w:t>
            </w:r>
          </w:p>
        </w:tc>
        <w:tc>
          <w:tcPr>
            <w:tcW w:w="5096" w:type="dxa"/>
            <w:vAlign w:val="center"/>
          </w:tcPr>
          <w:p w14:paraId="29A7EC4F">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52921A4D">
            <w:pPr>
              <w:rPr>
                <w:rFonts w:ascii="宋体" w:hAnsi="宋体" w:eastAsia="宋体"/>
                <w:sz w:val="24"/>
                <w:szCs w:val="24"/>
              </w:rPr>
            </w:pPr>
            <w:r>
              <w:rPr>
                <w:rFonts w:hint="eastAsia" w:ascii="宋体" w:hAnsi="宋体" w:eastAsia="宋体"/>
                <w:sz w:val="24"/>
                <w:szCs w:val="24"/>
              </w:rPr>
              <w:t>AI科技前沿：智能体的应用`````AIGC环境下情报学主要关注领域</w:t>
            </w:r>
          </w:p>
        </w:tc>
        <w:tc>
          <w:tcPr>
            <w:tcW w:w="5096" w:type="dxa"/>
            <w:vAlign w:val="center"/>
          </w:tcPr>
          <w:p w14:paraId="5E66B262">
            <w:pPr>
              <w:rPr>
                <w:rFonts w:ascii="宋体" w:hAnsi="宋体" w:eastAsia="宋体"/>
                <w:sz w:val="24"/>
                <w:szCs w:val="24"/>
              </w:rPr>
            </w:pPr>
            <w:r>
              <w:rPr>
                <w:rFonts w:hint="eastAsia" w:ascii="宋体" w:hAnsi="宋体" w:eastAsia="宋体"/>
                <w:sz w:val="24"/>
                <w:szCs w:val="24"/>
              </w:rPr>
              <w:t>重点：当代中国当下信息系统研究前沿</w:t>
            </w:r>
          </w:p>
          <w:p w14:paraId="05DF9ACF">
            <w:pPr>
              <w:rPr>
                <w:rFonts w:ascii="宋体" w:hAnsi="宋体" w:eastAsia="宋体"/>
                <w:sz w:val="24"/>
                <w:szCs w:val="24"/>
              </w:rPr>
            </w:pPr>
            <w:r>
              <w:rPr>
                <w:rFonts w:hint="eastAsia" w:ascii="宋体" w:hAnsi="宋体" w:eastAsia="宋体"/>
                <w:sz w:val="24"/>
                <w:szCs w:val="24"/>
              </w:rPr>
              <w:t>数据产业、数据管理与数据服务情报学研究</w:t>
            </w:r>
          </w:p>
        </w:tc>
        <w:tc>
          <w:tcPr>
            <w:tcW w:w="1555" w:type="dxa"/>
            <w:vAlign w:val="center"/>
          </w:tcPr>
          <w:p w14:paraId="238BF91E">
            <w:pPr>
              <w:jc w:val="center"/>
              <w:rPr>
                <w:rFonts w:ascii="宋体" w:hAnsi="宋体" w:eastAsia="宋体"/>
                <w:sz w:val="24"/>
                <w:szCs w:val="24"/>
              </w:rPr>
            </w:pPr>
            <w:r>
              <w:rPr>
                <w:rFonts w:hint="eastAsia" w:ascii="宋体" w:hAnsi="宋体" w:eastAsia="宋体"/>
                <w:sz w:val="24"/>
                <w:szCs w:val="24"/>
              </w:rPr>
              <w:t>第15,16 周</w:t>
            </w:r>
          </w:p>
        </w:tc>
        <w:tc>
          <w:tcPr>
            <w:tcW w:w="5096" w:type="dxa"/>
            <w:vAlign w:val="center"/>
          </w:tcPr>
          <w:p w14:paraId="6C0EF360">
            <w:pPr>
              <w:rPr>
                <w:rFonts w:ascii="宋体" w:hAnsi="宋体" w:eastAsia="宋体"/>
                <w:sz w:val="24"/>
                <w:szCs w:val="24"/>
              </w:rPr>
            </w:pPr>
          </w:p>
        </w:tc>
      </w:tr>
      <w:tr w14:paraId="6F5890F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3BC824BF">
            <w:pPr>
              <w:rPr>
                <w:rFonts w:ascii="宋体" w:hAnsi="宋体" w:eastAsia="宋体"/>
                <w:sz w:val="24"/>
                <w:szCs w:val="24"/>
              </w:rPr>
            </w:pPr>
            <w:r>
              <w:rPr>
                <w:rFonts w:hint="eastAsia" w:ascii="宋体" w:hAnsi="宋体" w:eastAsia="宋体"/>
                <w:sz w:val="24"/>
                <w:szCs w:val="24"/>
              </w:rPr>
              <w:t>第10章 情报学扩展</w:t>
            </w:r>
          </w:p>
          <w:p w14:paraId="34610F39">
            <w:pPr>
              <w:rPr>
                <w:rFonts w:ascii="宋体" w:hAnsi="宋体" w:eastAsia="宋体"/>
                <w:sz w:val="24"/>
                <w:szCs w:val="24"/>
              </w:rPr>
            </w:pPr>
          </w:p>
        </w:tc>
        <w:tc>
          <w:tcPr>
            <w:tcW w:w="5096" w:type="dxa"/>
            <w:vAlign w:val="center"/>
          </w:tcPr>
          <w:p w14:paraId="7F85A5DC">
            <w:pPr>
              <w:rPr>
                <w:rFonts w:ascii="宋体" w:hAnsi="宋体" w:eastAsia="宋体"/>
                <w:sz w:val="24"/>
                <w:szCs w:val="24"/>
              </w:rPr>
            </w:pPr>
            <w:r>
              <w:rPr>
                <w:rFonts w:hint="eastAsia" w:ascii="宋体" w:hAnsi="宋体" w:eastAsia="宋体"/>
                <w:sz w:val="24"/>
                <w:szCs w:val="24"/>
              </w:rPr>
              <w:t>比较情报学；信息管理学；信息经济学；信息法学；信息伦理学； 情报学发展方向</w:t>
            </w:r>
          </w:p>
          <w:p w14:paraId="54C6D223">
            <w:pPr>
              <w:rPr>
                <w:rFonts w:ascii="宋体" w:hAnsi="宋体" w:eastAsia="宋体"/>
                <w:sz w:val="24"/>
                <w:szCs w:val="24"/>
              </w:rPr>
            </w:pPr>
            <w:r>
              <w:rPr>
                <w:rFonts w:hint="eastAsia" w:ascii="宋体" w:hAnsi="宋体" w:eastAsia="宋体"/>
                <w:sz w:val="24"/>
                <w:szCs w:val="24"/>
              </w:rPr>
              <w:t>情报学研究前沿</w:t>
            </w:r>
          </w:p>
          <w:p w14:paraId="0946FB7F">
            <w:pPr>
              <w:rPr>
                <w:rFonts w:ascii="宋体" w:hAnsi="宋体" w:eastAsia="宋体"/>
                <w:sz w:val="24"/>
                <w:szCs w:val="24"/>
              </w:rPr>
            </w:pPr>
            <w:r>
              <w:rPr>
                <w:rFonts w:hint="eastAsia" w:ascii="宋体" w:hAnsi="宋体" w:eastAsia="宋体"/>
                <w:sz w:val="24"/>
                <w:szCs w:val="24"/>
              </w:rPr>
              <w:t>AIGC环境下信息资源管理学科发展的讨论</w:t>
            </w:r>
          </w:p>
        </w:tc>
        <w:tc>
          <w:tcPr>
            <w:tcW w:w="5096" w:type="dxa"/>
            <w:vAlign w:val="center"/>
          </w:tcPr>
          <w:p w14:paraId="40B84201">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73FE756B">
            <w:pPr>
              <w:rPr>
                <w:rFonts w:ascii="宋体" w:hAnsi="宋体" w:eastAsia="宋体"/>
                <w:sz w:val="24"/>
                <w:szCs w:val="24"/>
              </w:rPr>
            </w:pPr>
          </w:p>
        </w:tc>
        <w:tc>
          <w:tcPr>
            <w:tcW w:w="5096" w:type="dxa"/>
            <w:vAlign w:val="center"/>
          </w:tcPr>
          <w:p w14:paraId="0FA2E691">
            <w:pPr>
              <w:rPr>
                <w:rFonts w:ascii="宋体" w:hAnsi="宋体" w:eastAsia="宋体"/>
                <w:sz w:val="24"/>
                <w:szCs w:val="24"/>
              </w:rPr>
            </w:pPr>
            <w:r>
              <w:rPr>
                <w:rFonts w:hint="eastAsia" w:ascii="宋体" w:hAnsi="宋体" w:eastAsia="宋体"/>
                <w:sz w:val="24"/>
                <w:szCs w:val="24"/>
              </w:rPr>
              <w:t>重点：相关学科交叉</w:t>
            </w:r>
          </w:p>
          <w:p w14:paraId="65BCF936">
            <w:pPr>
              <w:rPr>
                <w:rFonts w:ascii="宋体" w:hAnsi="宋体" w:eastAsia="宋体"/>
                <w:sz w:val="24"/>
                <w:szCs w:val="24"/>
              </w:rPr>
            </w:pPr>
            <w:r>
              <w:rPr>
                <w:rFonts w:hint="eastAsia" w:ascii="宋体" w:hAnsi="宋体" w:eastAsia="宋体"/>
                <w:sz w:val="24"/>
                <w:szCs w:val="24"/>
              </w:rPr>
              <w:t>难点：学科交叉测度</w:t>
            </w:r>
          </w:p>
        </w:tc>
        <w:tc>
          <w:tcPr>
            <w:tcW w:w="1555" w:type="dxa"/>
            <w:vAlign w:val="center"/>
          </w:tcPr>
          <w:p w14:paraId="3D929DBC">
            <w:pPr>
              <w:jc w:val="center"/>
              <w:rPr>
                <w:rFonts w:ascii="宋体" w:hAnsi="宋体" w:eastAsia="宋体"/>
                <w:sz w:val="24"/>
                <w:szCs w:val="24"/>
              </w:rPr>
            </w:pPr>
            <w:r>
              <w:rPr>
                <w:rFonts w:hint="eastAsia" w:ascii="宋体" w:hAnsi="宋体" w:eastAsia="宋体"/>
                <w:sz w:val="24"/>
                <w:szCs w:val="24"/>
              </w:rPr>
              <w:t>第17 周</w:t>
            </w:r>
          </w:p>
        </w:tc>
        <w:tc>
          <w:tcPr>
            <w:tcW w:w="5096" w:type="dxa"/>
            <w:vAlign w:val="center"/>
          </w:tcPr>
          <w:p w14:paraId="0B8BDE3E">
            <w:pPr>
              <w:rPr>
                <w:rFonts w:ascii="宋体" w:hAnsi="宋体" w:eastAsia="宋体"/>
                <w:sz w:val="24"/>
                <w:szCs w:val="24"/>
              </w:rPr>
            </w:pPr>
          </w:p>
        </w:tc>
      </w:tr>
    </w:tbl>
    <w:p w14:paraId="323062D2">
      <w:pPr>
        <w:spacing w:line="480" w:lineRule="exact"/>
        <w:ind w:firstLine="360" w:firstLineChars="150"/>
        <w:rPr>
          <w:rFonts w:hint="eastAsia"/>
          <w:sz w:val="24"/>
        </w:rPr>
      </w:pPr>
      <w:r>
        <w:rPr>
          <w:sz w:val="24"/>
        </w:rPr>
        <w:t>合计:32</w:t>
      </w:r>
    </w:p>
    <w:p w14:paraId="06FDB9D3">
      <w:pPr>
        <w:spacing w:line="480" w:lineRule="exact"/>
        <w:rPr>
          <w:sz w:val="24"/>
        </w:rPr>
      </w:pPr>
    </w:p>
    <w:p w14:paraId="067DBEC9">
      <w:pPr>
        <w:spacing w:line="480" w:lineRule="exact"/>
        <w:rPr>
          <w:rFonts w:hint="eastAsia"/>
          <w:sz w:val="24"/>
        </w:rPr>
      </w:pPr>
    </w:p>
    <w:p w14:paraId="07B95D2C">
      <w:pPr>
        <w:spacing w:line="480" w:lineRule="exact"/>
        <w:ind w:firstLine="480" w:firstLineChars="200"/>
        <w:rPr>
          <w:sz w:val="24"/>
        </w:rPr>
      </w:pPr>
      <w:r>
        <w:rPr>
          <w:sz w:val="24"/>
        </w:rPr>
        <w:t>（二）</w:t>
      </w:r>
      <w:r>
        <w:rPr>
          <w:b/>
          <w:sz w:val="24"/>
        </w:rPr>
        <w:t>教学环节安排</w:t>
      </w:r>
    </w:p>
    <w:p w14:paraId="3632FF0F">
      <w:pPr>
        <w:spacing w:line="480" w:lineRule="exact"/>
        <w:ind w:firstLine="482" w:firstLineChars="200"/>
        <w:rPr>
          <w:sz w:val="24"/>
        </w:rPr>
      </w:pPr>
      <w:r>
        <w:rPr>
          <w:b/>
          <w:sz w:val="24"/>
        </w:rPr>
        <w:t>（对各种教学环节的安排如：实验、实习、习题课、作业等以及本课程与其他相关课程的联系、分工等作必要说明，教学环节的安排体现高阶性、创新性、挑战度）</w:t>
      </w:r>
    </w:p>
    <w:p w14:paraId="54982949">
      <w:pPr>
        <w:spacing w:line="480" w:lineRule="exact"/>
        <w:ind w:firstLine="360" w:firstLineChars="150"/>
        <w:rPr>
          <w:rFonts w:hint="eastAsia"/>
          <w:sz w:val="24"/>
        </w:rPr>
      </w:pPr>
      <w:r>
        <w:rPr>
          <w:sz w:val="24"/>
        </w:rPr>
        <w:t>学生在学习本门课程之前学过管理学原理、信息管理概论、信息组织等课程。教师将布置与重点内容相关的一些课堂讨论和课外拓展阅读资料。结合教学内容推荐组织学生听讲相关的专家学术报告和讲座等。要求学生积极完成各阶段习题作业，尽可能参与实践活动。不专门设置习题课。突出AI环境下，情报学发展的新进展，包括理论与实践层面。增加AI工具的动手实操的能力训练。</w:t>
      </w:r>
    </w:p>
    <w:p w14:paraId="4210BE72">
      <w:pPr>
        <w:spacing w:line="480" w:lineRule="exact"/>
        <w:rPr>
          <w:sz w:val="24"/>
        </w:rPr>
      </w:pPr>
    </w:p>
    <w:p w14:paraId="1745A6AC">
      <w:pPr>
        <w:spacing w:line="480" w:lineRule="exact"/>
        <w:ind w:firstLine="480" w:firstLineChars="200"/>
        <w:rPr>
          <w:rFonts w:hint="eastAsia"/>
          <w:sz w:val="24"/>
        </w:rPr>
      </w:pPr>
      <w:r>
        <w:rPr>
          <w:sz w:val="24"/>
        </w:rPr>
        <w:t>（三）</w:t>
      </w:r>
      <w:r>
        <w:rPr>
          <w:b/>
          <w:sz w:val="24"/>
        </w:rPr>
        <w:t>教学方法</w:t>
      </w:r>
    </w:p>
    <w:p w14:paraId="38854D02">
      <w:pPr>
        <w:spacing w:line="480" w:lineRule="exact"/>
        <w:ind w:firstLine="482" w:firstLineChars="200"/>
        <w:rPr>
          <w:rFonts w:hint="eastAsia"/>
          <w:sz w:val="24"/>
        </w:rPr>
      </w:pPr>
      <w:r>
        <w:rPr>
          <w:b/>
          <w:sz w:val="24"/>
        </w:rPr>
        <w:t>（包括课堂讲授、提问研讨，课后习题和答疑等情况，要增加团队学习、小组大作业、实验课和理论课的结合、使用信息技术方法、由教师和知识为中心转化为以学生和学习为中心）</w:t>
      </w:r>
    </w:p>
    <w:p w14:paraId="1B7B8A09">
      <w:pPr>
        <w:spacing w:line="480" w:lineRule="exact"/>
        <w:ind w:firstLine="360" w:firstLineChars="150"/>
        <w:rPr>
          <w:rFonts w:hint="eastAsia"/>
          <w:sz w:val="24"/>
        </w:rPr>
      </w:pPr>
      <w:r>
        <w:rPr>
          <w:sz w:val="24"/>
        </w:rPr>
        <w:t>1.要坚持系统的理论讲解与案例分析相结合，教师讲授重点在基础概念、方法、案例介绍方面；</w:t>
      </w:r>
    </w:p>
    <w:p w14:paraId="0537CCC8">
      <w:pPr>
        <w:spacing w:line="480" w:lineRule="exact"/>
        <w:ind w:firstLine="360" w:firstLineChars="150"/>
        <w:rPr>
          <w:rFonts w:hint="eastAsia"/>
          <w:sz w:val="24"/>
        </w:rPr>
      </w:pPr>
      <w:r>
        <w:rPr>
          <w:sz w:val="24"/>
        </w:rPr>
        <w:t>2.学生实践重点在搜集相关企业案例，讨论发言与自主思考方面；</w:t>
      </w:r>
    </w:p>
    <w:p w14:paraId="5AC63E8E">
      <w:pPr>
        <w:spacing w:line="480" w:lineRule="exact"/>
        <w:ind w:firstLine="360" w:firstLineChars="150"/>
        <w:rPr>
          <w:rFonts w:hint="eastAsia"/>
          <w:sz w:val="24"/>
        </w:rPr>
      </w:pPr>
      <w:r>
        <w:rPr>
          <w:sz w:val="24"/>
        </w:rPr>
        <w:t>3.在师生的交互作用中营造教学相长的氛围，设计 小的挑战问题，引导同学对情报学的兴趣，激发学生的学习热情。采取多媒体教学，PowerPoint幻灯片、录像、录音资料、材料分析等与文字教材密切配合，将情报学的主要内容传授给学生，以加深学生对课程的理解，进而促进学以致用。同时，增强学生课堂上的互动参与。</w:t>
      </w:r>
    </w:p>
    <w:p w14:paraId="3BC50BAF">
      <w:pPr>
        <w:spacing w:line="480" w:lineRule="exact"/>
        <w:ind w:firstLine="360" w:firstLineChars="150"/>
        <w:rPr>
          <w:sz w:val="24"/>
        </w:rPr>
      </w:pPr>
    </w:p>
    <w:p w14:paraId="550C2149">
      <w:pPr>
        <w:spacing w:line="480" w:lineRule="exact"/>
        <w:ind w:firstLine="480" w:firstLineChars="200"/>
        <w:rPr>
          <w:rFonts w:hint="eastAsia"/>
          <w:sz w:val="24"/>
        </w:rPr>
      </w:pPr>
      <w:r>
        <w:rPr>
          <w:sz w:val="24"/>
        </w:rPr>
        <w:t>（四）</w:t>
      </w:r>
      <w:r>
        <w:rPr>
          <w:b/>
          <w:sz w:val="24"/>
        </w:rPr>
        <w:t>课程教材（主讲教材尽量使用“马工程”和国家规划教材，在同类教材中，优先选用国家级规划教材，凡教材选用范围中有“马工程”重点教材的，必须选用工程重点教材。）</w:t>
      </w:r>
    </w:p>
    <w:p w14:paraId="34B5E181">
      <w:pPr>
        <w:spacing w:line="480" w:lineRule="exact"/>
        <w:ind w:firstLine="360" w:firstLineChars="150"/>
        <w:rPr>
          <w:sz w:val="24"/>
        </w:rPr>
      </w:pPr>
      <w:r>
        <w:rPr>
          <w:rFonts w:hint="eastAsia"/>
          <w:sz w:val="24"/>
        </w:rPr>
        <w:t>叶鹰.情报学基础教程（3版）.北京：科学出版社，2018</w:t>
      </w:r>
    </w:p>
    <w:p w14:paraId="3818BD0D">
      <w:pPr>
        <w:spacing w:line="480" w:lineRule="exact"/>
        <w:ind w:firstLine="360" w:firstLineChars="150"/>
        <w:rPr>
          <w:sz w:val="24"/>
        </w:rPr>
      </w:pPr>
    </w:p>
    <w:p w14:paraId="49766234">
      <w:pPr>
        <w:spacing w:line="480" w:lineRule="exact"/>
        <w:ind w:firstLine="480" w:firstLineChars="200"/>
        <w:rPr>
          <w:sz w:val="24"/>
        </w:rPr>
      </w:pPr>
      <w:r>
        <w:rPr>
          <w:sz w:val="24"/>
        </w:rPr>
        <w:t>（五）</w:t>
      </w:r>
      <w:r>
        <w:rPr>
          <w:b/>
          <w:sz w:val="24"/>
        </w:rPr>
        <w:t>主要参考书目</w:t>
      </w:r>
    </w:p>
    <w:p w14:paraId="08295254">
      <w:pPr>
        <w:spacing w:line="480" w:lineRule="exact"/>
        <w:ind w:firstLine="482" w:firstLineChars="200"/>
        <w:rPr>
          <w:sz w:val="24"/>
        </w:rPr>
      </w:pPr>
      <w:r>
        <w:rPr>
          <w:b/>
          <w:sz w:val="24"/>
        </w:rPr>
        <w:t>（推荐若干参考书，并注明书名、作者、出版社、版本、出版日期等，每个章节指定一定数量、明确的阅读资料）</w:t>
      </w:r>
    </w:p>
    <w:p w14:paraId="76F5F480">
      <w:pPr>
        <w:spacing w:line="480" w:lineRule="exact"/>
        <w:ind w:firstLine="360" w:firstLineChars="150"/>
        <w:rPr>
          <w:sz w:val="24"/>
        </w:rPr>
      </w:pPr>
      <w:r>
        <w:rPr>
          <w:rFonts w:hint="eastAsia"/>
          <w:sz w:val="24"/>
        </w:rPr>
        <w:t>1、</w:t>
      </w:r>
      <w:r>
        <w:rPr>
          <w:rFonts w:hint="eastAsia"/>
          <w:sz w:val="24"/>
        </w:rPr>
        <w:tab/>
        <w:t>苏新宁.情报学学科体系、学术体系和话语体系论纲.北京：科学出版社，2024</w:t>
      </w:r>
    </w:p>
    <w:p w14:paraId="78E05150">
      <w:pPr>
        <w:spacing w:line="480" w:lineRule="exact"/>
        <w:ind w:firstLine="360" w:firstLineChars="150"/>
        <w:rPr>
          <w:sz w:val="24"/>
        </w:rPr>
      </w:pPr>
      <w:r>
        <w:rPr>
          <w:rFonts w:hint="eastAsia"/>
          <w:sz w:val="24"/>
        </w:rPr>
        <w:t>2.</w:t>
      </w:r>
      <w:r>
        <w:rPr>
          <w:rFonts w:hint="eastAsia"/>
          <w:sz w:val="24"/>
        </w:rPr>
        <w:tab/>
        <w:t>王芳.情报学理论:哲学基础与应用发展.北京:科学技术文献出版社,2021</w:t>
      </w:r>
    </w:p>
    <w:p w14:paraId="7C81D337">
      <w:pPr>
        <w:spacing w:line="480" w:lineRule="exact"/>
        <w:ind w:firstLine="360" w:firstLineChars="150"/>
        <w:rPr>
          <w:sz w:val="24"/>
        </w:rPr>
      </w:pPr>
    </w:p>
    <w:p w14:paraId="7A0B6FF3">
      <w:pPr>
        <w:spacing w:line="480" w:lineRule="exact"/>
        <w:ind w:firstLine="360" w:firstLineChars="150"/>
        <w:rPr>
          <w:sz w:val="24"/>
        </w:rPr>
      </w:pPr>
    </w:p>
    <w:p w14:paraId="0814A428">
      <w:pPr>
        <w:spacing w:line="480" w:lineRule="exact"/>
        <w:ind w:firstLine="480" w:firstLineChars="200"/>
        <w:rPr>
          <w:sz w:val="24"/>
        </w:rPr>
      </w:pPr>
      <w:r>
        <w:rPr>
          <w:sz w:val="24"/>
        </w:rPr>
        <w:t>（六）</w:t>
      </w:r>
      <w:r>
        <w:rPr>
          <w:b/>
          <w:sz w:val="24"/>
        </w:rPr>
        <w:t>成绩评定方式</w:t>
      </w:r>
    </w:p>
    <w:p w14:paraId="049B9332">
      <w:pPr>
        <w:spacing w:line="480" w:lineRule="exact"/>
        <w:ind w:firstLine="482" w:firstLineChars="200"/>
        <w:rPr>
          <w:sz w:val="24"/>
        </w:rPr>
      </w:pPr>
      <w:r>
        <w:rPr>
          <w:b/>
          <w:sz w:val="24"/>
        </w:rPr>
        <w:t>课程考核应坚持过程性与结果性考核相结合，采用多种形式、多个阶段的考核方式，平时成绩一般占 40%~60%左右。</w:t>
      </w:r>
    </w:p>
    <w:p w14:paraId="2CF329DA">
      <w:pPr>
        <w:spacing w:line="480" w:lineRule="exact"/>
        <w:ind w:firstLine="482" w:firstLineChars="200"/>
        <w:rPr>
          <w:sz w:val="24"/>
        </w:rPr>
      </w:pPr>
      <w:r>
        <w:rPr>
          <w:rFonts w:hint="eastAsia"/>
          <w:b/>
          <w:sz w:val="24"/>
        </w:rPr>
        <w:t>考 核 方 式：考查</w:t>
      </w:r>
    </w:p>
    <w:p w14:paraId="721647B6">
      <w:pPr>
        <w:spacing w:line="480" w:lineRule="exact"/>
        <w:ind w:firstLine="482" w:firstLineChars="200"/>
        <w:rPr>
          <w:sz w:val="24"/>
        </w:rPr>
      </w:pPr>
      <w:r>
        <w:rPr>
          <w:rFonts w:hint="eastAsia"/>
          <w:b/>
          <w:sz w:val="24"/>
        </w:rPr>
        <w:t>成绩录入方式： 百分制</w:t>
      </w:r>
    </w:p>
    <w:p w14:paraId="09CE8421">
      <w:pPr>
        <w:spacing w:line="480" w:lineRule="exact"/>
        <w:ind w:firstLine="360" w:firstLineChars="150"/>
        <w:rPr>
          <w:sz w:val="24"/>
        </w:rPr>
      </w:pPr>
      <w:r>
        <w:rPr>
          <w:rFonts w:hint="eastAsia"/>
          <w:sz w:val="24"/>
        </w:rPr>
        <w:t>一、总成绩构成：平时考核占比50%，期末考核占比50%。</w:t>
      </w:r>
    </w:p>
    <w:p w14:paraId="2F94687F">
      <w:pPr>
        <w:spacing w:line="480" w:lineRule="exact"/>
        <w:ind w:firstLine="360" w:firstLineChars="150"/>
        <w:rPr>
          <w:sz w:val="24"/>
        </w:rPr>
      </w:pPr>
      <w:r>
        <w:rPr>
          <w:rFonts w:hint="eastAsia"/>
          <w:sz w:val="24"/>
        </w:rPr>
        <w:t>二、期末考核说明：</w:t>
      </w:r>
    </w:p>
    <w:p w14:paraId="3D77F3D0">
      <w:pPr>
        <w:spacing w:line="480" w:lineRule="exact"/>
        <w:ind w:firstLine="360" w:firstLineChars="150"/>
        <w:rPr>
          <w:sz w:val="24"/>
        </w:rPr>
      </w:pPr>
      <w:r>
        <w:rPr>
          <w:rFonts w:hint="eastAsia"/>
          <w:sz w:val="24"/>
        </w:rPr>
        <w:t>期末考核采用课程论文方式。</w:t>
      </w:r>
    </w:p>
    <w:p w14:paraId="3C27EC1D">
      <w:pPr>
        <w:spacing w:line="480" w:lineRule="exact"/>
        <w:ind w:firstLine="360" w:firstLineChars="150"/>
        <w:rPr>
          <w:sz w:val="24"/>
        </w:rPr>
      </w:pPr>
      <w:r>
        <w:rPr>
          <w:rFonts w:hint="eastAsia"/>
          <w:sz w:val="24"/>
        </w:rPr>
        <w:t>评分标准包括：</w:t>
      </w:r>
    </w:p>
    <w:p w14:paraId="56C0A34E">
      <w:pPr>
        <w:spacing w:line="480" w:lineRule="exact"/>
        <w:ind w:firstLine="360" w:firstLineChars="150"/>
        <w:rPr>
          <w:sz w:val="24"/>
        </w:rPr>
      </w:pPr>
      <w:r>
        <w:rPr>
          <w:rFonts w:hint="eastAsia"/>
          <w:sz w:val="24"/>
        </w:rPr>
        <w:t>1.选题适当：20分，要求论文选题属于情报学专业领域，且选题属于专业学科前沿、重点、热点；若跑题会酌情扣分；</w:t>
      </w:r>
    </w:p>
    <w:p w14:paraId="038E2756">
      <w:pPr>
        <w:spacing w:line="480" w:lineRule="exact"/>
        <w:ind w:firstLine="360" w:firstLineChars="150"/>
        <w:rPr>
          <w:sz w:val="24"/>
        </w:rPr>
      </w:pPr>
      <w:r>
        <w:rPr>
          <w:rFonts w:hint="eastAsia"/>
          <w:sz w:val="24"/>
        </w:rPr>
        <w:t>2.内容完整：50分，要求结构合理，主题论述文字流畅，理论运用得当，图表表述方式丰富多样、研究数据论据详实、研究方法科学等；正文字数建议3000-5000。</w:t>
      </w:r>
    </w:p>
    <w:p w14:paraId="63BA9C3D">
      <w:pPr>
        <w:spacing w:line="480" w:lineRule="exact"/>
        <w:ind w:firstLine="360" w:firstLineChars="150"/>
        <w:rPr>
          <w:sz w:val="24"/>
        </w:rPr>
      </w:pPr>
      <w:r>
        <w:rPr>
          <w:rFonts w:hint="eastAsia"/>
          <w:sz w:val="24"/>
        </w:rPr>
        <w:t>3.创新性：15分，鼓励用探索新领域，应用新方法，强调AI的合理使用；</w:t>
      </w:r>
    </w:p>
    <w:p w14:paraId="4AAEFDBA">
      <w:pPr>
        <w:spacing w:line="480" w:lineRule="exact"/>
        <w:ind w:firstLine="360" w:firstLineChars="150"/>
        <w:rPr>
          <w:sz w:val="24"/>
        </w:rPr>
      </w:pPr>
      <w:r>
        <w:rPr>
          <w:rFonts w:hint="eastAsia"/>
          <w:sz w:val="24"/>
        </w:rPr>
        <w:t>4.学术规范：15分，格式符合国家标准要求，参考文献数量20+（需含外文文献），参考文献质量也是考察的部分，文献过少需要合理解释。</w:t>
      </w:r>
    </w:p>
    <w:p w14:paraId="73D2B731">
      <w:pPr>
        <w:spacing w:line="480" w:lineRule="exact"/>
        <w:ind w:firstLine="360" w:firstLineChars="150"/>
        <w:rPr>
          <w:sz w:val="24"/>
        </w:rPr>
      </w:pPr>
      <w:r>
        <w:rPr>
          <w:rFonts w:hint="eastAsia"/>
          <w:sz w:val="24"/>
        </w:rPr>
        <w:t>三、平时考核说明：</w:t>
      </w:r>
    </w:p>
    <w:p w14:paraId="7B54DFDC">
      <w:pPr>
        <w:spacing w:line="480" w:lineRule="exact"/>
        <w:ind w:firstLine="360" w:firstLineChars="150"/>
        <w:rPr>
          <w:sz w:val="24"/>
        </w:rPr>
      </w:pPr>
      <w:r>
        <w:rPr>
          <w:rFonts w:hint="eastAsia"/>
          <w:sz w:val="24"/>
        </w:rPr>
        <w:t>（1）课堂参与度与出勤情况（占10%）。每人每学期考勤提问次数不少于5次，每次考勤或者课堂提问互动2分。无故旷课、迟到、早退等情况扣除当次课堂分数。请假须按照学校规定执行，须提前请假，不得由他人代请假；却因特殊情况未提前请假的，须事后1周内补齐请假手续，否则按旷课处理。</w:t>
      </w:r>
    </w:p>
    <w:p w14:paraId="70C72442">
      <w:pPr>
        <w:spacing w:line="480" w:lineRule="exact"/>
        <w:ind w:firstLine="360" w:firstLineChars="150"/>
        <w:rPr>
          <w:sz w:val="24"/>
        </w:rPr>
      </w:pPr>
      <w:r>
        <w:rPr>
          <w:rFonts w:hint="eastAsia"/>
          <w:sz w:val="24"/>
        </w:rPr>
        <w:t>（2）两次课程作业（占20%）。根据教学进度前中后安排3次课堂和课后作业，每次作业10分。主要考察学生对讲授内容的理解和知识运用能力，由任课/助教教师批阅并给分。未交、缓交作业的，当次不给分。因请假造成缓交作业的，须于销假时补交作业，否则按未交作业处理。</w:t>
      </w:r>
    </w:p>
    <w:p w14:paraId="508477D3">
      <w:pPr>
        <w:spacing w:line="480" w:lineRule="exact"/>
        <w:ind w:firstLine="360" w:firstLineChars="150"/>
        <w:rPr>
          <w:sz w:val="24"/>
        </w:rPr>
      </w:pPr>
      <w:r>
        <w:rPr>
          <w:rFonts w:hint="eastAsia"/>
          <w:sz w:val="24"/>
        </w:rPr>
        <w:t>（3）两次专题讨论（占20%）。根据学生关注的热点问题或者课程重要的专业知识模块，安排2次专题讨论分享，根据学生完成情况个人或者小组赋分。加强课外拓展学习，探索新领域的能力。</w:t>
      </w:r>
    </w:p>
    <w:p w14:paraId="059F34F5">
      <w:pPr>
        <w:spacing w:line="480" w:lineRule="exact"/>
        <w:rPr>
          <w:sz w:val="24"/>
        </w:rPr>
      </w:pPr>
    </w:p>
    <w:p w14:paraId="2B125E83">
      <w:pPr>
        <w:spacing w:line="480" w:lineRule="exact"/>
        <w:rPr>
          <w:sz w:val="24"/>
        </w:rPr>
      </w:pPr>
    </w:p>
    <w:p w14:paraId="01D3F1D5">
      <w:pPr>
        <w:spacing w:line="480" w:lineRule="exact"/>
        <w:rPr>
          <w:sz w:val="24"/>
        </w:rPr>
      </w:pPr>
    </w:p>
    <w:p w14:paraId="371AF4A4">
      <w:pPr>
        <w:rPr>
          <w:b/>
          <w:bCs/>
          <w:i/>
          <w:iCs/>
          <w:sz w:val="24"/>
          <w:u w:val="single"/>
        </w:rPr>
      </w:pPr>
      <w:r>
        <w:rPr>
          <w:rFonts w:eastAsia="黑体"/>
          <w:b/>
          <w:bCs/>
          <w:sz w:val="28"/>
        </w:rPr>
        <w:t>注：</w:t>
      </w:r>
      <w:r>
        <w:rPr>
          <w:b/>
          <w:bCs/>
          <w:i/>
          <w:iCs/>
          <w:sz w:val="24"/>
          <w:u w:val="single"/>
        </w:rPr>
        <w:t>教学大纲一律使用A4纸，正文为小四号宋体。</w:t>
      </w:r>
    </w:p>
    <w:sectPr>
      <w:pgSz w:w="11906" w:h="16838"/>
      <w:pgMar w:top="1304" w:right="1304" w:bottom="1304" w:left="1304"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楷体_GB2312">
    <w:altName w:val="楷体"/>
    <w:panose1 w:val="00000000000000000000"/>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24x12 宋体">
    <w:altName w:val="微软雅黑"/>
    <w:panose1 w:val="00000000000000000000"/>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834BA"/>
    <w:rsid w:val="00006E89"/>
    <w:rsid w:val="000371E5"/>
    <w:rsid w:val="00043DA3"/>
    <w:rsid w:val="00054BC4"/>
    <w:rsid w:val="00075BD1"/>
    <w:rsid w:val="000B640E"/>
    <w:rsid w:val="000D3224"/>
    <w:rsid w:val="000F15D2"/>
    <w:rsid w:val="00117B44"/>
    <w:rsid w:val="00144188"/>
    <w:rsid w:val="0015651F"/>
    <w:rsid w:val="00167B76"/>
    <w:rsid w:val="001A53EA"/>
    <w:rsid w:val="0028276D"/>
    <w:rsid w:val="002834BA"/>
    <w:rsid w:val="002A302A"/>
    <w:rsid w:val="002A583B"/>
    <w:rsid w:val="002B1B75"/>
    <w:rsid w:val="002B7E0B"/>
    <w:rsid w:val="002C2879"/>
    <w:rsid w:val="00320F57"/>
    <w:rsid w:val="003342ED"/>
    <w:rsid w:val="003516CE"/>
    <w:rsid w:val="00354D5C"/>
    <w:rsid w:val="003837B9"/>
    <w:rsid w:val="003A2100"/>
    <w:rsid w:val="003D592B"/>
    <w:rsid w:val="00413DFF"/>
    <w:rsid w:val="00420C25"/>
    <w:rsid w:val="00452A17"/>
    <w:rsid w:val="004A4F5F"/>
    <w:rsid w:val="004B3466"/>
    <w:rsid w:val="004B6CF4"/>
    <w:rsid w:val="00594992"/>
    <w:rsid w:val="005E2E32"/>
    <w:rsid w:val="005E33DC"/>
    <w:rsid w:val="00604255"/>
    <w:rsid w:val="00646D92"/>
    <w:rsid w:val="0066132F"/>
    <w:rsid w:val="006814E7"/>
    <w:rsid w:val="00694817"/>
    <w:rsid w:val="006A4A58"/>
    <w:rsid w:val="00742F63"/>
    <w:rsid w:val="00744793"/>
    <w:rsid w:val="00765B88"/>
    <w:rsid w:val="007A1F43"/>
    <w:rsid w:val="007B2B13"/>
    <w:rsid w:val="007E1199"/>
    <w:rsid w:val="00855334"/>
    <w:rsid w:val="00885DB5"/>
    <w:rsid w:val="008B698D"/>
    <w:rsid w:val="00906FDD"/>
    <w:rsid w:val="00913BF6"/>
    <w:rsid w:val="00935C96"/>
    <w:rsid w:val="0094066C"/>
    <w:rsid w:val="0094458D"/>
    <w:rsid w:val="00965738"/>
    <w:rsid w:val="00966BEE"/>
    <w:rsid w:val="00997B4C"/>
    <w:rsid w:val="009B48ED"/>
    <w:rsid w:val="009C32FA"/>
    <w:rsid w:val="009D56A7"/>
    <w:rsid w:val="009E47B0"/>
    <w:rsid w:val="009F198F"/>
    <w:rsid w:val="00A07E37"/>
    <w:rsid w:val="00A26A46"/>
    <w:rsid w:val="00A404FC"/>
    <w:rsid w:val="00A72906"/>
    <w:rsid w:val="00A7376F"/>
    <w:rsid w:val="00A9588E"/>
    <w:rsid w:val="00B009E4"/>
    <w:rsid w:val="00B133B3"/>
    <w:rsid w:val="00B33686"/>
    <w:rsid w:val="00B522BC"/>
    <w:rsid w:val="00B86156"/>
    <w:rsid w:val="00B90D74"/>
    <w:rsid w:val="00BB34AA"/>
    <w:rsid w:val="00BF0FE4"/>
    <w:rsid w:val="00C4641A"/>
    <w:rsid w:val="00C465B1"/>
    <w:rsid w:val="00CF7D70"/>
    <w:rsid w:val="00CF7DEE"/>
    <w:rsid w:val="00D21CDD"/>
    <w:rsid w:val="00D25433"/>
    <w:rsid w:val="00D51125"/>
    <w:rsid w:val="00D94A1A"/>
    <w:rsid w:val="00DA35EA"/>
    <w:rsid w:val="00DB5B36"/>
    <w:rsid w:val="00DC36C5"/>
    <w:rsid w:val="00E173C1"/>
    <w:rsid w:val="00E1766F"/>
    <w:rsid w:val="00E32042"/>
    <w:rsid w:val="00E469B1"/>
    <w:rsid w:val="00E603DC"/>
    <w:rsid w:val="00EE1523"/>
    <w:rsid w:val="00F03332"/>
    <w:rsid w:val="00F10C4D"/>
    <w:rsid w:val="00F579FE"/>
    <w:rsid w:val="00FF4022"/>
    <w:rsid w:val="09C74F1B"/>
    <w:rsid w:val="14B71D75"/>
    <w:rsid w:val="24FB2FB2"/>
    <w:rsid w:val="2BCB42DC"/>
    <w:rsid w:val="54094259"/>
    <w:rsid w:val="5E463D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9">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paragraph" w:styleId="2">
    <w:name w:val="Body Text Indent"/>
    <w:basedOn w:val="1"/>
    <w:link w:val="14"/>
    <w:uiPriority w:val="0"/>
    <w:pPr>
      <w:ind w:firstLine="560" w:firstLineChars="200"/>
    </w:pPr>
    <w:rPr>
      <w:rFonts w:eastAsia="楷体_GB2312"/>
      <w:sz w:val="28"/>
      <w:lang w:val="zh-CN" w:eastAsia="zh-CN"/>
    </w:rPr>
  </w:style>
  <w:style w:type="paragraph" w:styleId="3">
    <w:name w:val="Date"/>
    <w:basedOn w:val="1"/>
    <w:next w:val="1"/>
    <w:uiPriority w:val="0"/>
    <w:pPr>
      <w:ind w:left="100" w:leftChars="2500"/>
    </w:pPr>
    <w:rPr>
      <w:rFonts w:eastAsia="楷体_GB2312"/>
      <w:b/>
      <w:bCs/>
      <w:sz w:val="36"/>
    </w:rPr>
  </w:style>
  <w:style w:type="paragraph" w:styleId="4">
    <w:name w:val="Balloon Text"/>
    <w:basedOn w:val="1"/>
    <w:link w:val="12"/>
    <w:qFormat/>
    <w:uiPriority w:val="0"/>
    <w:rPr>
      <w:sz w:val="18"/>
      <w:szCs w:val="18"/>
      <w:lang w:val="zh-CN" w:eastAsia="zh-CN"/>
    </w:rPr>
  </w:style>
  <w:style w:type="paragraph" w:styleId="5">
    <w:name w:val="footer"/>
    <w:basedOn w:val="1"/>
    <w:link w:val="11"/>
    <w:uiPriority w:val="0"/>
    <w:pPr>
      <w:tabs>
        <w:tab w:val="center" w:pos="4153"/>
        <w:tab w:val="right" w:pos="8306"/>
      </w:tabs>
      <w:snapToGrid w:val="0"/>
      <w:jc w:val="left"/>
    </w:pPr>
    <w:rPr>
      <w:sz w:val="18"/>
      <w:szCs w:val="18"/>
      <w:lang w:val="zh-CN" w:eastAsia="zh-CN"/>
    </w:rPr>
  </w:style>
  <w:style w:type="paragraph" w:styleId="6">
    <w:name w:val="header"/>
    <w:basedOn w:val="1"/>
    <w:link w:val="10"/>
    <w:uiPriority w:val="0"/>
    <w:pPr>
      <w:pBdr>
        <w:bottom w:val="single" w:color="auto" w:sz="6" w:space="1"/>
      </w:pBdr>
      <w:tabs>
        <w:tab w:val="center" w:pos="4153"/>
        <w:tab w:val="right" w:pos="8306"/>
      </w:tabs>
      <w:snapToGrid w:val="0"/>
      <w:jc w:val="center"/>
    </w:pPr>
    <w:rPr>
      <w:sz w:val="18"/>
      <w:szCs w:val="18"/>
      <w:lang w:val="zh-CN" w:eastAsia="zh-CN"/>
    </w:rPr>
  </w:style>
  <w:style w:type="paragraph" w:styleId="7">
    <w:name w:val="Subtitle"/>
    <w:basedOn w:val="1"/>
    <w:qFormat/>
    <w:uiPriority w:val="0"/>
    <w:pPr>
      <w:spacing w:before="240" w:after="60" w:line="312" w:lineRule="auto"/>
      <w:jc w:val="center"/>
      <w:outlineLvl w:val="1"/>
    </w:pPr>
    <w:rPr>
      <w:rFonts w:ascii="Arial" w:hAnsi="Arial" w:cs="Arial"/>
      <w:b/>
      <w:bCs/>
      <w:kern w:val="28"/>
      <w:sz w:val="32"/>
      <w:szCs w:val="32"/>
    </w:rPr>
  </w:style>
  <w:style w:type="character" w:customStyle="1" w:styleId="10">
    <w:name w:val="页眉 Char"/>
    <w:link w:val="6"/>
    <w:uiPriority w:val="0"/>
    <w:rPr>
      <w:kern w:val="2"/>
      <w:sz w:val="18"/>
      <w:szCs w:val="18"/>
    </w:rPr>
  </w:style>
  <w:style w:type="character" w:customStyle="1" w:styleId="11">
    <w:name w:val="页脚 Char"/>
    <w:link w:val="5"/>
    <w:uiPriority w:val="0"/>
    <w:rPr>
      <w:kern w:val="2"/>
      <w:sz w:val="18"/>
      <w:szCs w:val="18"/>
    </w:rPr>
  </w:style>
  <w:style w:type="character" w:customStyle="1" w:styleId="12">
    <w:name w:val="批注框文本 Char"/>
    <w:link w:val="4"/>
    <w:uiPriority w:val="0"/>
    <w:rPr>
      <w:kern w:val="2"/>
      <w:sz w:val="18"/>
      <w:szCs w:val="18"/>
    </w:rPr>
  </w:style>
  <w:style w:type="paragraph" w:customStyle="1" w:styleId="13">
    <w:name w:val="Revision"/>
    <w:unhideWhenUsed/>
    <w:qFormat/>
    <w:uiPriority w:val="99"/>
    <w:rPr>
      <w:rFonts w:ascii="Times New Roman" w:hAnsi="Times New Roman" w:eastAsia="宋体" w:cs="Times New Roman"/>
      <w:kern w:val="2"/>
      <w:sz w:val="21"/>
      <w:szCs w:val="24"/>
      <w:lang w:val="en-US" w:eastAsia="zh-CN" w:bidi="ar-SA"/>
    </w:rPr>
  </w:style>
  <w:style w:type="character" w:customStyle="1" w:styleId="14">
    <w:name w:val="正文文本缩进 字符"/>
    <w:link w:val="2"/>
    <w:qFormat/>
    <w:uiPriority w:val="0"/>
    <w:rPr>
      <w:rFonts w:eastAsia="楷体_GB2312"/>
      <w:kern w:val="2"/>
      <w:sz w:val="28"/>
      <w:szCs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zsu</Company>
  <Pages>8</Pages>
  <Words>111</Words>
  <Characters>639</Characters>
  <Lines>5</Lines>
  <Paragraphs>1</Paragraphs>
  <TotalTime>1</TotalTime>
  <ScaleCrop>false</ScaleCrop>
  <LinksUpToDate>false</LinksUpToDate>
  <CharactersWithSpaces>749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2018-09-29T07:17:00Z</dcterms:created>
  <dc:creator>li</dc:creator>
  <cp:lastModifiedBy>Vante.</cp:lastModifiedBy>
  <cp:lastPrinted>2018-06-25T20:13:00Z</cp:lastPrinted>
  <dcterms:modified xsi:type="dcterms:W3CDTF">2026-04-12T06:25:28Z</dcterms:modified>
  <dc:title>附件：教学大纲的基本格式和内容</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429A09A0517E4AADA4C9B4DB68356536_13</vt:lpwstr>
  </property>
</Properties>
</file>