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8A90C">
      <w:pPr>
        <w:spacing w:line="480" w:lineRule="exact"/>
        <w:rPr>
          <w:sz w:val="24"/>
        </w:rPr>
      </w:pPr>
      <w:bookmarkStart w:id="0" w:name="_GoBack"/>
      <w:bookmarkEnd w:id="0"/>
    </w:p>
    <w:p w14:paraId="269A8461">
      <w:pPr>
        <w:spacing w:line="1480" w:lineRule="exact"/>
        <w:jc w:val="center"/>
        <w:rPr>
          <w:rFonts w:eastAsia="楷体_GB2312"/>
          <w:b/>
          <w:bCs/>
          <w:spacing w:val="40"/>
          <w:sz w:val="72"/>
        </w:rPr>
      </w:pPr>
      <w:r>
        <w:rPr>
          <w:rFonts w:eastAsia="楷体_GB2312"/>
          <w:b/>
          <w:bCs/>
          <w:spacing w:val="40"/>
          <w:sz w:val="72"/>
        </w:rPr>
        <w:t>中山大学</w:t>
      </w:r>
    </w:p>
    <w:p w14:paraId="1B26D70B">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1247F99A">
      <w:pPr>
        <w:spacing w:line="1480" w:lineRule="exact"/>
        <w:jc w:val="center"/>
        <w:rPr>
          <w:sz w:val="52"/>
        </w:rPr>
      </w:pPr>
    </w:p>
    <w:p w14:paraId="087F721C">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325341F8">
      <w:pPr>
        <w:spacing w:line="480" w:lineRule="exact"/>
        <w:ind w:firstLine="2127" w:firstLineChars="709"/>
        <w:rPr>
          <w:rFonts w:eastAsia="黑体"/>
          <w:sz w:val="30"/>
          <w:u w:val="single"/>
        </w:rPr>
      </w:pPr>
    </w:p>
    <w:p w14:paraId="56318CF3">
      <w:pPr>
        <w:spacing w:line="480" w:lineRule="exact"/>
        <w:ind w:firstLine="2127" w:firstLineChars="709"/>
        <w:rPr>
          <w:sz w:val="30"/>
          <w:u w:val="single"/>
        </w:rPr>
      </w:pPr>
      <w:r>
        <w:rPr>
          <w:rFonts w:eastAsia="黑体"/>
          <w:sz w:val="30"/>
        </w:rPr>
        <w:t>课程名称</w:t>
      </w:r>
      <w:r>
        <w:rPr>
          <w:rFonts w:eastAsia="黑体"/>
          <w:sz w:val="30"/>
          <w:u w:val="single"/>
        </w:rPr>
        <w:t xml:space="preserve"> 电子政务</w:t>
      </w:r>
    </w:p>
    <w:p w14:paraId="52176DC7">
      <w:pPr>
        <w:spacing w:line="900" w:lineRule="exact"/>
        <w:ind w:firstLine="3600" w:firstLineChars="1200"/>
        <w:rPr>
          <w:sz w:val="30"/>
        </w:rPr>
      </w:pPr>
    </w:p>
    <w:p w14:paraId="684ED0F3">
      <w:pPr>
        <w:spacing w:line="900" w:lineRule="exact"/>
        <w:jc w:val="center"/>
        <w:rPr>
          <w:rFonts w:eastAsia="仿宋_GB2312"/>
          <w:b/>
          <w:bCs/>
          <w:kern w:val="28"/>
          <w:sz w:val="32"/>
          <w:szCs w:val="32"/>
        </w:rPr>
      </w:pPr>
    </w:p>
    <w:p w14:paraId="191062CD">
      <w:pPr>
        <w:spacing w:line="900" w:lineRule="exact"/>
        <w:jc w:val="center"/>
        <w:rPr>
          <w:rFonts w:eastAsia="仿宋_GB2312"/>
          <w:b/>
          <w:bCs/>
          <w:kern w:val="28"/>
          <w:sz w:val="32"/>
          <w:szCs w:val="32"/>
        </w:rPr>
      </w:pPr>
    </w:p>
    <w:p w14:paraId="2A494FC7">
      <w:pPr>
        <w:spacing w:line="900" w:lineRule="exact"/>
        <w:jc w:val="center"/>
        <w:rPr>
          <w:rFonts w:eastAsia="仿宋_GB2312"/>
          <w:b/>
          <w:bCs/>
          <w:kern w:val="28"/>
          <w:sz w:val="32"/>
          <w:szCs w:val="32"/>
        </w:rPr>
      </w:pPr>
    </w:p>
    <w:p w14:paraId="134C271F">
      <w:pPr>
        <w:spacing w:line="900" w:lineRule="exact"/>
        <w:jc w:val="center"/>
        <w:rPr>
          <w:rFonts w:eastAsia="仿宋_GB2312"/>
          <w:b/>
          <w:bCs/>
          <w:kern w:val="28"/>
          <w:sz w:val="32"/>
          <w:szCs w:val="32"/>
        </w:rPr>
      </w:pPr>
    </w:p>
    <w:p w14:paraId="0403E2AE">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512A655E">
      <w:pPr>
        <w:spacing w:line="900" w:lineRule="exact"/>
        <w:jc w:val="center"/>
        <w:rPr>
          <w:rFonts w:ascii="仿宋_GB2312" w:hAnsi="仿宋_GB2312" w:eastAsia="仿宋_GB2312" w:cs="仿宋_GB2312"/>
          <w:b/>
          <w:bCs/>
          <w:kern w:val="28"/>
          <w:sz w:val="32"/>
          <w:szCs w:val="32"/>
        </w:rPr>
      </w:pPr>
    </w:p>
    <w:p w14:paraId="7F8B4C46">
      <w:pPr>
        <w:spacing w:line="900" w:lineRule="exact"/>
        <w:jc w:val="center"/>
        <w:rPr>
          <w:rFonts w:hint="eastAsia" w:ascii="仿宋_GB2312" w:hAnsi="仿宋_GB2312" w:eastAsia="仿宋_GB2312" w:cs="仿宋_GB2312"/>
          <w:b/>
          <w:bCs/>
          <w:kern w:val="28"/>
          <w:sz w:val="32"/>
          <w:szCs w:val="32"/>
        </w:rPr>
      </w:pPr>
    </w:p>
    <w:p w14:paraId="6CB0C301">
      <w:pPr>
        <w:spacing w:line="900" w:lineRule="exact"/>
        <w:jc w:val="center"/>
        <w:rPr>
          <w:rFonts w:hint="eastAsia" w:eastAsia="仿宋_GB2312"/>
          <w:b/>
          <w:bCs/>
          <w:kern w:val="28"/>
          <w:sz w:val="32"/>
          <w:szCs w:val="32"/>
        </w:rPr>
      </w:pPr>
    </w:p>
    <w:p w14:paraId="6CD227A4">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45745758">
      <w:pPr>
        <w:pStyle w:val="2"/>
        <w:spacing w:line="480" w:lineRule="exact"/>
        <w:ind w:firstLine="0" w:firstLineChars="0"/>
        <w:jc w:val="center"/>
        <w:rPr>
          <w:rFonts w:eastAsia="宋体"/>
          <w:sz w:val="24"/>
        </w:rPr>
      </w:pPr>
      <w:r>
        <w:rPr>
          <w:rFonts w:eastAsia="宋体"/>
          <w:sz w:val="24"/>
        </w:rPr>
        <w:t>（编写日期：2025年12月）</w:t>
      </w:r>
    </w:p>
    <w:p w14:paraId="38B7F71A">
      <w:pPr>
        <w:pStyle w:val="2"/>
        <w:spacing w:line="480" w:lineRule="exact"/>
        <w:ind w:firstLine="0" w:firstLineChars="0"/>
        <w:jc w:val="center"/>
        <w:rPr>
          <w:rFonts w:eastAsia="宋体"/>
          <w:sz w:val="24"/>
        </w:rPr>
      </w:pPr>
    </w:p>
    <w:p w14:paraId="211E204A">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09C1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5E71917C">
            <w:pPr>
              <w:pStyle w:val="2"/>
              <w:spacing w:line="480" w:lineRule="exact"/>
              <w:ind w:firstLine="0" w:firstLineChars="0"/>
              <w:jc w:val="center"/>
              <w:rPr>
                <w:rFonts w:eastAsia="宋体"/>
                <w:sz w:val="24"/>
              </w:rPr>
            </w:pPr>
          </w:p>
          <w:p w14:paraId="382B157F">
            <w:pPr>
              <w:pStyle w:val="2"/>
              <w:adjustRightInd w:val="0"/>
              <w:snapToGrid w:val="0"/>
              <w:ind w:firstLine="0" w:firstLineChars="0"/>
              <w:jc w:val="center"/>
              <w:rPr>
                <w:rFonts w:eastAsia="宋体"/>
                <w:sz w:val="24"/>
                <w:lang w:val="en-US" w:eastAsia="zh-CN"/>
              </w:rPr>
            </w:pPr>
            <w:r>
              <w:rPr>
                <w:rFonts w:eastAsia="宋体"/>
                <w:sz w:val="24"/>
                <w:lang w:val="en-US" w:eastAsia="zh-CN"/>
              </w:rPr>
              <w:t>电子政务</w:t>
            </w:r>
          </w:p>
          <w:p w14:paraId="11F9400B">
            <w:pPr>
              <w:pStyle w:val="2"/>
              <w:adjustRightInd w:val="0"/>
              <w:snapToGrid w:val="0"/>
              <w:ind w:firstLine="0" w:firstLineChars="0"/>
              <w:jc w:val="center"/>
              <w:rPr>
                <w:rFonts w:eastAsia="宋体"/>
                <w:sz w:val="24"/>
                <w:lang w:val="en-US" w:eastAsia="zh-CN"/>
              </w:rPr>
            </w:pPr>
            <w:r>
              <w:rPr>
                <w:rFonts w:eastAsia="宋体"/>
                <w:sz w:val="24"/>
                <w:lang w:val="en-US" w:eastAsia="zh-CN"/>
              </w:rPr>
              <w:t>E-Government</w:t>
            </w:r>
          </w:p>
          <w:p w14:paraId="1B5E472B">
            <w:pPr>
              <w:pStyle w:val="2"/>
              <w:spacing w:line="480" w:lineRule="exact"/>
              <w:ind w:firstLine="0" w:firstLineChars="0"/>
              <w:jc w:val="center"/>
              <w:rPr>
                <w:rFonts w:eastAsia="宋体"/>
                <w:sz w:val="24"/>
              </w:rPr>
            </w:pPr>
          </w:p>
        </w:tc>
      </w:tr>
      <w:tr w14:paraId="0AF6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771AC244">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05E7F0BB">
            <w:pPr>
              <w:jc w:val="center"/>
              <w:rPr>
                <w:sz w:val="24"/>
              </w:rPr>
            </w:pPr>
            <w:r>
              <w:rPr>
                <w:rFonts w:hint="eastAsia" w:eastAsia="宋体"/>
                <w:sz w:val="24"/>
                <w:lang w:val="en-US" w:eastAsia="zh-CN"/>
              </w:rPr>
              <w:t>专选</w:t>
            </w:r>
          </w:p>
        </w:tc>
        <w:tc>
          <w:tcPr>
            <w:tcW w:w="1598" w:type="dxa"/>
            <w:vAlign w:val="center"/>
          </w:tcPr>
          <w:p w14:paraId="51D78CA2">
            <w:pPr>
              <w:rPr>
                <w:sz w:val="24"/>
              </w:rPr>
            </w:pPr>
            <w:r>
              <w:rPr>
                <w:sz w:val="24"/>
              </w:rPr>
              <w:t>课程编码</w:t>
            </w:r>
          </w:p>
        </w:tc>
        <w:tc>
          <w:tcPr>
            <w:tcW w:w="1435" w:type="dxa"/>
            <w:vAlign w:val="center"/>
          </w:tcPr>
          <w:p w14:paraId="5009F7B3">
            <w:pPr>
              <w:jc w:val="center"/>
              <w:rPr>
                <w:sz w:val="24"/>
              </w:rPr>
            </w:pPr>
            <w:r>
              <w:rPr>
                <w:sz w:val="24"/>
              </w:rPr>
              <w:t>IM344</w:t>
            </w:r>
          </w:p>
        </w:tc>
        <w:tc>
          <w:tcPr>
            <w:tcW w:w="1400" w:type="dxa"/>
            <w:vAlign w:val="center"/>
          </w:tcPr>
          <w:p w14:paraId="583D0078">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14AFDBB2">
            <w:pPr>
              <w:jc w:val="center"/>
              <w:rPr>
                <w:sz w:val="24"/>
              </w:rPr>
            </w:pPr>
            <w:r>
              <w:rPr>
                <w:rFonts w:eastAsia="宋体"/>
                <w:sz w:val="24"/>
                <w:lang w:val="en-US" w:eastAsia="zh-CN"/>
              </w:rPr>
              <w:t>信息管理学院</w:t>
            </w:r>
          </w:p>
        </w:tc>
      </w:tr>
      <w:tr w14:paraId="49D7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505CECD">
            <w:pPr>
              <w:jc w:val="center"/>
              <w:rPr>
                <w:sz w:val="24"/>
              </w:rPr>
            </w:pPr>
            <w:r>
              <w:rPr>
                <w:sz w:val="24"/>
              </w:rPr>
              <w:t>学分</w:t>
            </w:r>
          </w:p>
        </w:tc>
        <w:tc>
          <w:tcPr>
            <w:tcW w:w="1379" w:type="dxa"/>
            <w:vAlign w:val="center"/>
          </w:tcPr>
          <w:p w14:paraId="0A94AAE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307857F1">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6FDE5985">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2059C920">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0FC5247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本科一年级</w:t>
            </w:r>
          </w:p>
        </w:tc>
      </w:tr>
      <w:tr w14:paraId="3AD99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1503EA28">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0825AF42">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图书情报与档案管理类Library, Information and Archive Management</w:t>
            </w:r>
          </w:p>
        </w:tc>
      </w:tr>
      <w:tr w14:paraId="5A24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60E641F">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06C76C0B">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聂勇浩</w:t>
            </w:r>
          </w:p>
        </w:tc>
      </w:tr>
      <w:tr w14:paraId="3C63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AAFC51C">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71670435">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61C3D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4EA21FB2">
            <w:pPr>
              <w:pStyle w:val="2"/>
              <w:spacing w:line="480" w:lineRule="exact"/>
              <w:ind w:firstLine="0" w:firstLineChars="0"/>
              <w:jc w:val="center"/>
              <w:rPr>
                <w:rFonts w:eastAsia="宋体"/>
                <w:sz w:val="24"/>
                <w:lang w:val="en-US" w:eastAsia="zh-CN"/>
              </w:rPr>
            </w:pPr>
          </w:p>
          <w:p w14:paraId="1E908519">
            <w:pPr>
              <w:pStyle w:val="2"/>
              <w:spacing w:line="480" w:lineRule="exact"/>
              <w:ind w:firstLine="0" w:firstLineChars="0"/>
              <w:jc w:val="center"/>
              <w:rPr>
                <w:rFonts w:eastAsia="宋体"/>
                <w:sz w:val="24"/>
                <w:lang w:val="en-US" w:eastAsia="zh-CN"/>
              </w:rPr>
            </w:pPr>
          </w:p>
          <w:p w14:paraId="7E05B730">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63F712AA">
            <w:pPr>
              <w:pStyle w:val="2"/>
              <w:spacing w:line="480" w:lineRule="exact"/>
              <w:ind w:firstLine="0" w:firstLineChars="0"/>
              <w:jc w:val="center"/>
              <w:rPr>
                <w:rFonts w:eastAsia="宋体"/>
                <w:sz w:val="24"/>
                <w:lang w:val="en-US" w:eastAsia="zh-CN"/>
              </w:rPr>
            </w:pPr>
          </w:p>
          <w:p w14:paraId="66F9284B">
            <w:pPr>
              <w:pStyle w:val="2"/>
              <w:spacing w:line="480" w:lineRule="exact"/>
              <w:ind w:firstLine="0" w:firstLineChars="0"/>
              <w:jc w:val="center"/>
              <w:rPr>
                <w:rFonts w:eastAsia="宋体"/>
                <w:sz w:val="24"/>
                <w:lang w:val="en-US" w:eastAsia="zh-CN"/>
              </w:rPr>
            </w:pPr>
          </w:p>
        </w:tc>
        <w:tc>
          <w:tcPr>
            <w:tcW w:w="7157" w:type="dxa"/>
            <w:gridSpan w:val="5"/>
            <w:vAlign w:val="center"/>
          </w:tcPr>
          <w:p w14:paraId="4DD18218">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是图书馆学和档案学专业的选修课程，目的在于帮助学生系统掌握电子政务理论知识和实践进展。学生应当在了解电子政务的背景及动因的基础上，掌握电子政务的基本概念和理论，理解电子政务的功能及业务模型，了解国内外电子政务实践，熟悉电子政府的建设框架、政府门户网站建设、G2G、G2B、G2C服务、政务数据治理等主题。课程还将通过案例教学，使学生对电子政府理论体系和电子政务实践内容等有深入的了解和体验。</w:t>
            </w:r>
          </w:p>
          <w:p w14:paraId="6DFFE8B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在课程思政教学上，本课程将重点介绍我国在电子政务领域的典型创新，以及阐述我国的制度优势与电子政务建设之间的关系，帮助学生更好地树立道路自信、理论自信、制度自信。</w:t>
            </w:r>
          </w:p>
        </w:tc>
      </w:tr>
    </w:tbl>
    <w:p w14:paraId="2AD18AAF">
      <w:pPr>
        <w:spacing w:line="480" w:lineRule="exact"/>
        <w:ind w:firstLine="480" w:firstLineChars="200"/>
        <w:rPr>
          <w:sz w:val="24"/>
        </w:rPr>
      </w:pPr>
    </w:p>
    <w:p w14:paraId="62946EA1">
      <w:pPr>
        <w:spacing w:line="480" w:lineRule="exact"/>
        <w:ind w:firstLine="480" w:firstLineChars="200"/>
        <w:rPr>
          <w:sz w:val="24"/>
        </w:rPr>
      </w:pPr>
      <w:r>
        <w:rPr>
          <w:sz w:val="24"/>
        </w:rPr>
        <w:t>二、课程基本内容（要求有一定的字数，不能过于简单）</w:t>
      </w:r>
    </w:p>
    <w:p w14:paraId="44767E75">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93"/>
        <w:gridCol w:w="1192"/>
        <w:gridCol w:w="1063"/>
        <w:gridCol w:w="1192"/>
        <w:gridCol w:w="1194"/>
        <w:gridCol w:w="1538"/>
        <w:gridCol w:w="1063"/>
      </w:tblGrid>
      <w:tr w14:paraId="7FAA71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55" w:hRule="atLeast"/>
          <w:jc w:val="center"/>
        </w:trPr>
        <w:tc>
          <w:tcPr>
            <w:tcW w:w="5096" w:type="dxa"/>
            <w:vAlign w:val="center"/>
          </w:tcPr>
          <w:p w14:paraId="4DB2A609">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3670E9B2">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440914CB">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255CB760">
            <w:pPr>
              <w:jc w:val="center"/>
              <w:rPr>
                <w:rFonts w:hint="eastAsia"/>
                <w:b/>
                <w:bCs/>
                <w:sz w:val="24"/>
                <w:szCs w:val="20"/>
              </w:rPr>
            </w:pPr>
            <w:r>
              <w:rPr>
                <w:rFonts w:hint="eastAsia" w:ascii="24x12 宋体"/>
                <w:b/>
                <w:bCs/>
                <w:sz w:val="24"/>
                <w:szCs w:val="20"/>
              </w:rPr>
              <w:t>育人元素</w:t>
            </w:r>
          </w:p>
        </w:tc>
        <w:tc>
          <w:tcPr>
            <w:tcW w:w="1920" w:type="dxa"/>
            <w:vAlign w:val="center"/>
          </w:tcPr>
          <w:p w14:paraId="2C3A64D2">
            <w:pPr>
              <w:jc w:val="center"/>
              <w:rPr>
                <w:rFonts w:hint="eastAsia"/>
                <w:b/>
                <w:bCs/>
                <w:sz w:val="24"/>
                <w:szCs w:val="20"/>
              </w:rPr>
            </w:pPr>
            <w:r>
              <w:rPr>
                <w:rFonts w:hint="eastAsia" w:ascii="24x12 宋体"/>
                <w:b/>
                <w:bCs/>
                <w:sz w:val="24"/>
                <w:szCs w:val="20"/>
              </w:rPr>
              <w:t>重点、难点(选填)</w:t>
            </w:r>
          </w:p>
        </w:tc>
        <w:tc>
          <w:tcPr>
            <w:tcW w:w="1419" w:type="dxa"/>
            <w:vAlign w:val="center"/>
          </w:tcPr>
          <w:p w14:paraId="1E1E5563">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78EE51A8">
            <w:pPr>
              <w:jc w:val="center"/>
              <w:rPr>
                <w:rFonts w:hint="eastAsia"/>
                <w:b/>
                <w:bCs/>
                <w:sz w:val="24"/>
                <w:szCs w:val="20"/>
              </w:rPr>
            </w:pPr>
            <w:r>
              <w:rPr>
                <w:rFonts w:hint="eastAsia" w:ascii="24x12 宋体"/>
                <w:b/>
                <w:bCs/>
                <w:sz w:val="24"/>
                <w:szCs w:val="20"/>
              </w:rPr>
              <w:t>备注(选填)</w:t>
            </w:r>
          </w:p>
        </w:tc>
      </w:tr>
      <w:tr w14:paraId="4AA7F4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07303B">
            <w:pPr>
              <w:rPr>
                <w:rFonts w:ascii="宋体" w:hAnsi="宋体" w:eastAsia="宋体"/>
                <w:sz w:val="24"/>
                <w:szCs w:val="24"/>
              </w:rPr>
            </w:pPr>
            <w:r>
              <w:rPr>
                <w:rFonts w:hint="eastAsia" w:ascii="宋体" w:hAnsi="宋体" w:eastAsia="宋体"/>
                <w:sz w:val="24"/>
                <w:szCs w:val="24"/>
              </w:rPr>
              <w:t>第一章 电子政务导论</w:t>
            </w:r>
          </w:p>
          <w:p w14:paraId="0755D4A4">
            <w:pPr>
              <w:rPr>
                <w:rFonts w:ascii="宋体" w:hAnsi="宋体" w:eastAsia="宋体"/>
                <w:sz w:val="24"/>
                <w:szCs w:val="24"/>
              </w:rPr>
            </w:pPr>
            <w:r>
              <w:rPr>
                <w:rFonts w:hint="eastAsia" w:ascii="宋体" w:hAnsi="宋体" w:eastAsia="宋体"/>
                <w:sz w:val="24"/>
                <w:szCs w:val="24"/>
              </w:rPr>
              <w:t>第一节 电子政务概述</w:t>
            </w:r>
          </w:p>
          <w:p w14:paraId="1BB3BD9A">
            <w:pPr>
              <w:rPr>
                <w:rFonts w:ascii="宋体" w:hAnsi="宋体" w:eastAsia="宋体"/>
                <w:sz w:val="24"/>
                <w:szCs w:val="24"/>
              </w:rPr>
            </w:pPr>
            <w:r>
              <w:rPr>
                <w:rFonts w:hint="eastAsia" w:ascii="宋体" w:hAnsi="宋体" w:eastAsia="宋体"/>
                <w:sz w:val="24"/>
                <w:szCs w:val="24"/>
              </w:rPr>
              <w:t>第二节 电子政府维度</w:t>
            </w:r>
          </w:p>
          <w:p w14:paraId="5DC79DEC">
            <w:pPr>
              <w:rPr>
                <w:rFonts w:ascii="宋体" w:hAnsi="宋体" w:eastAsia="宋体"/>
                <w:sz w:val="24"/>
                <w:szCs w:val="24"/>
              </w:rPr>
            </w:pPr>
            <w:r>
              <w:rPr>
                <w:rFonts w:hint="eastAsia" w:ascii="宋体" w:hAnsi="宋体" w:eastAsia="宋体"/>
                <w:sz w:val="24"/>
                <w:szCs w:val="24"/>
              </w:rPr>
              <w:t>第三节 电子政务发展历程</w:t>
            </w:r>
          </w:p>
        </w:tc>
        <w:tc>
          <w:tcPr>
            <w:tcW w:w="5096" w:type="dxa"/>
            <w:vAlign w:val="center"/>
          </w:tcPr>
          <w:p w14:paraId="2ED79DF9">
            <w:pPr>
              <w:rPr>
                <w:rFonts w:ascii="宋体" w:hAnsi="宋体" w:eastAsia="宋体"/>
                <w:sz w:val="24"/>
                <w:szCs w:val="24"/>
              </w:rPr>
            </w:pPr>
            <w:r>
              <w:rPr>
                <w:rFonts w:hint="eastAsia" w:ascii="宋体" w:hAnsi="宋体" w:eastAsia="宋体"/>
                <w:sz w:val="24"/>
                <w:szCs w:val="24"/>
              </w:rPr>
              <w:t>电子政务的涵义、背景、基本内容；电子政务的技术、对象、主体、范围和理念等维度；电子政务发展阶段的理论、我国电子政务的发展历程、国际电子政务的发展经验与特征。研讨电子政务的发展趋势</w:t>
            </w:r>
          </w:p>
        </w:tc>
        <w:tc>
          <w:tcPr>
            <w:tcW w:w="5096" w:type="dxa"/>
            <w:vAlign w:val="center"/>
          </w:tcPr>
          <w:p w14:paraId="662B2ED9">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141864CC">
            <w:pPr>
              <w:rPr>
                <w:rFonts w:ascii="宋体" w:hAnsi="宋体" w:eastAsia="宋体"/>
                <w:sz w:val="24"/>
                <w:szCs w:val="24"/>
              </w:rPr>
            </w:pPr>
            <w:r>
              <w:rPr>
                <w:rFonts w:hint="eastAsia" w:ascii="宋体" w:hAnsi="宋体" w:eastAsia="宋体"/>
                <w:sz w:val="24"/>
                <w:szCs w:val="24"/>
              </w:rPr>
              <w:t>电子政务在我国兴起的时代背景；电子政务功能定位的“中国特色”</w:t>
            </w:r>
          </w:p>
        </w:tc>
        <w:tc>
          <w:tcPr>
            <w:tcW w:w="5096" w:type="dxa"/>
            <w:vAlign w:val="center"/>
          </w:tcPr>
          <w:p w14:paraId="288E3AD3">
            <w:pPr>
              <w:rPr>
                <w:rFonts w:ascii="宋体" w:hAnsi="宋体" w:eastAsia="宋体"/>
                <w:sz w:val="24"/>
                <w:szCs w:val="24"/>
              </w:rPr>
            </w:pPr>
            <w:r>
              <w:rPr>
                <w:rFonts w:hint="eastAsia" w:ascii="宋体" w:hAnsi="宋体" w:eastAsia="宋体"/>
                <w:sz w:val="24"/>
                <w:szCs w:val="24"/>
              </w:rPr>
              <w:t>重点：电子政务的基本内容和电子政务发展阶段的理论；</w:t>
            </w:r>
          </w:p>
          <w:p w14:paraId="575F7A47">
            <w:pPr>
              <w:rPr>
                <w:rFonts w:ascii="宋体" w:hAnsi="宋体" w:eastAsia="宋体"/>
                <w:sz w:val="24"/>
                <w:szCs w:val="24"/>
              </w:rPr>
            </w:pPr>
            <w:r>
              <w:rPr>
                <w:rFonts w:hint="eastAsia" w:ascii="宋体" w:hAnsi="宋体" w:eastAsia="宋体"/>
                <w:sz w:val="24"/>
                <w:szCs w:val="24"/>
              </w:rPr>
              <w:t>难点：电子政务的维度</w:t>
            </w:r>
          </w:p>
        </w:tc>
        <w:tc>
          <w:tcPr>
            <w:tcW w:w="1555" w:type="dxa"/>
            <w:vAlign w:val="center"/>
          </w:tcPr>
          <w:p w14:paraId="5479A29D">
            <w:pPr>
              <w:jc w:val="center"/>
              <w:rPr>
                <w:rFonts w:ascii="宋体" w:hAnsi="宋体" w:eastAsia="宋体"/>
                <w:sz w:val="24"/>
                <w:szCs w:val="24"/>
              </w:rPr>
            </w:pPr>
            <w:r>
              <w:rPr>
                <w:rFonts w:hint="eastAsia" w:ascii="宋体" w:hAnsi="宋体" w:eastAsia="宋体"/>
                <w:sz w:val="24"/>
                <w:szCs w:val="24"/>
              </w:rPr>
              <w:t>第1,2,3 周</w:t>
            </w:r>
          </w:p>
        </w:tc>
        <w:tc>
          <w:tcPr>
            <w:tcW w:w="5096" w:type="dxa"/>
            <w:vAlign w:val="center"/>
          </w:tcPr>
          <w:p w14:paraId="0835347F">
            <w:pPr>
              <w:rPr>
                <w:rFonts w:ascii="宋体" w:hAnsi="宋体" w:eastAsia="宋体"/>
                <w:sz w:val="24"/>
                <w:szCs w:val="24"/>
              </w:rPr>
            </w:pPr>
            <w:r>
              <w:rPr>
                <w:rFonts w:hint="eastAsia" w:ascii="宋体" w:hAnsi="宋体" w:eastAsia="宋体"/>
                <w:sz w:val="24"/>
                <w:szCs w:val="24"/>
              </w:rPr>
              <w:t>无</w:t>
            </w:r>
          </w:p>
        </w:tc>
      </w:tr>
      <w:tr w14:paraId="62846E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CE03BBC">
            <w:pPr>
              <w:rPr>
                <w:rFonts w:ascii="宋体" w:hAnsi="宋体" w:eastAsia="宋体"/>
                <w:sz w:val="24"/>
                <w:szCs w:val="24"/>
              </w:rPr>
            </w:pPr>
            <w:r>
              <w:rPr>
                <w:rFonts w:hint="eastAsia" w:ascii="宋体" w:hAnsi="宋体" w:eastAsia="宋体"/>
                <w:sz w:val="24"/>
                <w:szCs w:val="24"/>
              </w:rPr>
              <w:t>第二章 电子政务整体框架</w:t>
            </w:r>
          </w:p>
          <w:p w14:paraId="200A6952">
            <w:pPr>
              <w:rPr>
                <w:rFonts w:ascii="宋体" w:hAnsi="宋体" w:eastAsia="宋体"/>
                <w:sz w:val="24"/>
                <w:szCs w:val="24"/>
              </w:rPr>
            </w:pPr>
            <w:r>
              <w:rPr>
                <w:rFonts w:hint="eastAsia" w:ascii="宋体" w:hAnsi="宋体" w:eastAsia="宋体"/>
                <w:sz w:val="24"/>
                <w:szCs w:val="24"/>
              </w:rPr>
              <w:t>第一节 电子政务的底层理论</w:t>
            </w:r>
          </w:p>
          <w:p w14:paraId="26A52215">
            <w:pPr>
              <w:rPr>
                <w:rFonts w:ascii="宋体" w:hAnsi="宋体" w:eastAsia="宋体"/>
                <w:sz w:val="24"/>
                <w:szCs w:val="24"/>
              </w:rPr>
            </w:pPr>
            <w:r>
              <w:rPr>
                <w:rFonts w:hint="eastAsia" w:ascii="宋体" w:hAnsi="宋体" w:eastAsia="宋体"/>
                <w:sz w:val="24"/>
                <w:szCs w:val="24"/>
              </w:rPr>
              <w:t>第二节 电子政务与政府管理模式改革</w:t>
            </w:r>
          </w:p>
          <w:p w14:paraId="22255D09">
            <w:pPr>
              <w:rPr>
                <w:rFonts w:ascii="宋体" w:hAnsi="宋体" w:eastAsia="宋体"/>
                <w:sz w:val="24"/>
                <w:szCs w:val="24"/>
              </w:rPr>
            </w:pPr>
            <w:r>
              <w:rPr>
                <w:rFonts w:hint="eastAsia" w:ascii="宋体" w:hAnsi="宋体" w:eastAsia="宋体"/>
                <w:sz w:val="24"/>
                <w:szCs w:val="24"/>
              </w:rPr>
              <w:t>第三节 电子政务顶层设计</w:t>
            </w:r>
          </w:p>
        </w:tc>
        <w:tc>
          <w:tcPr>
            <w:tcW w:w="5096" w:type="dxa"/>
            <w:vAlign w:val="center"/>
          </w:tcPr>
          <w:p w14:paraId="5853FA97">
            <w:pPr>
              <w:rPr>
                <w:rFonts w:ascii="宋体" w:hAnsi="宋体" w:eastAsia="宋体"/>
                <w:sz w:val="24"/>
                <w:szCs w:val="24"/>
              </w:rPr>
            </w:pPr>
            <w:r>
              <w:rPr>
                <w:rFonts w:hint="eastAsia" w:ascii="宋体" w:hAnsi="宋体" w:eastAsia="宋体"/>
                <w:sz w:val="24"/>
                <w:szCs w:val="24"/>
              </w:rPr>
              <w:t>技术执行理论和算法科层制；无缝隙政府、政府流程再造、电子政务与政府创新；国外代表性的电子政务顶层设计模型以及我国的电子政务顶层设计</w:t>
            </w:r>
          </w:p>
        </w:tc>
        <w:tc>
          <w:tcPr>
            <w:tcW w:w="5096" w:type="dxa"/>
            <w:vAlign w:val="center"/>
          </w:tcPr>
          <w:p w14:paraId="138A9F92">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1C6611C7">
            <w:pPr>
              <w:rPr>
                <w:rFonts w:ascii="宋体" w:hAnsi="宋体" w:eastAsia="宋体"/>
                <w:sz w:val="24"/>
                <w:szCs w:val="24"/>
              </w:rPr>
            </w:pPr>
            <w:r>
              <w:rPr>
                <w:rFonts w:hint="eastAsia" w:ascii="宋体" w:hAnsi="宋体" w:eastAsia="宋体"/>
                <w:sz w:val="24"/>
                <w:szCs w:val="24"/>
              </w:rPr>
              <w:t>我国代表性的电子政务管理创新</w:t>
            </w:r>
          </w:p>
        </w:tc>
        <w:tc>
          <w:tcPr>
            <w:tcW w:w="5096" w:type="dxa"/>
            <w:vAlign w:val="center"/>
          </w:tcPr>
          <w:p w14:paraId="02D95A49">
            <w:pPr>
              <w:rPr>
                <w:rFonts w:ascii="宋体" w:hAnsi="宋体" w:eastAsia="宋体"/>
                <w:sz w:val="24"/>
                <w:szCs w:val="24"/>
              </w:rPr>
            </w:pPr>
            <w:r>
              <w:rPr>
                <w:rFonts w:hint="eastAsia" w:ascii="宋体" w:hAnsi="宋体" w:eastAsia="宋体"/>
                <w:sz w:val="24"/>
                <w:szCs w:val="24"/>
              </w:rPr>
              <w:t>重点：电子政务与政府管理创新、政府流程再造、电子政务顶层设计；</w:t>
            </w:r>
          </w:p>
          <w:p w14:paraId="0B49F9A3">
            <w:pPr>
              <w:rPr>
                <w:rFonts w:ascii="宋体" w:hAnsi="宋体" w:eastAsia="宋体"/>
                <w:sz w:val="24"/>
                <w:szCs w:val="24"/>
              </w:rPr>
            </w:pPr>
            <w:r>
              <w:rPr>
                <w:rFonts w:hint="eastAsia" w:ascii="宋体" w:hAnsi="宋体" w:eastAsia="宋体"/>
                <w:sz w:val="24"/>
                <w:szCs w:val="24"/>
              </w:rPr>
              <w:t>难点：技术执行理论</w:t>
            </w:r>
          </w:p>
        </w:tc>
        <w:tc>
          <w:tcPr>
            <w:tcW w:w="1555" w:type="dxa"/>
            <w:vAlign w:val="center"/>
          </w:tcPr>
          <w:p w14:paraId="01A8568F">
            <w:pPr>
              <w:jc w:val="center"/>
              <w:rPr>
                <w:rFonts w:ascii="宋体" w:hAnsi="宋体" w:eastAsia="宋体"/>
                <w:sz w:val="24"/>
                <w:szCs w:val="24"/>
              </w:rPr>
            </w:pPr>
            <w:r>
              <w:rPr>
                <w:rFonts w:hint="eastAsia" w:ascii="宋体" w:hAnsi="宋体" w:eastAsia="宋体"/>
                <w:sz w:val="24"/>
                <w:szCs w:val="24"/>
              </w:rPr>
              <w:t>第4,5,6,7 周</w:t>
            </w:r>
          </w:p>
        </w:tc>
        <w:tc>
          <w:tcPr>
            <w:tcW w:w="5096" w:type="dxa"/>
            <w:vAlign w:val="center"/>
          </w:tcPr>
          <w:p w14:paraId="4D3F22A8">
            <w:pPr>
              <w:rPr>
                <w:rFonts w:ascii="宋体" w:hAnsi="宋体" w:eastAsia="宋体"/>
                <w:sz w:val="24"/>
                <w:szCs w:val="24"/>
              </w:rPr>
            </w:pPr>
            <w:r>
              <w:rPr>
                <w:rFonts w:hint="eastAsia" w:ascii="宋体" w:hAnsi="宋体" w:eastAsia="宋体"/>
                <w:sz w:val="24"/>
                <w:szCs w:val="24"/>
              </w:rPr>
              <w:t>无</w:t>
            </w:r>
          </w:p>
        </w:tc>
      </w:tr>
      <w:tr w14:paraId="282564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A3AACF5">
            <w:pPr>
              <w:rPr>
                <w:rFonts w:ascii="宋体" w:hAnsi="宋体" w:eastAsia="宋体"/>
                <w:sz w:val="24"/>
                <w:szCs w:val="24"/>
              </w:rPr>
            </w:pPr>
            <w:r>
              <w:rPr>
                <w:rFonts w:hint="eastAsia" w:ascii="宋体" w:hAnsi="宋体" w:eastAsia="宋体"/>
                <w:sz w:val="24"/>
                <w:szCs w:val="24"/>
              </w:rPr>
              <w:t>第三章 政府门户网站与G2G电子政务</w:t>
            </w:r>
          </w:p>
          <w:p w14:paraId="3D1B6B65">
            <w:pPr>
              <w:rPr>
                <w:rFonts w:ascii="宋体" w:hAnsi="宋体" w:eastAsia="宋体"/>
                <w:sz w:val="24"/>
                <w:szCs w:val="24"/>
              </w:rPr>
            </w:pPr>
            <w:r>
              <w:rPr>
                <w:rFonts w:hint="eastAsia" w:ascii="宋体" w:hAnsi="宋体" w:eastAsia="宋体"/>
                <w:sz w:val="24"/>
                <w:szCs w:val="24"/>
              </w:rPr>
              <w:t>第一节 政府门户网站</w:t>
            </w:r>
          </w:p>
          <w:p w14:paraId="307E5891">
            <w:pPr>
              <w:rPr>
                <w:rFonts w:ascii="宋体" w:hAnsi="宋体" w:eastAsia="宋体"/>
                <w:sz w:val="24"/>
                <w:szCs w:val="24"/>
              </w:rPr>
            </w:pPr>
            <w:r>
              <w:rPr>
                <w:rFonts w:hint="eastAsia" w:ascii="宋体" w:hAnsi="宋体" w:eastAsia="宋体"/>
                <w:sz w:val="24"/>
                <w:szCs w:val="24"/>
              </w:rPr>
              <w:t>第二节 G2G电子政务</w:t>
            </w:r>
          </w:p>
        </w:tc>
        <w:tc>
          <w:tcPr>
            <w:tcW w:w="5096" w:type="dxa"/>
            <w:vAlign w:val="center"/>
          </w:tcPr>
          <w:p w14:paraId="02D6766C">
            <w:pPr>
              <w:rPr>
                <w:rFonts w:ascii="宋体" w:hAnsi="宋体" w:eastAsia="宋体"/>
                <w:sz w:val="24"/>
                <w:szCs w:val="24"/>
              </w:rPr>
            </w:pPr>
            <w:r>
              <w:rPr>
                <w:rFonts w:hint="eastAsia" w:ascii="宋体" w:hAnsi="宋体" w:eastAsia="宋体"/>
                <w:sz w:val="24"/>
                <w:szCs w:val="24"/>
              </w:rPr>
              <w:t>政府门户网站的类型和特征，国外政府门户网站的功能，我国政府门户网站的发展阶段与功能；G2G电子政务的目标、形式；协同办公系统、决策支持系统和政务数据资源管理系统。</w:t>
            </w:r>
          </w:p>
        </w:tc>
        <w:tc>
          <w:tcPr>
            <w:tcW w:w="5096" w:type="dxa"/>
            <w:vAlign w:val="center"/>
          </w:tcPr>
          <w:p w14:paraId="34176622">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0C1F914D">
            <w:pPr>
              <w:rPr>
                <w:rFonts w:ascii="宋体" w:hAnsi="宋体" w:eastAsia="宋体"/>
                <w:sz w:val="24"/>
                <w:szCs w:val="24"/>
              </w:rPr>
            </w:pPr>
            <w:r>
              <w:rPr>
                <w:rFonts w:hint="eastAsia" w:ascii="宋体" w:hAnsi="宋体" w:eastAsia="宋体"/>
                <w:sz w:val="24"/>
                <w:szCs w:val="24"/>
              </w:rPr>
              <w:t>我国政府门户网站发展过程中的制度优势</w:t>
            </w:r>
          </w:p>
        </w:tc>
        <w:tc>
          <w:tcPr>
            <w:tcW w:w="5096" w:type="dxa"/>
            <w:vAlign w:val="center"/>
          </w:tcPr>
          <w:p w14:paraId="2781F2BA">
            <w:pPr>
              <w:rPr>
                <w:rFonts w:ascii="宋体" w:hAnsi="宋体" w:eastAsia="宋体"/>
                <w:sz w:val="24"/>
                <w:szCs w:val="24"/>
              </w:rPr>
            </w:pPr>
            <w:r>
              <w:rPr>
                <w:rFonts w:hint="eastAsia" w:ascii="宋体" w:hAnsi="宋体" w:eastAsia="宋体"/>
                <w:sz w:val="24"/>
                <w:szCs w:val="24"/>
              </w:rPr>
              <w:t>重点：政府门户网站的功能、G2G电子政务的目标与形式；</w:t>
            </w:r>
          </w:p>
          <w:p w14:paraId="27D6ECA3">
            <w:pPr>
              <w:rPr>
                <w:rFonts w:ascii="宋体" w:hAnsi="宋体" w:eastAsia="宋体"/>
                <w:sz w:val="24"/>
                <w:szCs w:val="24"/>
              </w:rPr>
            </w:pPr>
            <w:r>
              <w:rPr>
                <w:rFonts w:hint="eastAsia" w:ascii="宋体" w:hAnsi="宋体" w:eastAsia="宋体"/>
                <w:sz w:val="24"/>
                <w:szCs w:val="24"/>
              </w:rPr>
              <w:t>难点：政务数据资源管理体系</w:t>
            </w:r>
          </w:p>
        </w:tc>
        <w:tc>
          <w:tcPr>
            <w:tcW w:w="1555" w:type="dxa"/>
            <w:vAlign w:val="center"/>
          </w:tcPr>
          <w:p w14:paraId="54A6901D">
            <w:pPr>
              <w:jc w:val="center"/>
              <w:rPr>
                <w:rFonts w:ascii="宋体" w:hAnsi="宋体" w:eastAsia="宋体"/>
                <w:sz w:val="24"/>
                <w:szCs w:val="24"/>
              </w:rPr>
            </w:pPr>
            <w:r>
              <w:rPr>
                <w:rFonts w:hint="eastAsia" w:ascii="宋体" w:hAnsi="宋体" w:eastAsia="宋体"/>
                <w:sz w:val="24"/>
                <w:szCs w:val="24"/>
              </w:rPr>
              <w:t>第10,8,9 周</w:t>
            </w:r>
          </w:p>
        </w:tc>
        <w:tc>
          <w:tcPr>
            <w:tcW w:w="5096" w:type="dxa"/>
            <w:vAlign w:val="center"/>
          </w:tcPr>
          <w:p w14:paraId="4EDF8635">
            <w:pPr>
              <w:rPr>
                <w:rFonts w:ascii="宋体" w:hAnsi="宋体" w:eastAsia="宋体"/>
                <w:sz w:val="24"/>
                <w:szCs w:val="24"/>
              </w:rPr>
            </w:pPr>
            <w:r>
              <w:rPr>
                <w:rFonts w:hint="eastAsia" w:ascii="宋体" w:hAnsi="宋体" w:eastAsia="宋体"/>
                <w:sz w:val="24"/>
                <w:szCs w:val="24"/>
              </w:rPr>
              <w:t>无</w:t>
            </w:r>
          </w:p>
        </w:tc>
      </w:tr>
      <w:tr w14:paraId="46830D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C76CE9">
            <w:pPr>
              <w:rPr>
                <w:rFonts w:ascii="宋体" w:hAnsi="宋体" w:eastAsia="宋体"/>
                <w:sz w:val="24"/>
                <w:szCs w:val="24"/>
              </w:rPr>
            </w:pPr>
            <w:r>
              <w:rPr>
                <w:rFonts w:hint="eastAsia" w:ascii="宋体" w:hAnsi="宋体" w:eastAsia="宋体"/>
                <w:sz w:val="24"/>
                <w:szCs w:val="24"/>
              </w:rPr>
              <w:t>第四章 电子政务公共服务</w:t>
            </w:r>
          </w:p>
          <w:p w14:paraId="568AA0F4">
            <w:pPr>
              <w:rPr>
                <w:rFonts w:ascii="宋体" w:hAnsi="宋体" w:eastAsia="宋体"/>
                <w:sz w:val="24"/>
                <w:szCs w:val="24"/>
              </w:rPr>
            </w:pPr>
            <w:r>
              <w:rPr>
                <w:rFonts w:hint="eastAsia" w:ascii="宋体" w:hAnsi="宋体" w:eastAsia="宋体"/>
                <w:sz w:val="24"/>
                <w:szCs w:val="24"/>
              </w:rPr>
              <w:t>第一节 G2B电子政务</w:t>
            </w:r>
          </w:p>
          <w:p w14:paraId="378736DD">
            <w:pPr>
              <w:rPr>
                <w:rFonts w:ascii="宋体" w:hAnsi="宋体" w:eastAsia="宋体"/>
                <w:sz w:val="24"/>
                <w:szCs w:val="24"/>
              </w:rPr>
            </w:pPr>
            <w:r>
              <w:rPr>
                <w:rFonts w:hint="eastAsia" w:ascii="宋体" w:hAnsi="宋体" w:eastAsia="宋体"/>
                <w:sz w:val="24"/>
                <w:szCs w:val="24"/>
              </w:rPr>
              <w:t>第二节 G2C电子政务</w:t>
            </w:r>
          </w:p>
        </w:tc>
        <w:tc>
          <w:tcPr>
            <w:tcW w:w="5096" w:type="dxa"/>
            <w:vAlign w:val="center"/>
          </w:tcPr>
          <w:p w14:paraId="055D9CE9">
            <w:pPr>
              <w:rPr>
                <w:rFonts w:ascii="宋体" w:hAnsi="宋体" w:eastAsia="宋体"/>
                <w:sz w:val="24"/>
                <w:szCs w:val="24"/>
              </w:rPr>
            </w:pPr>
            <w:r>
              <w:rPr>
                <w:rFonts w:hint="eastAsia" w:ascii="宋体" w:hAnsi="宋体" w:eastAsia="宋体"/>
                <w:sz w:val="24"/>
                <w:szCs w:val="24"/>
              </w:rPr>
              <w:t>G2B电子政务概述、电子税务、电子采购、电子行政审批；G2C电子政务概述、服务类型、典型形式和政民互动。</w:t>
            </w:r>
          </w:p>
        </w:tc>
        <w:tc>
          <w:tcPr>
            <w:tcW w:w="5096" w:type="dxa"/>
            <w:vAlign w:val="center"/>
          </w:tcPr>
          <w:p w14:paraId="55DB0F1A">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1459E656">
            <w:pPr>
              <w:rPr>
                <w:rFonts w:ascii="宋体" w:hAnsi="宋体" w:eastAsia="宋体"/>
                <w:sz w:val="24"/>
                <w:szCs w:val="24"/>
              </w:rPr>
            </w:pPr>
            <w:r>
              <w:rPr>
                <w:rFonts w:hint="eastAsia" w:ascii="宋体" w:hAnsi="宋体" w:eastAsia="宋体"/>
                <w:sz w:val="24"/>
                <w:szCs w:val="24"/>
              </w:rPr>
              <w:t>电子政务建设对于建设服务型政府，提升政府服务水平和透明度的作用。</w:t>
            </w:r>
          </w:p>
        </w:tc>
        <w:tc>
          <w:tcPr>
            <w:tcW w:w="5096" w:type="dxa"/>
            <w:vAlign w:val="center"/>
          </w:tcPr>
          <w:p w14:paraId="1C611640">
            <w:pPr>
              <w:rPr>
                <w:rFonts w:ascii="宋体" w:hAnsi="宋体" w:eastAsia="宋体"/>
                <w:sz w:val="24"/>
                <w:szCs w:val="24"/>
              </w:rPr>
            </w:pPr>
            <w:r>
              <w:rPr>
                <w:rFonts w:hint="eastAsia" w:ascii="宋体" w:hAnsi="宋体" w:eastAsia="宋体"/>
                <w:sz w:val="24"/>
                <w:szCs w:val="24"/>
              </w:rPr>
              <w:t>重点：G2B电子政务和G2C电子政务的服务内容；</w:t>
            </w:r>
          </w:p>
          <w:p w14:paraId="47AC3A85">
            <w:pPr>
              <w:rPr>
                <w:rFonts w:ascii="宋体" w:hAnsi="宋体" w:eastAsia="宋体"/>
                <w:sz w:val="24"/>
                <w:szCs w:val="24"/>
              </w:rPr>
            </w:pPr>
            <w:r>
              <w:rPr>
                <w:rFonts w:hint="eastAsia" w:ascii="宋体" w:hAnsi="宋体" w:eastAsia="宋体"/>
                <w:sz w:val="24"/>
                <w:szCs w:val="24"/>
              </w:rPr>
              <w:t>难点：电子政务服务的主要特点</w:t>
            </w:r>
          </w:p>
        </w:tc>
        <w:tc>
          <w:tcPr>
            <w:tcW w:w="1555" w:type="dxa"/>
            <w:vAlign w:val="center"/>
          </w:tcPr>
          <w:p w14:paraId="067B83B6">
            <w:pPr>
              <w:jc w:val="center"/>
              <w:rPr>
                <w:rFonts w:ascii="宋体" w:hAnsi="宋体" w:eastAsia="宋体"/>
                <w:sz w:val="24"/>
                <w:szCs w:val="24"/>
              </w:rPr>
            </w:pPr>
            <w:r>
              <w:rPr>
                <w:rFonts w:hint="eastAsia" w:ascii="宋体" w:hAnsi="宋体" w:eastAsia="宋体"/>
                <w:sz w:val="24"/>
                <w:szCs w:val="24"/>
              </w:rPr>
              <w:t>第11,12,13 周</w:t>
            </w:r>
          </w:p>
        </w:tc>
        <w:tc>
          <w:tcPr>
            <w:tcW w:w="5096" w:type="dxa"/>
            <w:vAlign w:val="center"/>
          </w:tcPr>
          <w:p w14:paraId="419C41BC">
            <w:pPr>
              <w:rPr>
                <w:rFonts w:ascii="宋体" w:hAnsi="宋体" w:eastAsia="宋体"/>
                <w:sz w:val="24"/>
                <w:szCs w:val="24"/>
              </w:rPr>
            </w:pPr>
            <w:r>
              <w:rPr>
                <w:rFonts w:hint="eastAsia" w:ascii="宋体" w:hAnsi="宋体" w:eastAsia="宋体"/>
                <w:sz w:val="24"/>
                <w:szCs w:val="24"/>
              </w:rPr>
              <w:t>无</w:t>
            </w:r>
          </w:p>
        </w:tc>
      </w:tr>
      <w:tr w14:paraId="7D1FC1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41B38FE">
            <w:pPr>
              <w:rPr>
                <w:rFonts w:ascii="宋体" w:hAnsi="宋体" w:eastAsia="宋体"/>
                <w:sz w:val="24"/>
                <w:szCs w:val="24"/>
              </w:rPr>
            </w:pPr>
            <w:r>
              <w:rPr>
                <w:rFonts w:hint="eastAsia" w:ascii="宋体" w:hAnsi="宋体" w:eastAsia="宋体"/>
                <w:sz w:val="24"/>
                <w:szCs w:val="24"/>
              </w:rPr>
              <w:t>第五章 政务数据治理</w:t>
            </w:r>
          </w:p>
          <w:p w14:paraId="5B11A33A">
            <w:pPr>
              <w:rPr>
                <w:rFonts w:ascii="宋体" w:hAnsi="宋体" w:eastAsia="宋体"/>
                <w:sz w:val="24"/>
                <w:szCs w:val="24"/>
              </w:rPr>
            </w:pPr>
            <w:r>
              <w:rPr>
                <w:rFonts w:hint="eastAsia" w:ascii="宋体" w:hAnsi="宋体" w:eastAsia="宋体"/>
                <w:sz w:val="24"/>
                <w:szCs w:val="24"/>
              </w:rPr>
              <w:t>第一节 政务数据采集</w:t>
            </w:r>
          </w:p>
          <w:p w14:paraId="4CD06EA7">
            <w:pPr>
              <w:rPr>
                <w:rFonts w:ascii="宋体" w:hAnsi="宋体" w:eastAsia="宋体"/>
                <w:sz w:val="24"/>
                <w:szCs w:val="24"/>
              </w:rPr>
            </w:pPr>
            <w:r>
              <w:rPr>
                <w:rFonts w:hint="eastAsia" w:ascii="宋体" w:hAnsi="宋体" w:eastAsia="宋体"/>
                <w:sz w:val="24"/>
                <w:szCs w:val="24"/>
              </w:rPr>
              <w:t>第二节 数据权属</w:t>
            </w:r>
          </w:p>
          <w:p w14:paraId="2A83ABC8">
            <w:pPr>
              <w:rPr>
                <w:rFonts w:ascii="宋体" w:hAnsi="宋体" w:eastAsia="宋体"/>
                <w:sz w:val="24"/>
                <w:szCs w:val="24"/>
              </w:rPr>
            </w:pPr>
            <w:r>
              <w:rPr>
                <w:rFonts w:hint="eastAsia" w:ascii="宋体" w:hAnsi="宋体" w:eastAsia="宋体"/>
                <w:sz w:val="24"/>
                <w:szCs w:val="24"/>
              </w:rPr>
              <w:t>第三节 政务数据共享</w:t>
            </w:r>
          </w:p>
          <w:p w14:paraId="012D7E1C">
            <w:pPr>
              <w:rPr>
                <w:rFonts w:ascii="宋体" w:hAnsi="宋体" w:eastAsia="宋体"/>
                <w:sz w:val="24"/>
                <w:szCs w:val="24"/>
              </w:rPr>
            </w:pPr>
            <w:r>
              <w:rPr>
                <w:rFonts w:hint="eastAsia" w:ascii="宋体" w:hAnsi="宋体" w:eastAsia="宋体"/>
                <w:sz w:val="24"/>
                <w:szCs w:val="24"/>
              </w:rPr>
              <w:t>第四节 政务数据开放利用</w:t>
            </w:r>
          </w:p>
          <w:p w14:paraId="7FDF16DD">
            <w:pPr>
              <w:rPr>
                <w:rFonts w:ascii="宋体" w:hAnsi="宋体" w:eastAsia="宋体"/>
                <w:sz w:val="24"/>
                <w:szCs w:val="24"/>
              </w:rPr>
            </w:pPr>
            <w:r>
              <w:rPr>
                <w:rFonts w:hint="eastAsia" w:ascii="宋体" w:hAnsi="宋体" w:eastAsia="宋体"/>
                <w:sz w:val="24"/>
                <w:szCs w:val="24"/>
              </w:rPr>
              <w:t>第五节 大数据标准化</w:t>
            </w:r>
          </w:p>
        </w:tc>
        <w:tc>
          <w:tcPr>
            <w:tcW w:w="5096" w:type="dxa"/>
            <w:vAlign w:val="center"/>
          </w:tcPr>
          <w:p w14:paraId="2E2E7E07">
            <w:pPr>
              <w:rPr>
                <w:rFonts w:ascii="宋体" w:hAnsi="宋体" w:eastAsia="宋体"/>
                <w:sz w:val="24"/>
                <w:szCs w:val="24"/>
              </w:rPr>
            </w:pPr>
            <w:r>
              <w:rPr>
                <w:rFonts w:hint="eastAsia" w:ascii="宋体" w:hAnsi="宋体" w:eastAsia="宋体"/>
                <w:sz w:val="24"/>
                <w:szCs w:val="24"/>
              </w:rPr>
              <w:t>政务数据采集的特征、原则、方式和要求；数据权属的作用以及分类数据的权属；政务数据共享的原则、目录管理和平台建设；政务数据开放的主体、范围和机制；政务数据标准化和标准体系</w:t>
            </w:r>
          </w:p>
        </w:tc>
        <w:tc>
          <w:tcPr>
            <w:tcW w:w="5096" w:type="dxa"/>
            <w:vAlign w:val="center"/>
          </w:tcPr>
          <w:p w14:paraId="4656E392">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55DC4642">
            <w:pPr>
              <w:rPr>
                <w:rFonts w:ascii="宋体" w:hAnsi="宋体" w:eastAsia="宋体"/>
                <w:sz w:val="24"/>
                <w:szCs w:val="24"/>
              </w:rPr>
            </w:pPr>
            <w:r>
              <w:rPr>
                <w:rFonts w:hint="eastAsia" w:ascii="宋体" w:hAnsi="宋体" w:eastAsia="宋体"/>
                <w:sz w:val="24"/>
                <w:szCs w:val="24"/>
              </w:rPr>
              <w:t>我国政务数据治理中的本土经验和制度优势</w:t>
            </w:r>
          </w:p>
        </w:tc>
        <w:tc>
          <w:tcPr>
            <w:tcW w:w="5096" w:type="dxa"/>
            <w:vAlign w:val="center"/>
          </w:tcPr>
          <w:p w14:paraId="26412A3A">
            <w:pPr>
              <w:rPr>
                <w:rFonts w:ascii="宋体" w:hAnsi="宋体" w:eastAsia="宋体"/>
                <w:sz w:val="24"/>
                <w:szCs w:val="24"/>
              </w:rPr>
            </w:pPr>
            <w:r>
              <w:rPr>
                <w:rFonts w:hint="eastAsia" w:ascii="宋体" w:hAnsi="宋体" w:eastAsia="宋体"/>
                <w:sz w:val="24"/>
                <w:szCs w:val="24"/>
              </w:rPr>
              <w:t>重点：政务数据的采集、共享和开放；</w:t>
            </w:r>
          </w:p>
          <w:p w14:paraId="091629B8">
            <w:pPr>
              <w:rPr>
                <w:rFonts w:ascii="宋体" w:hAnsi="宋体" w:eastAsia="宋体"/>
                <w:sz w:val="24"/>
                <w:szCs w:val="24"/>
              </w:rPr>
            </w:pPr>
            <w:r>
              <w:rPr>
                <w:rFonts w:hint="eastAsia" w:ascii="宋体" w:hAnsi="宋体" w:eastAsia="宋体"/>
                <w:sz w:val="24"/>
                <w:szCs w:val="24"/>
              </w:rPr>
              <w:t>难点：政务数据开放的机制</w:t>
            </w:r>
          </w:p>
        </w:tc>
        <w:tc>
          <w:tcPr>
            <w:tcW w:w="1555" w:type="dxa"/>
            <w:vAlign w:val="center"/>
          </w:tcPr>
          <w:p w14:paraId="2EF4EAD8">
            <w:pPr>
              <w:jc w:val="center"/>
              <w:rPr>
                <w:rFonts w:ascii="宋体" w:hAnsi="宋体" w:eastAsia="宋体"/>
                <w:sz w:val="24"/>
                <w:szCs w:val="24"/>
              </w:rPr>
            </w:pPr>
            <w:r>
              <w:rPr>
                <w:rFonts w:hint="eastAsia" w:ascii="宋体" w:hAnsi="宋体" w:eastAsia="宋体"/>
                <w:sz w:val="24"/>
                <w:szCs w:val="24"/>
              </w:rPr>
              <w:t>第14,15,16,17 周</w:t>
            </w:r>
          </w:p>
        </w:tc>
        <w:tc>
          <w:tcPr>
            <w:tcW w:w="5096" w:type="dxa"/>
            <w:vAlign w:val="center"/>
          </w:tcPr>
          <w:p w14:paraId="40BE0C84">
            <w:pPr>
              <w:rPr>
                <w:rFonts w:ascii="宋体" w:hAnsi="宋体" w:eastAsia="宋体"/>
                <w:sz w:val="24"/>
                <w:szCs w:val="24"/>
              </w:rPr>
            </w:pPr>
            <w:r>
              <w:rPr>
                <w:rFonts w:hint="eastAsia" w:ascii="宋体" w:hAnsi="宋体" w:eastAsia="宋体"/>
                <w:sz w:val="24"/>
                <w:szCs w:val="24"/>
              </w:rPr>
              <w:t>无</w:t>
            </w:r>
          </w:p>
        </w:tc>
      </w:tr>
      <w:tr w14:paraId="5D25F51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054B514">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1C3F63FD">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204CEAA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2F15444">
            <w:pPr>
              <w:rPr>
                <w:rFonts w:ascii="宋体" w:hAnsi="宋体" w:eastAsia="宋体"/>
                <w:sz w:val="24"/>
                <w:szCs w:val="24"/>
              </w:rPr>
            </w:pPr>
          </w:p>
        </w:tc>
        <w:tc>
          <w:tcPr>
            <w:tcW w:w="5096" w:type="dxa"/>
            <w:vAlign w:val="center"/>
          </w:tcPr>
          <w:p w14:paraId="0F43BAF2">
            <w:pPr>
              <w:rPr>
                <w:rFonts w:ascii="宋体" w:hAnsi="宋体" w:eastAsia="宋体"/>
                <w:sz w:val="24"/>
                <w:szCs w:val="24"/>
              </w:rPr>
            </w:pPr>
          </w:p>
        </w:tc>
        <w:tc>
          <w:tcPr>
            <w:tcW w:w="1555" w:type="dxa"/>
            <w:vAlign w:val="center"/>
          </w:tcPr>
          <w:p w14:paraId="6367A339">
            <w:pPr>
              <w:jc w:val="center"/>
              <w:rPr>
                <w:rFonts w:ascii="宋体" w:hAnsi="宋体" w:eastAsia="宋体"/>
                <w:sz w:val="24"/>
                <w:szCs w:val="24"/>
              </w:rPr>
            </w:pPr>
            <w:r>
              <w:rPr>
                <w:rFonts w:hint="eastAsia" w:ascii="宋体" w:hAnsi="宋体" w:eastAsia="宋体"/>
                <w:sz w:val="24"/>
                <w:szCs w:val="24"/>
              </w:rPr>
              <w:t>第18,19 周</w:t>
            </w:r>
          </w:p>
        </w:tc>
        <w:tc>
          <w:tcPr>
            <w:tcW w:w="5096" w:type="dxa"/>
            <w:vAlign w:val="center"/>
          </w:tcPr>
          <w:p w14:paraId="25E580B1">
            <w:pPr>
              <w:rPr>
                <w:rFonts w:ascii="宋体" w:hAnsi="宋体" w:eastAsia="宋体"/>
                <w:sz w:val="24"/>
                <w:szCs w:val="24"/>
              </w:rPr>
            </w:pPr>
          </w:p>
        </w:tc>
      </w:tr>
    </w:tbl>
    <w:p w14:paraId="2D5BF6FD">
      <w:pPr>
        <w:spacing w:line="480" w:lineRule="exact"/>
        <w:ind w:firstLine="360" w:firstLineChars="150"/>
        <w:rPr>
          <w:rFonts w:hint="eastAsia"/>
          <w:sz w:val="24"/>
        </w:rPr>
      </w:pPr>
      <w:r>
        <w:rPr>
          <w:sz w:val="24"/>
        </w:rPr>
        <w:t>合计:36</w:t>
      </w:r>
    </w:p>
    <w:p w14:paraId="01401F4F">
      <w:pPr>
        <w:spacing w:line="480" w:lineRule="exact"/>
        <w:rPr>
          <w:sz w:val="24"/>
        </w:rPr>
      </w:pPr>
    </w:p>
    <w:p w14:paraId="023CCEFE">
      <w:pPr>
        <w:spacing w:line="480" w:lineRule="exact"/>
        <w:rPr>
          <w:rFonts w:hint="eastAsia"/>
          <w:sz w:val="24"/>
        </w:rPr>
      </w:pPr>
    </w:p>
    <w:p w14:paraId="4D832DB6">
      <w:pPr>
        <w:spacing w:line="480" w:lineRule="exact"/>
        <w:ind w:firstLine="480" w:firstLineChars="200"/>
        <w:rPr>
          <w:sz w:val="24"/>
        </w:rPr>
      </w:pPr>
      <w:r>
        <w:rPr>
          <w:sz w:val="24"/>
        </w:rPr>
        <w:t>（二）</w:t>
      </w:r>
      <w:r>
        <w:rPr>
          <w:b/>
          <w:sz w:val="24"/>
        </w:rPr>
        <w:t>教学环节安排</w:t>
      </w:r>
    </w:p>
    <w:p w14:paraId="32C8C0E3">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5B2AAC0A">
      <w:pPr>
        <w:spacing w:line="480" w:lineRule="exact"/>
        <w:ind w:firstLine="360" w:firstLineChars="150"/>
        <w:rPr>
          <w:rFonts w:hint="eastAsia"/>
          <w:sz w:val="24"/>
        </w:rPr>
      </w:pPr>
      <w:r>
        <w:rPr>
          <w:sz w:val="24"/>
        </w:rPr>
        <w:t>1.课堂讲授。</w:t>
      </w:r>
    </w:p>
    <w:p w14:paraId="3B2D7CF7">
      <w:pPr>
        <w:spacing w:line="480" w:lineRule="exact"/>
        <w:ind w:firstLine="360" w:firstLineChars="150"/>
        <w:rPr>
          <w:rFonts w:hint="eastAsia"/>
          <w:sz w:val="24"/>
        </w:rPr>
      </w:pPr>
      <w:r>
        <w:rPr>
          <w:sz w:val="24"/>
        </w:rPr>
        <w:t>2.课堂研讨</w:t>
      </w:r>
    </w:p>
    <w:p w14:paraId="3E2900BA">
      <w:pPr>
        <w:spacing w:line="480" w:lineRule="exact"/>
        <w:ind w:firstLine="360" w:firstLineChars="150"/>
        <w:rPr>
          <w:rFonts w:hint="eastAsia"/>
          <w:sz w:val="24"/>
        </w:rPr>
      </w:pPr>
      <w:r>
        <w:rPr>
          <w:sz w:val="24"/>
        </w:rPr>
        <w:t>学生组成学习小组，根据教师指定的主题，通过团队合作，形成一份有深度、有见解的研究报告并进行课堂汇报。其他小组将担任评论组，通过提问、讨论和反馈，共同深化对主题的理解，锻炼批判性思维与表达能力。</w:t>
      </w:r>
    </w:p>
    <w:p w14:paraId="01F4FB1B">
      <w:pPr>
        <w:spacing w:line="480" w:lineRule="exact"/>
        <w:ind w:firstLine="360" w:firstLineChars="150"/>
        <w:rPr>
          <w:rFonts w:hint="eastAsia"/>
          <w:sz w:val="24"/>
        </w:rPr>
      </w:pPr>
      <w:r>
        <w:rPr>
          <w:sz w:val="24"/>
        </w:rPr>
        <w:t>研讨主题包括：电子政务的发展趋势、数字技术和政务创新之间的互动、评价省级政府门户网站、分析移动端政务服务应用案例、基于政府开放数据设计面向社会公众的产品或服务</w:t>
      </w:r>
    </w:p>
    <w:p w14:paraId="04C70167">
      <w:pPr>
        <w:spacing w:line="480" w:lineRule="exact"/>
        <w:rPr>
          <w:sz w:val="24"/>
        </w:rPr>
      </w:pPr>
    </w:p>
    <w:p w14:paraId="4B981911">
      <w:pPr>
        <w:spacing w:line="480" w:lineRule="exact"/>
        <w:ind w:firstLine="480" w:firstLineChars="200"/>
        <w:rPr>
          <w:rFonts w:hint="eastAsia"/>
          <w:sz w:val="24"/>
        </w:rPr>
      </w:pPr>
      <w:r>
        <w:rPr>
          <w:sz w:val="24"/>
        </w:rPr>
        <w:t>（三）</w:t>
      </w:r>
      <w:r>
        <w:rPr>
          <w:b/>
          <w:sz w:val="24"/>
        </w:rPr>
        <w:t>教学方法</w:t>
      </w:r>
    </w:p>
    <w:p w14:paraId="1588B08B">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1040DB10">
      <w:pPr>
        <w:spacing w:line="480" w:lineRule="exact"/>
        <w:ind w:firstLine="360" w:firstLineChars="150"/>
        <w:rPr>
          <w:rFonts w:hint="eastAsia"/>
          <w:sz w:val="24"/>
        </w:rPr>
      </w:pPr>
      <w:r>
        <w:rPr>
          <w:sz w:val="24"/>
        </w:rPr>
        <w:t>将综合采用课堂讲授、案例教学、课堂研讨等教学方法。</w:t>
      </w:r>
    </w:p>
    <w:p w14:paraId="66EC5E91">
      <w:pPr>
        <w:spacing w:line="480" w:lineRule="exact"/>
        <w:ind w:firstLine="360" w:firstLineChars="150"/>
        <w:rPr>
          <w:rFonts w:hint="eastAsia"/>
          <w:sz w:val="24"/>
        </w:rPr>
      </w:pPr>
      <w:r>
        <w:rPr>
          <w:sz w:val="24"/>
        </w:rPr>
        <w:t>团队学习五次，采用分组进行课堂研讨的方式。</w:t>
      </w:r>
    </w:p>
    <w:p w14:paraId="2FBB381B">
      <w:pPr>
        <w:spacing w:line="480" w:lineRule="exact"/>
        <w:ind w:firstLine="360" w:firstLineChars="150"/>
        <w:rPr>
          <w:sz w:val="24"/>
        </w:rPr>
      </w:pPr>
    </w:p>
    <w:p w14:paraId="742821F1">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3873C84C">
      <w:pPr>
        <w:spacing w:line="480" w:lineRule="exact"/>
        <w:ind w:firstLine="360" w:firstLineChars="150"/>
        <w:rPr>
          <w:sz w:val="24"/>
        </w:rPr>
      </w:pPr>
      <w:r>
        <w:rPr>
          <w:rFonts w:hint="eastAsia"/>
          <w:sz w:val="24"/>
        </w:rPr>
        <w:t>《电子政务：基础、框架与趋向》（第二版），陈德权主编，清华大学出版社，2023年6月出版</w:t>
      </w:r>
    </w:p>
    <w:p w14:paraId="61574836">
      <w:pPr>
        <w:spacing w:line="480" w:lineRule="exact"/>
        <w:ind w:firstLine="360" w:firstLineChars="150"/>
        <w:rPr>
          <w:sz w:val="24"/>
        </w:rPr>
      </w:pPr>
    </w:p>
    <w:p w14:paraId="5BB31139">
      <w:pPr>
        <w:spacing w:line="480" w:lineRule="exact"/>
        <w:ind w:firstLine="480" w:firstLineChars="200"/>
        <w:rPr>
          <w:sz w:val="24"/>
        </w:rPr>
      </w:pPr>
      <w:r>
        <w:rPr>
          <w:sz w:val="24"/>
        </w:rPr>
        <w:t>（五）</w:t>
      </w:r>
      <w:r>
        <w:rPr>
          <w:b/>
          <w:sz w:val="24"/>
        </w:rPr>
        <w:t>主要参考书目</w:t>
      </w:r>
    </w:p>
    <w:p w14:paraId="0B6A7D0C">
      <w:pPr>
        <w:spacing w:line="480" w:lineRule="exact"/>
        <w:ind w:firstLine="482" w:firstLineChars="200"/>
        <w:rPr>
          <w:sz w:val="24"/>
        </w:rPr>
      </w:pPr>
      <w:r>
        <w:rPr>
          <w:b/>
          <w:sz w:val="24"/>
        </w:rPr>
        <w:t>（推荐若干参考书，并注明书名、作者、出版社、版本、出版日期等，每个章节指定一定数量、明确的阅读资料）</w:t>
      </w:r>
    </w:p>
    <w:p w14:paraId="100BC13F">
      <w:pPr>
        <w:spacing w:line="480" w:lineRule="exact"/>
        <w:ind w:firstLine="360" w:firstLineChars="150"/>
        <w:rPr>
          <w:sz w:val="24"/>
        </w:rPr>
      </w:pPr>
      <w:r>
        <w:rPr>
          <w:rFonts w:hint="eastAsia"/>
          <w:sz w:val="24"/>
        </w:rPr>
        <w:t>无</w:t>
      </w:r>
    </w:p>
    <w:p w14:paraId="74431B4C">
      <w:pPr>
        <w:spacing w:line="480" w:lineRule="exact"/>
        <w:ind w:firstLine="480" w:firstLineChars="200"/>
        <w:rPr>
          <w:sz w:val="24"/>
        </w:rPr>
      </w:pPr>
      <w:r>
        <w:rPr>
          <w:sz w:val="24"/>
        </w:rPr>
        <w:t>（六）</w:t>
      </w:r>
      <w:r>
        <w:rPr>
          <w:b/>
          <w:sz w:val="24"/>
        </w:rPr>
        <w:t>成绩评定方式</w:t>
      </w:r>
    </w:p>
    <w:p w14:paraId="6572C5AA">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3218A918">
      <w:pPr>
        <w:spacing w:line="480" w:lineRule="exact"/>
        <w:ind w:firstLine="482" w:firstLineChars="200"/>
        <w:rPr>
          <w:sz w:val="24"/>
        </w:rPr>
      </w:pPr>
      <w:r>
        <w:rPr>
          <w:rFonts w:hint="eastAsia"/>
          <w:b/>
          <w:sz w:val="24"/>
        </w:rPr>
        <w:t>考 核 方 式：考查</w:t>
      </w:r>
    </w:p>
    <w:p w14:paraId="06655477">
      <w:pPr>
        <w:spacing w:line="480" w:lineRule="exact"/>
        <w:ind w:firstLine="482" w:firstLineChars="200"/>
        <w:rPr>
          <w:sz w:val="24"/>
        </w:rPr>
      </w:pPr>
      <w:r>
        <w:rPr>
          <w:rFonts w:hint="eastAsia"/>
          <w:b/>
          <w:sz w:val="24"/>
        </w:rPr>
        <w:t>成绩录入方式： 百分制</w:t>
      </w:r>
    </w:p>
    <w:p w14:paraId="780103D4">
      <w:pPr>
        <w:spacing w:line="480" w:lineRule="exact"/>
        <w:ind w:firstLine="360" w:firstLineChars="150"/>
        <w:rPr>
          <w:sz w:val="24"/>
        </w:rPr>
      </w:pPr>
      <w:r>
        <w:rPr>
          <w:rFonts w:hint="eastAsia"/>
          <w:sz w:val="24"/>
        </w:rPr>
        <w:t>一、总成绩构成</w:t>
      </w:r>
    </w:p>
    <w:p w14:paraId="52667B19">
      <w:pPr>
        <w:spacing w:line="480" w:lineRule="exact"/>
        <w:ind w:firstLine="360" w:firstLineChars="150"/>
        <w:rPr>
          <w:sz w:val="24"/>
        </w:rPr>
      </w:pPr>
      <w:r>
        <w:rPr>
          <w:rFonts w:hint="eastAsia"/>
          <w:sz w:val="24"/>
        </w:rPr>
        <w:t>平时考核占比50%，期末考核占比50%。</w:t>
      </w:r>
    </w:p>
    <w:p w14:paraId="2DF573F9">
      <w:pPr>
        <w:spacing w:line="480" w:lineRule="exact"/>
        <w:ind w:firstLine="360" w:firstLineChars="150"/>
        <w:rPr>
          <w:sz w:val="24"/>
        </w:rPr>
      </w:pPr>
      <w:r>
        <w:rPr>
          <w:rFonts w:hint="eastAsia"/>
          <w:sz w:val="24"/>
        </w:rPr>
        <w:t>二、平时考核说明</w:t>
      </w:r>
    </w:p>
    <w:p w14:paraId="69F54BB4">
      <w:pPr>
        <w:spacing w:line="480" w:lineRule="exact"/>
        <w:ind w:firstLine="360" w:firstLineChars="150"/>
        <w:rPr>
          <w:sz w:val="24"/>
        </w:rPr>
      </w:pPr>
      <w:r>
        <w:rPr>
          <w:rFonts w:hint="eastAsia"/>
          <w:sz w:val="24"/>
        </w:rPr>
        <w:t>（1）五次课堂研讨（占平时成绩100%）。</w:t>
      </w:r>
    </w:p>
    <w:p w14:paraId="41FDC4B5">
      <w:pPr>
        <w:spacing w:line="480" w:lineRule="exact"/>
        <w:ind w:firstLine="360" w:firstLineChars="150"/>
        <w:rPr>
          <w:sz w:val="24"/>
        </w:rPr>
      </w:pPr>
      <w:r>
        <w:rPr>
          <w:rFonts w:hint="eastAsia"/>
          <w:sz w:val="24"/>
        </w:rPr>
        <w:t>根据教学进度安排5次课堂研讨，全班同学以小组形式参加。每个小组需在指定的5个主题中选择2个主题，完成研究报告并课堂汇报。此外，每个小组还需要担任3次评论组，针对其它小组的课堂汇报开展点评和交流。</w:t>
      </w:r>
    </w:p>
    <w:p w14:paraId="22D2F74D">
      <w:pPr>
        <w:spacing w:line="480" w:lineRule="exact"/>
        <w:ind w:firstLine="360" w:firstLineChars="150"/>
        <w:rPr>
          <w:sz w:val="24"/>
        </w:rPr>
      </w:pPr>
      <w:r>
        <w:rPr>
          <w:rFonts w:hint="eastAsia"/>
          <w:sz w:val="24"/>
        </w:rPr>
        <w:t>各项任务分值和评分要点如下：</w:t>
      </w:r>
    </w:p>
    <w:p w14:paraId="643EF076">
      <w:pPr>
        <w:spacing w:line="480" w:lineRule="exact"/>
        <w:ind w:firstLine="360" w:firstLineChars="150"/>
        <w:rPr>
          <w:sz w:val="24"/>
        </w:rPr>
      </w:pPr>
      <w:r>
        <w:rPr>
          <w:rFonts w:hint="eastAsia"/>
          <w:sz w:val="24"/>
        </w:rPr>
        <w:t>①2份研究报告 (50%)</w:t>
      </w:r>
    </w:p>
    <w:p w14:paraId="47263F44">
      <w:pPr>
        <w:spacing w:line="480" w:lineRule="exact"/>
        <w:ind w:firstLine="360" w:firstLineChars="150"/>
        <w:rPr>
          <w:sz w:val="24"/>
        </w:rPr>
      </w:pPr>
      <w:r>
        <w:rPr>
          <w:rFonts w:hint="eastAsia"/>
          <w:sz w:val="24"/>
        </w:rPr>
        <w:t>• 选题价值与研究深度：是否聚焦于任务核心，内容是否有深度，能否揭示问题的关键方面？</w:t>
      </w:r>
    </w:p>
    <w:p w14:paraId="28E7F4F8">
      <w:pPr>
        <w:spacing w:line="480" w:lineRule="exact"/>
        <w:ind w:firstLine="360" w:firstLineChars="150"/>
        <w:rPr>
          <w:sz w:val="24"/>
        </w:rPr>
      </w:pPr>
      <w:r>
        <w:rPr>
          <w:rFonts w:hint="eastAsia"/>
          <w:sz w:val="24"/>
        </w:rPr>
        <w:t>• 结构与逻辑性：报告结构是否清晰合理（引言、主体、结论）？论证过程是否逻辑严密？</w:t>
      </w:r>
    </w:p>
    <w:p w14:paraId="2FEFE239">
      <w:pPr>
        <w:spacing w:line="480" w:lineRule="exact"/>
        <w:ind w:firstLine="360" w:firstLineChars="150"/>
        <w:rPr>
          <w:sz w:val="24"/>
        </w:rPr>
      </w:pPr>
      <w:r>
        <w:rPr>
          <w:rFonts w:hint="eastAsia"/>
          <w:sz w:val="24"/>
        </w:rPr>
        <w:t>• 写作质量：语言表达是否准确、简洁、流畅？格式是否规范？</w:t>
      </w:r>
    </w:p>
    <w:p w14:paraId="7B3865DA">
      <w:pPr>
        <w:spacing w:line="480" w:lineRule="exact"/>
        <w:ind w:firstLine="360" w:firstLineChars="150"/>
        <w:rPr>
          <w:sz w:val="24"/>
        </w:rPr>
      </w:pPr>
      <w:r>
        <w:rPr>
          <w:rFonts w:hint="eastAsia"/>
          <w:sz w:val="24"/>
        </w:rPr>
        <w:t>②2次课堂汇报 (20%)</w:t>
      </w:r>
    </w:p>
    <w:p w14:paraId="49D296D3">
      <w:pPr>
        <w:spacing w:line="480" w:lineRule="exact"/>
        <w:ind w:firstLine="360" w:firstLineChars="150"/>
        <w:rPr>
          <w:sz w:val="24"/>
        </w:rPr>
      </w:pPr>
      <w:r>
        <w:rPr>
          <w:rFonts w:hint="eastAsia"/>
          <w:sz w:val="24"/>
        </w:rPr>
        <w:t>• 内容呈现：是否清晰、准确地传达了研究报告的核心内容？重点是否突出？</w:t>
      </w:r>
    </w:p>
    <w:p w14:paraId="169D676F">
      <w:pPr>
        <w:spacing w:line="480" w:lineRule="exact"/>
        <w:ind w:firstLine="360" w:firstLineChars="150"/>
        <w:rPr>
          <w:sz w:val="24"/>
        </w:rPr>
      </w:pPr>
      <w:r>
        <w:rPr>
          <w:rFonts w:hint="eastAsia"/>
          <w:sz w:val="24"/>
        </w:rPr>
        <w:t>• 表达效果：口头表达是否清晰、流畅、有感染力？仪态是否自然大方？</w:t>
      </w:r>
    </w:p>
    <w:p w14:paraId="3BAAD189">
      <w:pPr>
        <w:spacing w:line="480" w:lineRule="exact"/>
        <w:ind w:firstLine="360" w:firstLineChars="150"/>
        <w:rPr>
          <w:sz w:val="24"/>
        </w:rPr>
      </w:pPr>
      <w:r>
        <w:rPr>
          <w:rFonts w:hint="eastAsia"/>
          <w:sz w:val="24"/>
        </w:rPr>
        <w:t>• 时间控制：是否在规定时间内有效完成汇报？</w:t>
      </w:r>
    </w:p>
    <w:p w14:paraId="2A534591">
      <w:pPr>
        <w:spacing w:line="480" w:lineRule="exact"/>
        <w:ind w:firstLine="360" w:firstLineChars="150"/>
        <w:rPr>
          <w:sz w:val="24"/>
        </w:rPr>
      </w:pPr>
      <w:r>
        <w:rPr>
          <w:rFonts w:hint="eastAsia"/>
          <w:sz w:val="24"/>
        </w:rPr>
        <w:t>• 辅助工具：（如使用PPT/海报等）设计是否清晰、简洁、美观？能否有效辅助理解？</w:t>
      </w:r>
    </w:p>
    <w:p w14:paraId="604F89BB">
      <w:pPr>
        <w:spacing w:line="480" w:lineRule="exact"/>
        <w:ind w:firstLine="360" w:firstLineChars="150"/>
        <w:rPr>
          <w:sz w:val="24"/>
        </w:rPr>
      </w:pPr>
      <w:r>
        <w:rPr>
          <w:rFonts w:hint="eastAsia"/>
          <w:sz w:val="24"/>
        </w:rPr>
        <w:t>③3次互动交流 (30%)</w:t>
      </w:r>
    </w:p>
    <w:p w14:paraId="4A6C1520">
      <w:pPr>
        <w:spacing w:line="480" w:lineRule="exact"/>
        <w:ind w:firstLine="360" w:firstLineChars="150"/>
        <w:rPr>
          <w:sz w:val="24"/>
        </w:rPr>
      </w:pPr>
      <w:r>
        <w:rPr>
          <w:rFonts w:hint="eastAsia"/>
          <w:sz w:val="24"/>
        </w:rPr>
        <w:t>• 提问质量：提问是否聚焦汇报内容？是否具有启发性、深度或建设性？</w:t>
      </w:r>
    </w:p>
    <w:p w14:paraId="5AA74373">
      <w:pPr>
        <w:spacing w:line="480" w:lineRule="exact"/>
        <w:ind w:firstLine="360" w:firstLineChars="150"/>
        <w:rPr>
          <w:sz w:val="24"/>
        </w:rPr>
      </w:pPr>
      <w:r>
        <w:rPr>
          <w:rFonts w:hint="eastAsia"/>
          <w:sz w:val="24"/>
        </w:rPr>
        <w:t>• 评论质量：提供的反馈是否具体、客观、有建设性？是否基于汇报内容本身？</w:t>
      </w:r>
    </w:p>
    <w:p w14:paraId="6863783B">
      <w:pPr>
        <w:spacing w:line="480" w:lineRule="exact"/>
        <w:ind w:firstLine="360" w:firstLineChars="150"/>
        <w:rPr>
          <w:sz w:val="24"/>
        </w:rPr>
      </w:pPr>
      <w:r>
        <w:rPr>
          <w:rFonts w:hint="eastAsia"/>
          <w:sz w:val="24"/>
        </w:rPr>
        <w:t>三、期末考核说明</w:t>
      </w:r>
    </w:p>
    <w:p w14:paraId="61C0E19E">
      <w:pPr>
        <w:spacing w:line="480" w:lineRule="exact"/>
        <w:ind w:firstLine="360" w:firstLineChars="150"/>
        <w:rPr>
          <w:sz w:val="24"/>
        </w:rPr>
      </w:pPr>
      <w:r>
        <w:rPr>
          <w:rFonts w:hint="eastAsia"/>
          <w:sz w:val="24"/>
        </w:rPr>
        <w:t>期末考核采用考查。学生在本课程授课范围内，自主选择1个实践问题，阅读不少于 10篇中外文献，按照给定的论文格式撰写一份报告。主要训练学生自主学习能力，增强研究学习兴趣，对学生进行初步的、规范的学术训练。第 19 周提交纸版报告。要求正文字数不超过 3000 字。报告内容包括问题陈述、原因分析及对策建议三部分。</w:t>
      </w:r>
    </w:p>
    <w:p w14:paraId="706976CD">
      <w:pPr>
        <w:spacing w:line="480" w:lineRule="exact"/>
        <w:rPr>
          <w:sz w:val="24"/>
        </w:rPr>
      </w:pPr>
    </w:p>
    <w:p w14:paraId="75B43298">
      <w:pPr>
        <w:spacing w:line="480" w:lineRule="exact"/>
        <w:rPr>
          <w:sz w:val="24"/>
        </w:rPr>
      </w:pPr>
    </w:p>
    <w:p w14:paraId="6ACAC62D">
      <w:pPr>
        <w:spacing w:line="480" w:lineRule="exact"/>
        <w:rPr>
          <w:sz w:val="24"/>
        </w:rPr>
      </w:pPr>
    </w:p>
    <w:p w14:paraId="62E79AE8">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694A1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7</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2026-04-12T06:25:55Z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E745029FF15844DABF017831D3F267BA_13</vt:lpwstr>
  </property>
</Properties>
</file>