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5C3BB">
      <w:pPr>
        <w:spacing w:line="480" w:lineRule="exact"/>
        <w:rPr>
          <w:sz w:val="24"/>
        </w:rPr>
      </w:pPr>
      <w:bookmarkStart w:id="0" w:name="_GoBack"/>
      <w:bookmarkEnd w:id="0"/>
    </w:p>
    <w:p w14:paraId="49FF3547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1B58C1F9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785675C5">
      <w:pPr>
        <w:spacing w:line="1480" w:lineRule="exact"/>
        <w:jc w:val="center"/>
        <w:rPr>
          <w:sz w:val="52"/>
        </w:rPr>
      </w:pPr>
    </w:p>
    <w:p w14:paraId="0EEE69FB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548E59D2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13C5B7A9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信息安全</w:t>
      </w:r>
    </w:p>
    <w:p w14:paraId="4F1DAD0D">
      <w:pPr>
        <w:spacing w:line="900" w:lineRule="exact"/>
        <w:ind w:firstLine="3600" w:firstLineChars="1200"/>
        <w:rPr>
          <w:sz w:val="30"/>
        </w:rPr>
      </w:pPr>
    </w:p>
    <w:p w14:paraId="18F13514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4817D33A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181F9BF6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A995EF0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36457EEF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54CFFB14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3E67228A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5C80740A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5233C42E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266B6EFD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（编写日期：2025年12月）</w:t>
      </w:r>
    </w:p>
    <w:p w14:paraId="3F929E86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75801229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7836C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1E8CC4DC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4C7AE91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信息安全</w:t>
            </w:r>
          </w:p>
          <w:p w14:paraId="74E07A2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Information Security</w:t>
            </w:r>
          </w:p>
          <w:p w14:paraId="4E527181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4F3F1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7645BFC1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609A054B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专选</w:t>
            </w:r>
          </w:p>
        </w:tc>
        <w:tc>
          <w:tcPr>
            <w:tcW w:w="1598" w:type="dxa"/>
            <w:vAlign w:val="center"/>
          </w:tcPr>
          <w:p w14:paraId="2AEC2A72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7B1C7C66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IM360</w:t>
            </w:r>
          </w:p>
        </w:tc>
        <w:tc>
          <w:tcPr>
            <w:tcW w:w="1400" w:type="dxa"/>
            <w:vAlign w:val="center"/>
          </w:tcPr>
          <w:p w14:paraId="6A2E624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4FEA873A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06BD3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102F5A1E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7ACDE3B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</w:t>
            </w:r>
          </w:p>
        </w:tc>
        <w:tc>
          <w:tcPr>
            <w:tcW w:w="1598" w:type="dxa"/>
            <w:vAlign w:val="center"/>
          </w:tcPr>
          <w:p w14:paraId="142ECAD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27566B1C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36</w:t>
            </w:r>
          </w:p>
        </w:tc>
        <w:tc>
          <w:tcPr>
            <w:tcW w:w="1400" w:type="dxa"/>
            <w:vAlign w:val="center"/>
          </w:tcPr>
          <w:p w14:paraId="687CC19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2662BA2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大三</w:t>
            </w:r>
          </w:p>
        </w:tc>
      </w:tr>
      <w:tr w14:paraId="04AAE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46D3BEC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4A73CA7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信息管理与信息系统Information Management and Information Systems,档案学Archival Science</w:t>
            </w:r>
          </w:p>
        </w:tc>
      </w:tr>
      <w:tr w14:paraId="085A2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4C153FB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116D18D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余维杰</w:t>
            </w:r>
          </w:p>
        </w:tc>
      </w:tr>
      <w:tr w14:paraId="0F3E9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306C3A0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5FBB395D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</w:p>
        </w:tc>
      </w:tr>
      <w:tr w14:paraId="52AF2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39226E5C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0B42EE95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4D330F17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4DF59F13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1BF7726B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6935ABF4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《信息安全》课程旨在培养学生对信息安全领域的基本理论和实践技能的掌握，使其具备信息安全的基本意识、方法和技术，能够识别、评估和应对信息系统中的安全威胁与风险，保障信息系统的安全性和可靠性。通过本课程的学习，学生应具备以下能力：</w:t>
            </w:r>
          </w:p>
          <w:p w14:paraId="7DF8636F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一、牢固掌握信息安全的基本概念、原则和方法；</w:t>
            </w:r>
          </w:p>
          <w:p w14:paraId="2B2ED5F8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二、掌握信息安全的基本技术和工具；</w:t>
            </w:r>
          </w:p>
          <w:p w14:paraId="7E687506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三、能够分析和评估信息系统的安全威胁与风险；</w:t>
            </w:r>
          </w:p>
          <w:p w14:paraId="7E7A7B5C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四、能够设计和实施信息安全策略与措施；</w:t>
            </w:r>
          </w:p>
          <w:p w14:paraId="4BC322C0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五、具备信息安全意识和职业道德。</w:t>
            </w:r>
          </w:p>
        </w:tc>
      </w:tr>
    </w:tbl>
    <w:p w14:paraId="663F3E41">
      <w:pPr>
        <w:spacing w:line="480" w:lineRule="exact"/>
        <w:ind w:firstLine="480" w:firstLineChars="200"/>
        <w:rPr>
          <w:sz w:val="24"/>
        </w:rPr>
      </w:pPr>
    </w:p>
    <w:p w14:paraId="7BCB8122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0CAB35D5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1505"/>
        <w:gridCol w:w="1173"/>
        <w:gridCol w:w="1298"/>
        <w:gridCol w:w="1299"/>
        <w:gridCol w:w="688"/>
        <w:gridCol w:w="1173"/>
      </w:tblGrid>
      <w:tr w14:paraId="21D2EB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1F30642A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4D9F3FB4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374D0EF1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6365DB2A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34178333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0EEC3C22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7B8153C5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71E806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C01E15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第1章：信息安全基础</w:t>
            </w:r>
          </w:p>
          <w:p w14:paraId="31F340F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1.1 信息安全概述</w:t>
            </w:r>
          </w:p>
        </w:tc>
        <w:tc>
          <w:tcPr>
            <w:tcW w:w="5096" w:type="dxa"/>
            <w:vAlign w:val="center"/>
          </w:tcPr>
          <w:p w14:paraId="582CFD3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（1）信息安全的定义和重要性</w:t>
            </w:r>
          </w:p>
          <w:p w14:paraId="0A7BECC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（2）信息安全的基本特征和威胁</w:t>
            </w:r>
          </w:p>
          <w:p w14:paraId="270E691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（3）信息安全的发展历程与现状</w:t>
            </w:r>
          </w:p>
        </w:tc>
        <w:tc>
          <w:tcPr>
            <w:tcW w:w="5096" w:type="dxa"/>
            <w:vAlign w:val="center"/>
          </w:tcPr>
          <w:p w14:paraId="0549894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BB01EB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强调信息安全对于国家、社会和个人的重要性，培养学生对信息安全责任的认识和担当。</w:t>
            </w:r>
          </w:p>
        </w:tc>
        <w:tc>
          <w:tcPr>
            <w:tcW w:w="5096" w:type="dxa"/>
            <w:vAlign w:val="center"/>
          </w:tcPr>
          <w:p w14:paraId="0A6E7E8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2DBECD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B79D5E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A397D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FBBE27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第1章：信息安全基础</w:t>
            </w:r>
          </w:p>
          <w:p w14:paraId="6E4DDAA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1.2 信息安全的基本原则与要求</w:t>
            </w:r>
          </w:p>
        </w:tc>
        <w:tc>
          <w:tcPr>
            <w:tcW w:w="5096" w:type="dxa"/>
            <w:vAlign w:val="center"/>
          </w:tcPr>
          <w:p w14:paraId="5DD462F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（1）信息安全的基本原则：保密性、完整性、可用性</w:t>
            </w:r>
          </w:p>
          <w:p w14:paraId="03FE6FC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（2）信息安全的法律法规和政策要求</w:t>
            </w:r>
          </w:p>
          <w:p w14:paraId="3BCC11D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（3）信息安全责任与意识</w:t>
            </w:r>
          </w:p>
        </w:tc>
        <w:tc>
          <w:tcPr>
            <w:tcW w:w="5096" w:type="dxa"/>
            <w:vAlign w:val="center"/>
          </w:tcPr>
          <w:p w14:paraId="72EB8A7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FC141E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引导学生思考信息安全与道德、法律、职业道德等的关系，培养学生正确的伦理观念和法律意识。</w:t>
            </w:r>
          </w:p>
        </w:tc>
        <w:tc>
          <w:tcPr>
            <w:tcW w:w="5096" w:type="dxa"/>
            <w:vAlign w:val="center"/>
          </w:tcPr>
          <w:p w14:paraId="4BE1197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2DD95F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18B7F9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2AD6F8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0E25B6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第2章：密码学基础</w:t>
            </w:r>
          </w:p>
          <w:p w14:paraId="13BDA24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2.1 对称密码学与非对称密码学</w:t>
            </w:r>
          </w:p>
        </w:tc>
        <w:tc>
          <w:tcPr>
            <w:tcW w:w="5096" w:type="dxa"/>
            <w:vAlign w:val="center"/>
          </w:tcPr>
          <w:p w14:paraId="59F25F3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（1）对称密码学基本概念与算法</w:t>
            </w:r>
          </w:p>
          <w:p w14:paraId="4595F07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（2）非对称密码学基本概念与算法</w:t>
            </w:r>
          </w:p>
          <w:p w14:paraId="0A6ADC0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（3）对称加密与非对称加密的比较与应用</w:t>
            </w:r>
          </w:p>
        </w:tc>
        <w:tc>
          <w:tcPr>
            <w:tcW w:w="5096" w:type="dxa"/>
            <w:vAlign w:val="center"/>
          </w:tcPr>
          <w:p w14:paraId="435C3B5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B77B67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介绍密码学在保护国家机密、保护个人隐私和信息安全方面的重要作用，培养学生对信息安全的责任感和保密意识。</w:t>
            </w:r>
          </w:p>
        </w:tc>
        <w:tc>
          <w:tcPr>
            <w:tcW w:w="5096" w:type="dxa"/>
            <w:vAlign w:val="center"/>
          </w:tcPr>
          <w:p w14:paraId="4CBD340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C36A2E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391D7A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584D0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8AF0C3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第2章：密码学基础</w:t>
            </w:r>
          </w:p>
          <w:p w14:paraId="1D0AC7D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2.2 常用密码算法与协议</w:t>
            </w:r>
          </w:p>
        </w:tc>
        <w:tc>
          <w:tcPr>
            <w:tcW w:w="5096" w:type="dxa"/>
            <w:vAlign w:val="center"/>
          </w:tcPr>
          <w:p w14:paraId="120114F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（1）常用对称密码算法：DES、AES</w:t>
            </w:r>
          </w:p>
          <w:p w14:paraId="3A21105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（2）常用非对称密码算法：RSA、DSA、ECC</w:t>
            </w:r>
          </w:p>
          <w:p w14:paraId="6A93B9C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（3）密钥交换与数字签名协议</w:t>
            </w:r>
          </w:p>
        </w:tc>
        <w:tc>
          <w:tcPr>
            <w:tcW w:w="5096" w:type="dxa"/>
            <w:vAlign w:val="center"/>
          </w:tcPr>
          <w:p w14:paraId="3A8B765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AC7D5C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讲解密码算法的合法使用，强调学生在信息安全领域应坚守职业道德，遵守相关规范和法律，不从事非法活动。</w:t>
            </w:r>
          </w:p>
        </w:tc>
        <w:tc>
          <w:tcPr>
            <w:tcW w:w="5096" w:type="dxa"/>
            <w:vAlign w:val="center"/>
          </w:tcPr>
          <w:p w14:paraId="3C0DFCC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3D259E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D8B965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65CCB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2272C6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第3章：网络安全</w:t>
            </w:r>
          </w:p>
          <w:p w14:paraId="5B99C09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3.1 网络安全基础</w:t>
            </w:r>
          </w:p>
          <w:p w14:paraId="4CEC097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C8947A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（1）网络安全概述与威胁类型</w:t>
            </w:r>
          </w:p>
          <w:p w14:paraId="3BF96B1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（2）OSI参考模型与网络安全层次</w:t>
            </w:r>
          </w:p>
          <w:p w14:paraId="02F752A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（3）网络攻击与防御基础</w:t>
            </w:r>
          </w:p>
        </w:tc>
        <w:tc>
          <w:tcPr>
            <w:tcW w:w="5096" w:type="dxa"/>
            <w:vAlign w:val="center"/>
          </w:tcPr>
          <w:p w14:paraId="577B854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CF137B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介绍网络安全对建设网络强国的重要性，培养学生对网络安全风险和威胁的认识，引导学生以正当合法的方式使用网络，维护网络安全。</w:t>
            </w:r>
          </w:p>
        </w:tc>
        <w:tc>
          <w:tcPr>
            <w:tcW w:w="5096" w:type="dxa"/>
            <w:vAlign w:val="center"/>
          </w:tcPr>
          <w:p w14:paraId="786AFDC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E5B37E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F4009A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3B8F92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AFF012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第3章：网络安全</w:t>
            </w:r>
          </w:p>
          <w:p w14:paraId="476CAC3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3.2 网络安全威胁与攻击类型</w:t>
            </w:r>
          </w:p>
        </w:tc>
        <w:tc>
          <w:tcPr>
            <w:tcW w:w="5096" w:type="dxa"/>
            <w:vAlign w:val="center"/>
          </w:tcPr>
          <w:p w14:paraId="0A1DA17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1）恶意软件：病毒、蠕虫、木马</w:t>
            </w:r>
          </w:p>
          <w:p w14:paraId="669BDF8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（2）网络攻击类型：DoS、DDoS、ARP欺骗等</w:t>
            </w:r>
          </w:p>
          <w:p w14:paraId="46C17A1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（3）社会工程与钓鱼攻击</w:t>
            </w:r>
          </w:p>
        </w:tc>
        <w:tc>
          <w:tcPr>
            <w:tcW w:w="5096" w:type="dxa"/>
            <w:vAlign w:val="center"/>
          </w:tcPr>
          <w:p w14:paraId="6A92E62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728D279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引导学生认识网络攻击行为对个人、社会和国家的危害，培养学生对网络攻击的警惕性和防范意识。</w:t>
            </w:r>
          </w:p>
        </w:tc>
        <w:tc>
          <w:tcPr>
            <w:tcW w:w="5096" w:type="dxa"/>
            <w:vAlign w:val="center"/>
          </w:tcPr>
          <w:p w14:paraId="7251132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4361C3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C573C2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D8C435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C2D83C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第3章：网络安全</w:t>
            </w:r>
          </w:p>
          <w:p w14:paraId="7D2B98D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3.3 防火墙与入侵检测系统</w:t>
            </w:r>
          </w:p>
        </w:tc>
        <w:tc>
          <w:tcPr>
            <w:tcW w:w="5096" w:type="dxa"/>
            <w:vAlign w:val="center"/>
          </w:tcPr>
          <w:p w14:paraId="5AD8045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（1）防火墙的原理与类型</w:t>
            </w:r>
          </w:p>
          <w:p w14:paraId="58963E5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（2）入侵检测与入侵防御系统</w:t>
            </w:r>
          </w:p>
          <w:p w14:paraId="40AE7F1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（3）安全策略与访问控制列表</w:t>
            </w:r>
          </w:p>
        </w:tc>
        <w:tc>
          <w:tcPr>
            <w:tcW w:w="5096" w:type="dxa"/>
            <w:vAlign w:val="center"/>
          </w:tcPr>
          <w:p w14:paraId="01ECC8D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CD0B8E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强调网络安全技术的合法使用和社会责任，培养学生遵守网络安全规则，不从事破坏网络安全的行为。</w:t>
            </w:r>
          </w:p>
        </w:tc>
        <w:tc>
          <w:tcPr>
            <w:tcW w:w="5096" w:type="dxa"/>
            <w:vAlign w:val="center"/>
          </w:tcPr>
          <w:p w14:paraId="57B6BCF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773740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E271D4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259FF7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5F42EB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第3章：网络安全</w:t>
            </w:r>
          </w:p>
          <w:p w14:paraId="11C7FF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3.4 网络安全防护措施</w:t>
            </w:r>
          </w:p>
        </w:tc>
        <w:tc>
          <w:tcPr>
            <w:tcW w:w="5096" w:type="dxa"/>
            <w:vAlign w:val="center"/>
          </w:tcPr>
          <w:p w14:paraId="061B4B2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（1）安全认证与身份验证</w:t>
            </w:r>
          </w:p>
          <w:p w14:paraId="575D330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（2）VPN与加密通信</w:t>
            </w:r>
          </w:p>
          <w:p w14:paraId="704E125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（3）网络安全监测与事件响应</w:t>
            </w:r>
          </w:p>
        </w:tc>
        <w:tc>
          <w:tcPr>
            <w:tcW w:w="5096" w:type="dxa"/>
            <w:vAlign w:val="center"/>
          </w:tcPr>
          <w:p w14:paraId="42F2623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28D05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引导学生思考网络安全与国家安全的关系，培养学生维护国家网络安全的责任感和使命感。</w:t>
            </w:r>
          </w:p>
        </w:tc>
        <w:tc>
          <w:tcPr>
            <w:tcW w:w="5096" w:type="dxa"/>
            <w:vAlign w:val="center"/>
          </w:tcPr>
          <w:p w14:paraId="1C669DA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3ADC667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77A5E7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2980CD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45A321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第4章：数据库安全</w:t>
            </w:r>
          </w:p>
          <w:p w14:paraId="475CE3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4.1 数据库安全与权限管理</w:t>
            </w:r>
          </w:p>
        </w:tc>
        <w:tc>
          <w:tcPr>
            <w:tcW w:w="5096" w:type="dxa"/>
            <w:vAlign w:val="center"/>
          </w:tcPr>
          <w:p w14:paraId="66B6895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（1）数据库安全基础概念与原则</w:t>
            </w:r>
          </w:p>
          <w:p w14:paraId="2CCBB31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（2）数据库用户认证与授权管理</w:t>
            </w:r>
          </w:p>
          <w:p w14:paraId="45CD44A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（3）数据库访问控制与权限管理</w:t>
            </w:r>
          </w:p>
        </w:tc>
        <w:tc>
          <w:tcPr>
            <w:tcW w:w="5096" w:type="dxa"/>
            <w:vAlign w:val="center"/>
          </w:tcPr>
          <w:p w14:paraId="2D8E807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99B069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培养学生遵循法律法规、保护用户隐私的意识，引导学生关注数据安全和个人信息保护的重要性。</w:t>
            </w:r>
          </w:p>
        </w:tc>
        <w:tc>
          <w:tcPr>
            <w:tcW w:w="5096" w:type="dxa"/>
            <w:vAlign w:val="center"/>
          </w:tcPr>
          <w:p w14:paraId="53EF21A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3EE3698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60DABB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6D8BBA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F92923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第4章：数据库安全</w:t>
            </w:r>
          </w:p>
          <w:p w14:paraId="3B6CD69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4.2 数据库加密与脱敏技术</w:t>
            </w:r>
          </w:p>
        </w:tc>
        <w:tc>
          <w:tcPr>
            <w:tcW w:w="5096" w:type="dxa"/>
            <w:vAlign w:val="center"/>
          </w:tcPr>
          <w:p w14:paraId="3172C9E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（1）数据库加密的原理与方法</w:t>
            </w:r>
          </w:p>
          <w:p w14:paraId="1221462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（2）数据库脱敏技术与隐私保护</w:t>
            </w:r>
          </w:p>
          <w:p w14:paraId="703B2B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（3）数据库加密与脱敏的实际应用场景</w:t>
            </w:r>
          </w:p>
        </w:tc>
        <w:tc>
          <w:tcPr>
            <w:tcW w:w="5096" w:type="dxa"/>
            <w:vAlign w:val="center"/>
          </w:tcPr>
          <w:p w14:paraId="7338A4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95D5FD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引导学生思考数据隐私保护与数据共享之间的平衡，培养学生处理数据安全与数据使用的道德与伦理意识。</w:t>
            </w:r>
          </w:p>
        </w:tc>
        <w:tc>
          <w:tcPr>
            <w:tcW w:w="5096" w:type="dxa"/>
            <w:vAlign w:val="center"/>
          </w:tcPr>
          <w:p w14:paraId="2843D53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C22E43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5867A0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7DB135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7F5DED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第4章：数据库安全</w:t>
            </w:r>
          </w:p>
          <w:p w14:paraId="7C6D296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4.3 数据库备份与恢复策略</w:t>
            </w:r>
          </w:p>
        </w:tc>
        <w:tc>
          <w:tcPr>
            <w:tcW w:w="5096" w:type="dxa"/>
            <w:vAlign w:val="center"/>
          </w:tcPr>
          <w:p w14:paraId="2A1207C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（1）数据库备份与还原的基本原理</w:t>
            </w:r>
          </w:p>
          <w:p w14:paraId="3A61280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（2）数据库备份与恢复策略设计</w:t>
            </w:r>
          </w:p>
          <w:p w14:paraId="56C9830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（3）数据库灾难恢复与容灾技术</w:t>
            </w:r>
          </w:p>
        </w:tc>
        <w:tc>
          <w:tcPr>
            <w:tcW w:w="5096" w:type="dxa"/>
            <w:vAlign w:val="center"/>
          </w:tcPr>
          <w:p w14:paraId="3DC2929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1E761E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引导学生了解灾难恢复与业务连续性计划的重要性，培养学生保护数据资产和维护业务运行的责任感。</w:t>
            </w:r>
          </w:p>
        </w:tc>
        <w:tc>
          <w:tcPr>
            <w:tcW w:w="5096" w:type="dxa"/>
            <w:vAlign w:val="center"/>
          </w:tcPr>
          <w:p w14:paraId="5CE328A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C04CC7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3C4D53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A7EE83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B633B9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第4章：数据库安全</w:t>
            </w:r>
          </w:p>
          <w:p w14:paraId="0052E91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4.4 数据库安全管理与监控</w:t>
            </w:r>
          </w:p>
        </w:tc>
        <w:tc>
          <w:tcPr>
            <w:tcW w:w="5096" w:type="dxa"/>
            <w:vAlign w:val="center"/>
          </w:tcPr>
          <w:p w14:paraId="112EA86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（1）数据库安全管理策略</w:t>
            </w:r>
          </w:p>
          <w:p w14:paraId="20C3DF2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（2）数据库安全监控与漏洞管理</w:t>
            </w:r>
          </w:p>
          <w:p w14:paraId="380C014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（3）数据库审计与合规性</w:t>
            </w:r>
          </w:p>
        </w:tc>
        <w:tc>
          <w:tcPr>
            <w:tcW w:w="5096" w:type="dxa"/>
            <w:vAlign w:val="center"/>
          </w:tcPr>
          <w:p w14:paraId="3575DA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68B5561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培养学生加强安全管理和监控的意识，引导学生遵循信息安全法律法规，推动信息系统安全管理的规范和实施。</w:t>
            </w:r>
          </w:p>
        </w:tc>
        <w:tc>
          <w:tcPr>
            <w:tcW w:w="5096" w:type="dxa"/>
            <w:vAlign w:val="center"/>
          </w:tcPr>
          <w:p w14:paraId="4C54C7F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397229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9489AD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795A06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F35CC8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第5章：应用系统安全</w:t>
            </w:r>
          </w:p>
          <w:p w14:paraId="73DA340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5.1 Web应用安全与漏洞分析</w:t>
            </w:r>
          </w:p>
        </w:tc>
        <w:tc>
          <w:tcPr>
            <w:tcW w:w="5096" w:type="dxa"/>
            <w:vAlign w:val="center"/>
          </w:tcPr>
          <w:p w14:paraId="548658C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（1）常见Web应用漏洞与攻击技术</w:t>
            </w:r>
          </w:p>
          <w:p w14:paraId="0B2746D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（2）Web应用漏洞扫描与漏洞修复</w:t>
            </w:r>
          </w:p>
          <w:p w14:paraId="58FBB5A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（3）Web应用安全测试与渗透测试方法</w:t>
            </w:r>
          </w:p>
        </w:tc>
        <w:tc>
          <w:tcPr>
            <w:tcW w:w="5096" w:type="dxa"/>
            <w:vAlign w:val="center"/>
          </w:tcPr>
          <w:p w14:paraId="39DB238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9F89D8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引导学生关注网络空间安全，培养学生积极参与网络安全事务、维护网络环境安全的责任感。</w:t>
            </w:r>
          </w:p>
        </w:tc>
        <w:tc>
          <w:tcPr>
            <w:tcW w:w="5096" w:type="dxa"/>
            <w:vAlign w:val="center"/>
          </w:tcPr>
          <w:p w14:paraId="3E5D461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9C66D0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6C563C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B1AFF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4F1D06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第5章：应用系统安全</w:t>
            </w:r>
          </w:p>
          <w:p w14:paraId="25835A9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5.2 移动应用安全与逆向工程</w:t>
            </w:r>
          </w:p>
        </w:tc>
        <w:tc>
          <w:tcPr>
            <w:tcW w:w="5096" w:type="dxa"/>
            <w:vAlign w:val="center"/>
          </w:tcPr>
          <w:p w14:paraId="1F3B727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（1）移动应用安全漏洞与风险</w:t>
            </w:r>
          </w:p>
          <w:p w14:paraId="236F9CA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（2）移动应用逆向工程与代码分析</w:t>
            </w:r>
          </w:p>
          <w:p w14:paraId="76ADDDB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（3）移动应用安全防护与加固措施</w:t>
            </w:r>
          </w:p>
        </w:tc>
        <w:tc>
          <w:tcPr>
            <w:tcW w:w="5096" w:type="dxa"/>
            <w:vAlign w:val="center"/>
          </w:tcPr>
          <w:p w14:paraId="7063CE2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264B37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强调移动应用开发中的合法性和道德性，培养学生对移动应用安全的关注与保护意识。</w:t>
            </w:r>
          </w:p>
        </w:tc>
        <w:tc>
          <w:tcPr>
            <w:tcW w:w="5096" w:type="dxa"/>
            <w:vAlign w:val="center"/>
          </w:tcPr>
          <w:p w14:paraId="1266E82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9C75CD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45DE47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5FD5A7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DFCA81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第5章：应用系统安全</w:t>
            </w:r>
          </w:p>
          <w:p w14:paraId="5A89302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5.3 智能设备安全与物联网安全</w:t>
            </w:r>
          </w:p>
        </w:tc>
        <w:tc>
          <w:tcPr>
            <w:tcW w:w="5096" w:type="dxa"/>
            <w:vAlign w:val="center"/>
          </w:tcPr>
          <w:p w14:paraId="4F4F5B2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（1）智能设备安全概述</w:t>
            </w:r>
          </w:p>
          <w:p w14:paraId="1DBE1AF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（2）物联网安全威胁与攻击</w:t>
            </w:r>
          </w:p>
          <w:p w14:paraId="2159FCA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（3）智能设备与物联网安全策略</w:t>
            </w:r>
          </w:p>
        </w:tc>
        <w:tc>
          <w:tcPr>
            <w:tcW w:w="5096" w:type="dxa"/>
            <w:vAlign w:val="center"/>
          </w:tcPr>
          <w:p w14:paraId="09C0303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07C85C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培养学生关注智能设备和物联网的安全风险，引导学生推动智能设备和物联网的安全设计和管理。</w:t>
            </w:r>
          </w:p>
        </w:tc>
        <w:tc>
          <w:tcPr>
            <w:tcW w:w="5096" w:type="dxa"/>
            <w:vAlign w:val="center"/>
          </w:tcPr>
          <w:p w14:paraId="773DA1C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04B064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108DD9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833788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90EF55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第6章：社会工程与安全意识</w:t>
            </w:r>
          </w:p>
          <w:p w14:paraId="36B8DAB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6.1 社会工程基础与攻击手段</w:t>
            </w:r>
          </w:p>
        </w:tc>
        <w:tc>
          <w:tcPr>
            <w:tcW w:w="5096" w:type="dxa"/>
            <w:vAlign w:val="center"/>
          </w:tcPr>
          <w:p w14:paraId="146B38B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（1）社会工程攻击的概念与原理</w:t>
            </w:r>
          </w:p>
          <w:p w14:paraId="714A3F3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（2）常见的社会工程攻击手段与案例</w:t>
            </w:r>
          </w:p>
          <w:p w14:paraId="4D73CE7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（3）社会工程攻击防范与应对策略</w:t>
            </w:r>
          </w:p>
        </w:tc>
        <w:tc>
          <w:tcPr>
            <w:tcW w:w="5096" w:type="dxa"/>
            <w:vAlign w:val="center"/>
          </w:tcPr>
          <w:p w14:paraId="24C14BE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7618D3E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引导学生关注社会工程攻击对个人和社会的危害，培养学生对社会工程攻击的防范意识。</w:t>
            </w:r>
          </w:p>
        </w:tc>
        <w:tc>
          <w:tcPr>
            <w:tcW w:w="5096" w:type="dxa"/>
            <w:vAlign w:val="center"/>
          </w:tcPr>
          <w:p w14:paraId="4F76611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12671D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379682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21D665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A3A94E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第6章：社会工程与安全意识</w:t>
            </w:r>
          </w:p>
          <w:p w14:paraId="5EC634E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6.2 安全意识教育与培训</w:t>
            </w:r>
          </w:p>
        </w:tc>
        <w:tc>
          <w:tcPr>
            <w:tcW w:w="5096" w:type="dxa"/>
            <w:vAlign w:val="center"/>
          </w:tcPr>
          <w:p w14:paraId="43BA90D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（1）安全意识的重要性与培养方法</w:t>
            </w:r>
          </w:p>
          <w:p w14:paraId="4620B6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（2）安全意识教育与培训计划设计</w:t>
            </w:r>
          </w:p>
          <w:p w14:paraId="23FD39B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（3）员工安全意识的评估与提升</w:t>
            </w:r>
          </w:p>
        </w:tc>
        <w:tc>
          <w:tcPr>
            <w:tcW w:w="5096" w:type="dxa"/>
            <w:vAlign w:val="center"/>
          </w:tcPr>
          <w:p w14:paraId="6231E6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3A39F2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培养学生形成正确的安全意识，引导学生关注信息安全教育与培训的重要性。</w:t>
            </w:r>
          </w:p>
        </w:tc>
        <w:tc>
          <w:tcPr>
            <w:tcW w:w="5096" w:type="dxa"/>
            <w:vAlign w:val="center"/>
          </w:tcPr>
          <w:p w14:paraId="2956574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0240BE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F12BBA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099AF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2E89F8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第6章：社会工程与安全意识</w:t>
            </w:r>
          </w:p>
          <w:p w14:paraId="4C898BC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6.3 社会工程防范与应对措施</w:t>
            </w:r>
          </w:p>
          <w:p w14:paraId="33208CA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2CBDFF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（1）社会工程攻击的特点与防范方法</w:t>
            </w:r>
          </w:p>
          <w:p w14:paraId="4FF9812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（2）社会工程的预警与应急响应</w:t>
            </w:r>
          </w:p>
          <w:p w14:paraId="5295E0A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（3）社会工程防范的技术与策略</w:t>
            </w:r>
          </w:p>
        </w:tc>
        <w:tc>
          <w:tcPr>
            <w:tcW w:w="5096" w:type="dxa"/>
            <w:vAlign w:val="center"/>
          </w:tcPr>
          <w:p w14:paraId="15EE31B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123984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培养学生风险意识和防范意识，引导学生关注社会工程攻击的风险管理和防御策略。</w:t>
            </w:r>
          </w:p>
        </w:tc>
        <w:tc>
          <w:tcPr>
            <w:tcW w:w="5096" w:type="dxa"/>
            <w:vAlign w:val="center"/>
          </w:tcPr>
          <w:p w14:paraId="796E01E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40EF35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D39D71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12705802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合计:36</w:t>
      </w:r>
    </w:p>
    <w:p w14:paraId="3B7B2FC6">
      <w:pPr>
        <w:spacing w:line="480" w:lineRule="exact"/>
        <w:rPr>
          <w:sz w:val="24"/>
        </w:rPr>
      </w:pPr>
    </w:p>
    <w:p w14:paraId="3060498F">
      <w:pPr>
        <w:spacing w:line="480" w:lineRule="exact"/>
        <w:rPr>
          <w:rFonts w:hint="eastAsia"/>
          <w:sz w:val="24"/>
        </w:rPr>
      </w:pPr>
    </w:p>
    <w:p w14:paraId="06C03FB7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4F0B28A3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7657F0C7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1）实验：设计并组织信息安全实验，让学生亲自实践和应用所学知识。实验包括密码算法的实现与分析、网络安全漏洞的挖掘与修复、数据库安全策略的实施等。鼓励学生思考和解决实际问题，提高他们的创新能力和实践能力。</w:t>
      </w:r>
    </w:p>
    <w:p w14:paraId="5BC424FE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（2）习题课：组织习题课，针对课程中的重点知识点和难点问题进行深入讲解和讨论。提供一系列挑战性的习题和案例，激发学生思考和分析能力，培养问题解决的能力。</w:t>
      </w:r>
    </w:p>
    <w:p w14:paraId="69EF23E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（3）作业：布置课后作业，要求学生独立思考、分析和解决问题。作业包括编程任务、安全漏洞分析、安全策略设计等，鼓励学生动手实践和深入思考。</w:t>
      </w:r>
    </w:p>
    <w:p w14:paraId="5919E16A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教学环节的安排体现高阶性、创新性和挑战度的方法包括：</w:t>
      </w:r>
    </w:p>
    <w:p w14:paraId="517905F7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（1）设计复杂的实验和实践任务，要求学生进行深入思考和综合应用知识解决问题。</w:t>
      </w:r>
    </w:p>
    <w:p w14:paraId="6965D8D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（2）提供开放性的问题和案例，鼓励学生进行独立思考、探索和创新。</w:t>
      </w:r>
    </w:p>
    <w:p w14:paraId="4F4CACB0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（3）引导学生参与信息安全竞赛、挑战赛和研究项目，提供更高水平的学术和实践挑战。</w:t>
      </w:r>
    </w:p>
    <w:p w14:paraId="6B53E7BC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（4）鼓励学生进行团队合作和跨学科交流，促进不同思维和观点的碰撞和创新。</w:t>
      </w:r>
    </w:p>
    <w:p w14:paraId="6AA67C37">
      <w:pPr>
        <w:spacing w:line="480" w:lineRule="exact"/>
        <w:rPr>
          <w:sz w:val="24"/>
        </w:rPr>
      </w:pPr>
    </w:p>
    <w:p w14:paraId="6B7F1943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4B42FF64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50EFF160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（1）授课讲解：通过教师的讲解，系统地介绍和解释信息安全的基本概念、原理和技术。讲解应注重理论联系实际，引导学生理解和应用知识。</w:t>
      </w:r>
    </w:p>
    <w:p w14:paraId="6A9DDC08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（2）讨论与案例分析：组织学生进行小组讨论或案例分析，让学生分享自己的见解和经验，激发学生的思考和探索能力。通过讨论和分析实际情况下的信息安全问题，培养学生的问题解决能力和创新思维。</w:t>
      </w:r>
    </w:p>
    <w:p w14:paraId="0E7315C3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（3）小组项目：组织学生进行小组项目，让学生在团队合作中应用信息安全知识解决实际问题。通过小组项目，学生可以锻炼合作能力、沟通能力和创新能力，并深入理解信息安全的实际应用。</w:t>
      </w:r>
    </w:p>
    <w:p w14:paraId="10F6AA61">
      <w:pPr>
        <w:spacing w:line="480" w:lineRule="exact"/>
        <w:ind w:firstLine="360" w:firstLineChars="150"/>
        <w:rPr>
          <w:sz w:val="24"/>
        </w:rPr>
      </w:pPr>
    </w:p>
    <w:p w14:paraId="4174DF56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3833588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徐茂智，邹维. 信息安全概论（第2版）. 人民邮电出版社，2020.</w:t>
      </w:r>
    </w:p>
    <w:p w14:paraId="074027B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朱节中，姚永雷. 信息安全概论. 科学出版社，2016.</w:t>
      </w:r>
    </w:p>
    <w:p w14:paraId="335908F1">
      <w:pPr>
        <w:spacing w:line="480" w:lineRule="exact"/>
        <w:ind w:firstLine="360" w:firstLineChars="150"/>
        <w:rPr>
          <w:sz w:val="24"/>
        </w:rPr>
      </w:pPr>
    </w:p>
    <w:p w14:paraId="657B93FC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5966886E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62985A7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Mark Stamp. Information Security: Principles and Practice. 3rd edition, Wiley, 2018.</w:t>
      </w:r>
    </w:p>
    <w:p w14:paraId="3776CB3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杨义先，钮心忻. 安全简史——从隐私保护到量子密码. 电子工业出版社，2017.</w:t>
      </w:r>
    </w:p>
    <w:p w14:paraId="6190B40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郝玉洁，吴立军，赵洋，刘瑶. 信息安全概论. 清华大学出版社，2013.</w:t>
      </w:r>
    </w:p>
    <w:p w14:paraId="787A00A2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02850005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65233193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式：考试</w:t>
      </w:r>
    </w:p>
    <w:p w14:paraId="5C3B1EE2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6F2A922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一、总成绩构成：平时考核占比40%，期末考核占比60%。</w:t>
      </w:r>
    </w:p>
    <w:p w14:paraId="0D9C11E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二、期末考核说明：</w:t>
      </w:r>
    </w:p>
    <w:p w14:paraId="0BF6CE8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期末考核采用闭卷笔试，卷面为百分制。考试内容涵盖全部章节，每章节分数基本平均。题型包括选择题、填空题、问答题、综合题。</w:t>
      </w:r>
    </w:p>
    <w:p w14:paraId="71DD6C1E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三、平时考核说明：</w:t>
      </w:r>
    </w:p>
    <w:p w14:paraId="636D753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课堂参与度与出勤情况（占平时成绩20%）。每学期考勤次数不少于5次，每次考勤4分，无故旷课、迟到、早退等情况扣除当次考勤分数。请假须按照学校规定执行，须提前请假，不得由他人代请假；确因特殊情况未提前请假的，须事后1周内补齐请假手续，否则按旷课处理。</w:t>
      </w:r>
    </w:p>
    <w:p w14:paraId="46AB16E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五次课后作业（占平时成绩50%）。根据教学进度安排5次课后作业，每次作业10分。主要考察学生对讲授内容的理解和运用能力，由任课教师批阅并给分。未交、缓交作业的，当次不给分。因请假造成缓交作业的，须于销假时补交作业，否则按未交作业处理。</w:t>
      </w:r>
    </w:p>
    <w:p w14:paraId="2DDEC1D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（3）三次课堂小测（占平时成绩30%）。根据教学进度安排不少于3次随堂小测，每次小测10分。题型为选择题、填空题等，根据学生答题情况赋分。</w:t>
      </w:r>
    </w:p>
    <w:p w14:paraId="7248714B">
      <w:pPr>
        <w:spacing w:line="480" w:lineRule="exact"/>
        <w:rPr>
          <w:sz w:val="24"/>
        </w:rPr>
      </w:pPr>
    </w:p>
    <w:p w14:paraId="3EAF55E4">
      <w:pPr>
        <w:spacing w:line="480" w:lineRule="exact"/>
        <w:rPr>
          <w:sz w:val="24"/>
        </w:rPr>
      </w:pPr>
    </w:p>
    <w:p w14:paraId="4B47FE6A">
      <w:pPr>
        <w:spacing w:line="480" w:lineRule="exact"/>
        <w:rPr>
          <w:sz w:val="24"/>
        </w:rPr>
      </w:pPr>
    </w:p>
    <w:p w14:paraId="02405CFC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5C64CFF"/>
    <w:rsid w:val="2BCB42DC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9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2026-04-12T06:25:08Z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6F2BB61905CC4B06B5AB08A2313A77A9_13</vt:lpwstr>
  </property>
</Properties>
</file>