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37F65">
      <w:pPr>
        <w:spacing w:line="480" w:lineRule="exact"/>
        <w:rPr>
          <w:sz w:val="24"/>
        </w:rPr>
      </w:pPr>
      <w:bookmarkStart w:id="0" w:name="_GoBack"/>
      <w:bookmarkEnd w:id="0"/>
    </w:p>
    <w:p w14:paraId="68A6AF7D">
      <w:pPr>
        <w:spacing w:line="1480" w:lineRule="exact"/>
        <w:jc w:val="center"/>
        <w:rPr>
          <w:rFonts w:eastAsia="楷体_GB2312"/>
          <w:b/>
          <w:bCs/>
          <w:spacing w:val="40"/>
          <w:sz w:val="72"/>
        </w:rPr>
      </w:pPr>
      <w:r>
        <w:rPr>
          <w:rFonts w:eastAsia="楷体_GB2312"/>
          <w:b/>
          <w:bCs/>
          <w:spacing w:val="40"/>
          <w:sz w:val="72"/>
        </w:rPr>
        <w:t>中山大学</w:t>
      </w:r>
    </w:p>
    <w:p w14:paraId="7D4BAC1D">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2F115C23">
      <w:pPr>
        <w:spacing w:line="1480" w:lineRule="exact"/>
        <w:jc w:val="center"/>
        <w:rPr>
          <w:sz w:val="52"/>
        </w:rPr>
      </w:pPr>
    </w:p>
    <w:p w14:paraId="7DF86875">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256F1E12">
      <w:pPr>
        <w:spacing w:line="480" w:lineRule="exact"/>
        <w:ind w:firstLine="2127" w:firstLineChars="709"/>
        <w:rPr>
          <w:rFonts w:eastAsia="黑体"/>
          <w:sz w:val="30"/>
          <w:u w:val="single"/>
        </w:rPr>
      </w:pPr>
    </w:p>
    <w:p w14:paraId="35BCAA97">
      <w:pPr>
        <w:spacing w:line="480" w:lineRule="exact"/>
        <w:ind w:firstLine="2127" w:firstLineChars="709"/>
        <w:rPr>
          <w:sz w:val="30"/>
          <w:u w:val="single"/>
        </w:rPr>
      </w:pPr>
      <w:r>
        <w:rPr>
          <w:rFonts w:eastAsia="黑体"/>
          <w:sz w:val="30"/>
        </w:rPr>
        <w:t>课程名称</w:t>
      </w:r>
      <w:r>
        <w:rPr>
          <w:rFonts w:eastAsia="黑体"/>
          <w:sz w:val="30"/>
          <w:u w:val="single"/>
        </w:rPr>
        <w:t xml:space="preserve"> 管理运筹学</w:t>
      </w:r>
    </w:p>
    <w:p w14:paraId="75F5B820">
      <w:pPr>
        <w:spacing w:line="900" w:lineRule="exact"/>
        <w:ind w:firstLine="3600" w:firstLineChars="1200"/>
        <w:rPr>
          <w:sz w:val="30"/>
        </w:rPr>
      </w:pPr>
    </w:p>
    <w:p w14:paraId="1F8C679C">
      <w:pPr>
        <w:spacing w:line="900" w:lineRule="exact"/>
        <w:jc w:val="center"/>
        <w:rPr>
          <w:rFonts w:eastAsia="仿宋_GB2312"/>
          <w:b/>
          <w:bCs/>
          <w:kern w:val="28"/>
          <w:sz w:val="32"/>
          <w:szCs w:val="32"/>
        </w:rPr>
      </w:pPr>
    </w:p>
    <w:p w14:paraId="275CBF4D">
      <w:pPr>
        <w:spacing w:line="900" w:lineRule="exact"/>
        <w:jc w:val="center"/>
        <w:rPr>
          <w:rFonts w:eastAsia="仿宋_GB2312"/>
          <w:b/>
          <w:bCs/>
          <w:kern w:val="28"/>
          <w:sz w:val="32"/>
          <w:szCs w:val="32"/>
        </w:rPr>
      </w:pPr>
    </w:p>
    <w:p w14:paraId="6C9D87CD">
      <w:pPr>
        <w:spacing w:line="900" w:lineRule="exact"/>
        <w:jc w:val="center"/>
        <w:rPr>
          <w:rFonts w:eastAsia="仿宋_GB2312"/>
          <w:b/>
          <w:bCs/>
          <w:kern w:val="28"/>
          <w:sz w:val="32"/>
          <w:szCs w:val="32"/>
        </w:rPr>
      </w:pPr>
    </w:p>
    <w:p w14:paraId="3A6CC39C">
      <w:pPr>
        <w:spacing w:line="900" w:lineRule="exact"/>
        <w:jc w:val="center"/>
        <w:rPr>
          <w:rFonts w:eastAsia="仿宋_GB2312"/>
          <w:b/>
          <w:bCs/>
          <w:kern w:val="28"/>
          <w:sz w:val="32"/>
          <w:szCs w:val="32"/>
        </w:rPr>
      </w:pPr>
    </w:p>
    <w:p w14:paraId="09379B93">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5BD37145">
      <w:pPr>
        <w:spacing w:line="900" w:lineRule="exact"/>
        <w:jc w:val="center"/>
        <w:rPr>
          <w:rFonts w:ascii="仿宋_GB2312" w:hAnsi="仿宋_GB2312" w:eastAsia="仿宋_GB2312" w:cs="仿宋_GB2312"/>
          <w:b/>
          <w:bCs/>
          <w:kern w:val="28"/>
          <w:sz w:val="32"/>
          <w:szCs w:val="32"/>
        </w:rPr>
      </w:pPr>
    </w:p>
    <w:p w14:paraId="0A995F66">
      <w:pPr>
        <w:spacing w:line="900" w:lineRule="exact"/>
        <w:jc w:val="center"/>
        <w:rPr>
          <w:rFonts w:hint="eastAsia" w:ascii="仿宋_GB2312" w:hAnsi="仿宋_GB2312" w:eastAsia="仿宋_GB2312" w:cs="仿宋_GB2312"/>
          <w:b/>
          <w:bCs/>
          <w:kern w:val="28"/>
          <w:sz w:val="32"/>
          <w:szCs w:val="32"/>
        </w:rPr>
      </w:pPr>
    </w:p>
    <w:p w14:paraId="164620DD">
      <w:pPr>
        <w:spacing w:line="900" w:lineRule="exact"/>
        <w:jc w:val="center"/>
        <w:rPr>
          <w:rFonts w:hint="eastAsia" w:eastAsia="仿宋_GB2312"/>
          <w:b/>
          <w:bCs/>
          <w:kern w:val="28"/>
          <w:sz w:val="32"/>
          <w:szCs w:val="32"/>
        </w:rPr>
      </w:pPr>
    </w:p>
    <w:p w14:paraId="6B99FCC0">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00048911">
      <w:pPr>
        <w:pStyle w:val="2"/>
        <w:spacing w:line="480" w:lineRule="exact"/>
        <w:ind w:firstLine="0" w:firstLineChars="0"/>
        <w:jc w:val="center"/>
        <w:rPr>
          <w:rFonts w:eastAsia="宋体"/>
          <w:sz w:val="24"/>
        </w:rPr>
      </w:pPr>
      <w:r>
        <w:rPr>
          <w:rFonts w:eastAsia="宋体"/>
          <w:sz w:val="24"/>
        </w:rPr>
        <w:t>（编写日期：2025年12月）</w:t>
      </w:r>
    </w:p>
    <w:p w14:paraId="07AC6A91">
      <w:pPr>
        <w:pStyle w:val="2"/>
        <w:spacing w:line="480" w:lineRule="exact"/>
        <w:ind w:firstLine="0" w:firstLineChars="0"/>
        <w:jc w:val="center"/>
        <w:rPr>
          <w:rFonts w:eastAsia="宋体"/>
          <w:sz w:val="24"/>
        </w:rPr>
      </w:pPr>
    </w:p>
    <w:p w14:paraId="30958406">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35CA1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6F7119FC">
            <w:pPr>
              <w:pStyle w:val="2"/>
              <w:spacing w:line="480" w:lineRule="exact"/>
              <w:ind w:firstLine="0" w:firstLineChars="0"/>
              <w:jc w:val="center"/>
              <w:rPr>
                <w:rFonts w:eastAsia="宋体"/>
                <w:sz w:val="24"/>
              </w:rPr>
            </w:pPr>
          </w:p>
          <w:p w14:paraId="231ED02E">
            <w:pPr>
              <w:pStyle w:val="2"/>
              <w:adjustRightInd w:val="0"/>
              <w:snapToGrid w:val="0"/>
              <w:ind w:firstLine="0" w:firstLineChars="0"/>
              <w:jc w:val="center"/>
              <w:rPr>
                <w:rFonts w:eastAsia="宋体"/>
                <w:sz w:val="24"/>
                <w:lang w:val="en-US" w:eastAsia="zh-CN"/>
              </w:rPr>
            </w:pPr>
            <w:r>
              <w:rPr>
                <w:rFonts w:eastAsia="宋体"/>
                <w:sz w:val="24"/>
                <w:lang w:val="en-US" w:eastAsia="zh-CN"/>
              </w:rPr>
              <w:t>管理运筹学</w:t>
            </w:r>
          </w:p>
          <w:p w14:paraId="034CDA45">
            <w:pPr>
              <w:pStyle w:val="2"/>
              <w:adjustRightInd w:val="0"/>
              <w:snapToGrid w:val="0"/>
              <w:ind w:firstLine="0" w:firstLineChars="0"/>
              <w:jc w:val="center"/>
              <w:rPr>
                <w:rFonts w:eastAsia="宋体"/>
                <w:sz w:val="24"/>
                <w:lang w:val="en-US" w:eastAsia="zh-CN"/>
              </w:rPr>
            </w:pPr>
            <w:r>
              <w:rPr>
                <w:rFonts w:eastAsia="宋体"/>
                <w:sz w:val="24"/>
                <w:lang w:val="en-US" w:eastAsia="zh-CN"/>
              </w:rPr>
              <w:t>Operations Research</w:t>
            </w:r>
          </w:p>
          <w:p w14:paraId="7C8C02CB">
            <w:pPr>
              <w:pStyle w:val="2"/>
              <w:spacing w:line="480" w:lineRule="exact"/>
              <w:ind w:firstLine="0" w:firstLineChars="0"/>
              <w:jc w:val="center"/>
              <w:rPr>
                <w:rFonts w:eastAsia="宋体"/>
                <w:sz w:val="24"/>
              </w:rPr>
            </w:pPr>
          </w:p>
        </w:tc>
      </w:tr>
      <w:tr w14:paraId="3AF11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3434AFE3">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39D3CD47">
            <w:pPr>
              <w:jc w:val="center"/>
              <w:rPr>
                <w:sz w:val="24"/>
              </w:rPr>
            </w:pPr>
            <w:r>
              <w:rPr>
                <w:rFonts w:hint="eastAsia" w:eastAsia="宋体"/>
                <w:sz w:val="24"/>
                <w:lang w:val="en-US" w:eastAsia="zh-CN"/>
              </w:rPr>
              <w:t>专必</w:t>
            </w:r>
          </w:p>
        </w:tc>
        <w:tc>
          <w:tcPr>
            <w:tcW w:w="1598" w:type="dxa"/>
            <w:vAlign w:val="center"/>
          </w:tcPr>
          <w:p w14:paraId="7760B8EF">
            <w:pPr>
              <w:rPr>
                <w:sz w:val="24"/>
              </w:rPr>
            </w:pPr>
            <w:r>
              <w:rPr>
                <w:sz w:val="24"/>
              </w:rPr>
              <w:t>课程编码</w:t>
            </w:r>
          </w:p>
        </w:tc>
        <w:tc>
          <w:tcPr>
            <w:tcW w:w="1435" w:type="dxa"/>
            <w:vAlign w:val="center"/>
          </w:tcPr>
          <w:p w14:paraId="71F8AA1B">
            <w:pPr>
              <w:jc w:val="center"/>
              <w:rPr>
                <w:sz w:val="24"/>
              </w:rPr>
            </w:pPr>
            <w:r>
              <w:rPr>
                <w:sz w:val="24"/>
              </w:rPr>
              <w:t>IM399</w:t>
            </w:r>
          </w:p>
        </w:tc>
        <w:tc>
          <w:tcPr>
            <w:tcW w:w="1400" w:type="dxa"/>
            <w:vAlign w:val="center"/>
          </w:tcPr>
          <w:p w14:paraId="3614EEAA">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3FEB4811">
            <w:pPr>
              <w:jc w:val="center"/>
              <w:rPr>
                <w:sz w:val="24"/>
              </w:rPr>
            </w:pPr>
            <w:r>
              <w:rPr>
                <w:rFonts w:eastAsia="宋体"/>
                <w:sz w:val="24"/>
                <w:lang w:val="en-US" w:eastAsia="zh-CN"/>
              </w:rPr>
              <w:t>信息管理学院</w:t>
            </w:r>
          </w:p>
        </w:tc>
      </w:tr>
      <w:tr w14:paraId="21A2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5155032">
            <w:pPr>
              <w:jc w:val="center"/>
              <w:rPr>
                <w:sz w:val="24"/>
              </w:rPr>
            </w:pPr>
            <w:r>
              <w:rPr>
                <w:sz w:val="24"/>
              </w:rPr>
              <w:t>学分</w:t>
            </w:r>
          </w:p>
        </w:tc>
        <w:tc>
          <w:tcPr>
            <w:tcW w:w="1379" w:type="dxa"/>
            <w:vAlign w:val="center"/>
          </w:tcPr>
          <w:p w14:paraId="716C2C7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0880F508">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5A77224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22D9F343">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4FFA8295">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6941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3BCCF229">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67E06E3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13FC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3664224">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6883AED7">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朱侯</w:t>
            </w:r>
          </w:p>
        </w:tc>
      </w:tr>
      <w:tr w14:paraId="5F3D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FDA1094">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01502A4D">
            <w:pPr>
              <w:pStyle w:val="2"/>
              <w:adjustRightInd w:val="0"/>
              <w:snapToGrid w:val="0"/>
              <w:ind w:firstLine="0" w:firstLineChars="0"/>
              <w:jc w:val="left"/>
              <w:rPr>
                <w:rFonts w:hint="eastAsia" w:eastAsia="宋体"/>
                <w:sz w:val="24"/>
                <w:lang w:val="en-US" w:eastAsia="zh-CN"/>
              </w:rPr>
            </w:pPr>
          </w:p>
        </w:tc>
      </w:tr>
      <w:tr w14:paraId="7D53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748DAAC9">
            <w:pPr>
              <w:pStyle w:val="2"/>
              <w:spacing w:line="480" w:lineRule="exact"/>
              <w:ind w:firstLine="0" w:firstLineChars="0"/>
              <w:jc w:val="center"/>
              <w:rPr>
                <w:rFonts w:eastAsia="宋体"/>
                <w:sz w:val="24"/>
                <w:lang w:val="en-US" w:eastAsia="zh-CN"/>
              </w:rPr>
            </w:pPr>
          </w:p>
          <w:p w14:paraId="33807C01">
            <w:pPr>
              <w:pStyle w:val="2"/>
              <w:spacing w:line="480" w:lineRule="exact"/>
              <w:ind w:firstLine="0" w:firstLineChars="0"/>
              <w:jc w:val="center"/>
              <w:rPr>
                <w:rFonts w:eastAsia="宋体"/>
                <w:sz w:val="24"/>
                <w:lang w:val="en-US" w:eastAsia="zh-CN"/>
              </w:rPr>
            </w:pPr>
          </w:p>
          <w:p w14:paraId="0DD4B422">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359C7FBD">
            <w:pPr>
              <w:pStyle w:val="2"/>
              <w:spacing w:line="480" w:lineRule="exact"/>
              <w:ind w:firstLine="0" w:firstLineChars="0"/>
              <w:jc w:val="center"/>
              <w:rPr>
                <w:rFonts w:eastAsia="宋体"/>
                <w:sz w:val="24"/>
                <w:lang w:val="en-US" w:eastAsia="zh-CN"/>
              </w:rPr>
            </w:pPr>
          </w:p>
          <w:p w14:paraId="0049597F">
            <w:pPr>
              <w:pStyle w:val="2"/>
              <w:spacing w:line="480" w:lineRule="exact"/>
              <w:ind w:firstLine="0" w:firstLineChars="0"/>
              <w:jc w:val="center"/>
              <w:rPr>
                <w:rFonts w:eastAsia="宋体"/>
                <w:sz w:val="24"/>
                <w:lang w:val="en-US" w:eastAsia="zh-CN"/>
              </w:rPr>
            </w:pPr>
          </w:p>
        </w:tc>
        <w:tc>
          <w:tcPr>
            <w:tcW w:w="7157" w:type="dxa"/>
            <w:gridSpan w:val="5"/>
            <w:vAlign w:val="center"/>
          </w:tcPr>
          <w:p w14:paraId="2D8CA2D3">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着重介绍运筹学的主要方法、模型在企业管理、工程实践中的应用，突出应用研究特色；同时通过分享运筹优化的思想在重大工程项目等中应用案例，彰显我党我国在重大决策及相关治理中的科学性。课程重点在于构建模型及求解分析，前者是把实际管理问题提炼为一个合适且可以用定量分析方法研究的运筹学模型；而后者则是对计算机求解的结果进行参数变化分析，以做出切合实际的管理策略建议。要求牢固掌握线性规划及单纯性法、整数规划、对偶规划及网络分析方法；一般掌握目标规划、动态规划；一般了解风险决策、排队论和对策论的基本知识。</w:t>
            </w:r>
          </w:p>
        </w:tc>
      </w:tr>
    </w:tbl>
    <w:p w14:paraId="58D6DC86">
      <w:pPr>
        <w:spacing w:line="480" w:lineRule="exact"/>
        <w:ind w:firstLine="480" w:firstLineChars="200"/>
        <w:rPr>
          <w:sz w:val="24"/>
        </w:rPr>
      </w:pPr>
    </w:p>
    <w:p w14:paraId="5D7BCB56">
      <w:pPr>
        <w:spacing w:line="480" w:lineRule="exact"/>
        <w:ind w:firstLine="480" w:firstLineChars="200"/>
        <w:rPr>
          <w:sz w:val="24"/>
        </w:rPr>
      </w:pPr>
      <w:r>
        <w:rPr>
          <w:sz w:val="24"/>
        </w:rPr>
        <w:t>二、课程基本内容（要求有一定的字数，不能过于简单）</w:t>
      </w:r>
    </w:p>
    <w:p w14:paraId="6ACDF232">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62"/>
        <w:gridCol w:w="1470"/>
        <w:gridCol w:w="1134"/>
        <w:gridCol w:w="1261"/>
        <w:gridCol w:w="1262"/>
        <w:gridCol w:w="911"/>
        <w:gridCol w:w="1135"/>
      </w:tblGrid>
      <w:tr w14:paraId="03D206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64AA3F82">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0F84FB1A">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1ED345EC">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256F8A88">
            <w:pPr>
              <w:jc w:val="center"/>
              <w:rPr>
                <w:rFonts w:hint="eastAsia"/>
                <w:b/>
                <w:bCs/>
                <w:sz w:val="24"/>
                <w:szCs w:val="20"/>
              </w:rPr>
            </w:pPr>
            <w:r>
              <w:rPr>
                <w:rFonts w:hint="eastAsia" w:ascii="24x12 宋体"/>
                <w:b/>
                <w:bCs/>
                <w:sz w:val="24"/>
                <w:szCs w:val="20"/>
              </w:rPr>
              <w:t>育人元素</w:t>
            </w:r>
          </w:p>
        </w:tc>
        <w:tc>
          <w:tcPr>
            <w:tcW w:w="1920" w:type="dxa"/>
            <w:vAlign w:val="center"/>
          </w:tcPr>
          <w:p w14:paraId="3833A292">
            <w:pPr>
              <w:jc w:val="center"/>
              <w:rPr>
                <w:rFonts w:hint="eastAsia"/>
                <w:b/>
                <w:bCs/>
                <w:sz w:val="24"/>
                <w:szCs w:val="20"/>
              </w:rPr>
            </w:pPr>
            <w:r>
              <w:rPr>
                <w:rFonts w:hint="eastAsia" w:ascii="24x12 宋体"/>
                <w:b/>
                <w:bCs/>
                <w:sz w:val="24"/>
                <w:szCs w:val="20"/>
              </w:rPr>
              <w:t>重点、难点(选填)</w:t>
            </w:r>
          </w:p>
        </w:tc>
        <w:tc>
          <w:tcPr>
            <w:tcW w:w="1419" w:type="dxa"/>
            <w:vAlign w:val="center"/>
          </w:tcPr>
          <w:p w14:paraId="20C75829">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6C9330C3">
            <w:pPr>
              <w:jc w:val="center"/>
              <w:rPr>
                <w:rFonts w:hint="eastAsia"/>
                <w:b/>
                <w:bCs/>
                <w:sz w:val="24"/>
                <w:szCs w:val="20"/>
              </w:rPr>
            </w:pPr>
            <w:r>
              <w:rPr>
                <w:rFonts w:hint="eastAsia" w:ascii="24x12 宋体"/>
                <w:b/>
                <w:bCs/>
                <w:sz w:val="24"/>
                <w:szCs w:val="20"/>
              </w:rPr>
              <w:t>备注(选填)</w:t>
            </w:r>
          </w:p>
        </w:tc>
      </w:tr>
      <w:tr w14:paraId="70E7DC5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BB42B90">
            <w:pPr>
              <w:rPr>
                <w:rFonts w:ascii="宋体" w:hAnsi="宋体" w:eastAsia="宋体"/>
                <w:sz w:val="24"/>
                <w:szCs w:val="24"/>
              </w:rPr>
            </w:pPr>
            <w:r>
              <w:rPr>
                <w:rFonts w:hint="eastAsia" w:ascii="宋体" w:hAnsi="宋体" w:eastAsia="宋体"/>
                <w:sz w:val="24"/>
                <w:szCs w:val="24"/>
              </w:rPr>
              <w:t>绪论</w:t>
            </w:r>
          </w:p>
        </w:tc>
        <w:tc>
          <w:tcPr>
            <w:tcW w:w="5096" w:type="dxa"/>
            <w:vAlign w:val="center"/>
          </w:tcPr>
          <w:p w14:paraId="50CB0E15">
            <w:pPr>
              <w:rPr>
                <w:rFonts w:ascii="宋体" w:hAnsi="宋体" w:eastAsia="宋体"/>
                <w:sz w:val="24"/>
                <w:szCs w:val="24"/>
              </w:rPr>
            </w:pPr>
            <w:r>
              <w:rPr>
                <w:rFonts w:hint="eastAsia" w:ascii="宋体" w:hAnsi="宋体" w:eastAsia="宋体"/>
                <w:sz w:val="24"/>
                <w:szCs w:val="24"/>
              </w:rPr>
              <w:t>课程介绍</w:t>
            </w:r>
          </w:p>
          <w:p w14:paraId="55529F74">
            <w:pPr>
              <w:rPr>
                <w:rFonts w:ascii="宋体" w:hAnsi="宋体" w:eastAsia="宋体"/>
                <w:sz w:val="24"/>
                <w:szCs w:val="24"/>
              </w:rPr>
            </w:pPr>
            <w:r>
              <w:rPr>
                <w:rFonts w:hint="eastAsia" w:ascii="宋体" w:hAnsi="宋体" w:eastAsia="宋体"/>
                <w:sz w:val="24"/>
                <w:szCs w:val="24"/>
              </w:rPr>
              <w:t>上机实践：matlab基础</w:t>
            </w:r>
          </w:p>
        </w:tc>
        <w:tc>
          <w:tcPr>
            <w:tcW w:w="5096" w:type="dxa"/>
            <w:vAlign w:val="center"/>
          </w:tcPr>
          <w:p w14:paraId="54C237C5">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7FF76CA4">
            <w:pPr>
              <w:rPr>
                <w:rFonts w:ascii="宋体" w:hAnsi="宋体" w:eastAsia="宋体"/>
                <w:sz w:val="24"/>
                <w:szCs w:val="24"/>
              </w:rPr>
            </w:pPr>
            <w:r>
              <w:rPr>
                <w:rFonts w:hint="eastAsia" w:ascii="宋体" w:hAnsi="宋体" w:eastAsia="宋体"/>
                <w:sz w:val="24"/>
                <w:szCs w:val="24"/>
              </w:rPr>
              <w:t>讲述运筹优化思想在解放战争、经济建设中的应用，彰显我党重要决策的科学性和英明领导。</w:t>
            </w:r>
          </w:p>
        </w:tc>
        <w:tc>
          <w:tcPr>
            <w:tcW w:w="5096" w:type="dxa"/>
            <w:vAlign w:val="center"/>
          </w:tcPr>
          <w:p w14:paraId="5AAAB7D5">
            <w:pPr>
              <w:rPr>
                <w:rFonts w:ascii="宋体" w:hAnsi="宋体" w:eastAsia="宋体"/>
                <w:sz w:val="24"/>
                <w:szCs w:val="24"/>
              </w:rPr>
            </w:pPr>
          </w:p>
        </w:tc>
        <w:tc>
          <w:tcPr>
            <w:tcW w:w="1555" w:type="dxa"/>
            <w:vAlign w:val="center"/>
          </w:tcPr>
          <w:p w14:paraId="45D3B05E">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2FCE34BD">
            <w:pPr>
              <w:rPr>
                <w:rFonts w:ascii="宋体" w:hAnsi="宋体" w:eastAsia="宋体"/>
                <w:sz w:val="24"/>
                <w:szCs w:val="24"/>
              </w:rPr>
            </w:pPr>
          </w:p>
        </w:tc>
      </w:tr>
      <w:tr w14:paraId="55B987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548373D">
            <w:pPr>
              <w:rPr>
                <w:rFonts w:ascii="宋体" w:hAnsi="宋体" w:eastAsia="宋体"/>
                <w:sz w:val="24"/>
                <w:szCs w:val="24"/>
              </w:rPr>
            </w:pPr>
            <w:r>
              <w:rPr>
                <w:rFonts w:hint="eastAsia" w:ascii="宋体" w:hAnsi="宋体" w:eastAsia="宋体"/>
                <w:sz w:val="24"/>
                <w:szCs w:val="24"/>
              </w:rPr>
              <w:t>第一章 线性规划</w:t>
            </w:r>
          </w:p>
        </w:tc>
        <w:tc>
          <w:tcPr>
            <w:tcW w:w="5096" w:type="dxa"/>
            <w:vAlign w:val="center"/>
          </w:tcPr>
          <w:p w14:paraId="10061C53">
            <w:pPr>
              <w:rPr>
                <w:rFonts w:ascii="宋体" w:hAnsi="宋体" w:eastAsia="宋体"/>
                <w:sz w:val="24"/>
                <w:szCs w:val="24"/>
              </w:rPr>
            </w:pPr>
            <w:r>
              <w:rPr>
                <w:rFonts w:hint="eastAsia" w:ascii="宋体" w:hAnsi="宋体" w:eastAsia="宋体"/>
                <w:sz w:val="24"/>
                <w:szCs w:val="24"/>
              </w:rPr>
              <w:t>线性规划的数学模型；</w:t>
            </w:r>
          </w:p>
          <w:p w14:paraId="71B45AD3">
            <w:pPr>
              <w:rPr>
                <w:rFonts w:ascii="宋体" w:hAnsi="宋体" w:eastAsia="宋体"/>
                <w:sz w:val="24"/>
                <w:szCs w:val="24"/>
              </w:rPr>
            </w:pPr>
            <w:r>
              <w:rPr>
                <w:rFonts w:hint="eastAsia" w:ascii="宋体" w:hAnsi="宋体" w:eastAsia="宋体"/>
                <w:sz w:val="24"/>
                <w:szCs w:val="24"/>
              </w:rPr>
              <w:t>单纯型法</w:t>
            </w:r>
          </w:p>
          <w:p w14:paraId="2744C9BD">
            <w:pPr>
              <w:rPr>
                <w:rFonts w:ascii="宋体" w:hAnsi="宋体" w:eastAsia="宋体"/>
                <w:sz w:val="24"/>
                <w:szCs w:val="24"/>
              </w:rPr>
            </w:pPr>
            <w:r>
              <w:rPr>
                <w:rFonts w:hint="eastAsia" w:ascii="宋体" w:hAnsi="宋体" w:eastAsia="宋体"/>
                <w:sz w:val="24"/>
                <w:szCs w:val="24"/>
              </w:rPr>
              <w:t>线性规划建模技巧；</w:t>
            </w:r>
          </w:p>
          <w:p w14:paraId="1999B646">
            <w:pPr>
              <w:rPr>
                <w:rFonts w:ascii="宋体" w:hAnsi="宋体" w:eastAsia="宋体"/>
                <w:sz w:val="24"/>
                <w:szCs w:val="24"/>
              </w:rPr>
            </w:pPr>
            <w:r>
              <w:rPr>
                <w:rFonts w:hint="eastAsia" w:ascii="宋体" w:hAnsi="宋体" w:eastAsia="宋体"/>
                <w:sz w:val="24"/>
                <w:szCs w:val="24"/>
              </w:rPr>
              <w:t>上机实践</w:t>
            </w:r>
          </w:p>
        </w:tc>
        <w:tc>
          <w:tcPr>
            <w:tcW w:w="5096" w:type="dxa"/>
            <w:vAlign w:val="center"/>
          </w:tcPr>
          <w:p w14:paraId="2459C273">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69493ED9">
            <w:pPr>
              <w:rPr>
                <w:rFonts w:ascii="宋体" w:hAnsi="宋体" w:eastAsia="宋体"/>
                <w:sz w:val="24"/>
                <w:szCs w:val="24"/>
              </w:rPr>
            </w:pPr>
            <w:r>
              <w:rPr>
                <w:rFonts w:hint="eastAsia" w:ascii="宋体" w:hAnsi="宋体" w:eastAsia="宋体"/>
                <w:sz w:val="24"/>
                <w:szCs w:val="24"/>
              </w:rPr>
              <w:t>阐述中华人民共和国国民经济和社会发展五年规划纲要的必要和科学性</w:t>
            </w:r>
          </w:p>
        </w:tc>
        <w:tc>
          <w:tcPr>
            <w:tcW w:w="5096" w:type="dxa"/>
            <w:vAlign w:val="center"/>
          </w:tcPr>
          <w:p w14:paraId="2688BA41">
            <w:pPr>
              <w:rPr>
                <w:rFonts w:ascii="宋体" w:hAnsi="宋体" w:eastAsia="宋体"/>
                <w:sz w:val="24"/>
                <w:szCs w:val="24"/>
              </w:rPr>
            </w:pPr>
            <w:r>
              <w:rPr>
                <w:rFonts w:hint="eastAsia" w:ascii="宋体" w:hAnsi="宋体" w:eastAsia="宋体"/>
                <w:sz w:val="24"/>
                <w:szCs w:val="24"/>
              </w:rPr>
              <w:t>重点：单纯型法原理及求解过程</w:t>
            </w:r>
          </w:p>
        </w:tc>
        <w:tc>
          <w:tcPr>
            <w:tcW w:w="1555" w:type="dxa"/>
            <w:vAlign w:val="center"/>
          </w:tcPr>
          <w:p w14:paraId="2CACEF25">
            <w:pPr>
              <w:jc w:val="center"/>
              <w:rPr>
                <w:rFonts w:ascii="宋体" w:hAnsi="宋体" w:eastAsia="宋体"/>
                <w:sz w:val="24"/>
                <w:szCs w:val="24"/>
              </w:rPr>
            </w:pPr>
            <w:r>
              <w:rPr>
                <w:rFonts w:hint="eastAsia" w:ascii="宋体" w:hAnsi="宋体" w:eastAsia="宋体"/>
                <w:sz w:val="24"/>
                <w:szCs w:val="24"/>
              </w:rPr>
              <w:t>第3,4 周</w:t>
            </w:r>
          </w:p>
        </w:tc>
        <w:tc>
          <w:tcPr>
            <w:tcW w:w="5096" w:type="dxa"/>
            <w:vAlign w:val="center"/>
          </w:tcPr>
          <w:p w14:paraId="37644E18">
            <w:pPr>
              <w:rPr>
                <w:rFonts w:ascii="宋体" w:hAnsi="宋体" w:eastAsia="宋体"/>
                <w:sz w:val="24"/>
                <w:szCs w:val="24"/>
              </w:rPr>
            </w:pPr>
          </w:p>
        </w:tc>
      </w:tr>
      <w:tr w14:paraId="3E617B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BC4F49E">
            <w:pPr>
              <w:rPr>
                <w:rFonts w:ascii="宋体" w:hAnsi="宋体" w:eastAsia="宋体"/>
                <w:sz w:val="24"/>
                <w:szCs w:val="24"/>
              </w:rPr>
            </w:pPr>
            <w:r>
              <w:rPr>
                <w:rFonts w:hint="eastAsia" w:ascii="宋体" w:hAnsi="宋体" w:eastAsia="宋体"/>
                <w:sz w:val="24"/>
                <w:szCs w:val="24"/>
              </w:rPr>
              <w:t>第二章  对偶规划</w:t>
            </w:r>
          </w:p>
        </w:tc>
        <w:tc>
          <w:tcPr>
            <w:tcW w:w="5096" w:type="dxa"/>
            <w:vAlign w:val="center"/>
          </w:tcPr>
          <w:p w14:paraId="565516F5">
            <w:pPr>
              <w:rPr>
                <w:rFonts w:ascii="宋体" w:hAnsi="宋体" w:eastAsia="宋体"/>
                <w:sz w:val="24"/>
                <w:szCs w:val="24"/>
              </w:rPr>
            </w:pPr>
            <w:r>
              <w:rPr>
                <w:rFonts w:hint="eastAsia" w:ascii="宋体" w:hAnsi="宋体" w:eastAsia="宋体"/>
                <w:sz w:val="24"/>
                <w:szCs w:val="24"/>
              </w:rPr>
              <w:t>主要内容：对偶规划模型及其经济学解释</w:t>
            </w:r>
          </w:p>
        </w:tc>
        <w:tc>
          <w:tcPr>
            <w:tcW w:w="5096" w:type="dxa"/>
            <w:vAlign w:val="center"/>
          </w:tcPr>
          <w:p w14:paraId="4064B8DF">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2C9BF7A">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795683D7">
            <w:pPr>
              <w:rPr>
                <w:rFonts w:ascii="宋体" w:hAnsi="宋体" w:eastAsia="宋体"/>
                <w:sz w:val="24"/>
                <w:szCs w:val="24"/>
              </w:rPr>
            </w:pPr>
          </w:p>
        </w:tc>
        <w:tc>
          <w:tcPr>
            <w:tcW w:w="1555" w:type="dxa"/>
            <w:vAlign w:val="center"/>
          </w:tcPr>
          <w:p w14:paraId="09F4A175">
            <w:pPr>
              <w:jc w:val="center"/>
              <w:rPr>
                <w:rFonts w:ascii="宋体" w:hAnsi="宋体" w:eastAsia="宋体"/>
                <w:sz w:val="24"/>
                <w:szCs w:val="24"/>
              </w:rPr>
            </w:pPr>
            <w:r>
              <w:rPr>
                <w:rFonts w:hint="eastAsia" w:ascii="宋体" w:hAnsi="宋体" w:eastAsia="宋体"/>
                <w:sz w:val="24"/>
                <w:szCs w:val="24"/>
              </w:rPr>
              <w:t>第5,6 周</w:t>
            </w:r>
          </w:p>
        </w:tc>
        <w:tc>
          <w:tcPr>
            <w:tcW w:w="5096" w:type="dxa"/>
            <w:vAlign w:val="center"/>
          </w:tcPr>
          <w:p w14:paraId="170C7767">
            <w:pPr>
              <w:rPr>
                <w:rFonts w:ascii="宋体" w:hAnsi="宋体" w:eastAsia="宋体"/>
                <w:sz w:val="24"/>
                <w:szCs w:val="24"/>
              </w:rPr>
            </w:pPr>
          </w:p>
        </w:tc>
      </w:tr>
      <w:tr w14:paraId="611825A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9D62E61">
            <w:pPr>
              <w:rPr>
                <w:rFonts w:ascii="宋体" w:hAnsi="宋体" w:eastAsia="宋体"/>
                <w:sz w:val="24"/>
                <w:szCs w:val="24"/>
              </w:rPr>
            </w:pPr>
            <w:r>
              <w:rPr>
                <w:rFonts w:hint="eastAsia" w:ascii="宋体" w:hAnsi="宋体" w:eastAsia="宋体"/>
                <w:sz w:val="24"/>
                <w:szCs w:val="24"/>
              </w:rPr>
              <w:t>第三章 整数规划</w:t>
            </w:r>
          </w:p>
          <w:p w14:paraId="02E8CDAA">
            <w:pPr>
              <w:rPr>
                <w:rFonts w:ascii="宋体" w:hAnsi="宋体" w:eastAsia="宋体"/>
                <w:sz w:val="24"/>
                <w:szCs w:val="24"/>
              </w:rPr>
            </w:pPr>
          </w:p>
        </w:tc>
        <w:tc>
          <w:tcPr>
            <w:tcW w:w="5096" w:type="dxa"/>
            <w:vAlign w:val="center"/>
          </w:tcPr>
          <w:p w14:paraId="1B32C61B">
            <w:pPr>
              <w:rPr>
                <w:rFonts w:ascii="宋体" w:hAnsi="宋体" w:eastAsia="宋体"/>
                <w:sz w:val="24"/>
                <w:szCs w:val="24"/>
              </w:rPr>
            </w:pPr>
            <w:r>
              <w:rPr>
                <w:rFonts w:hint="eastAsia" w:ascii="宋体" w:hAnsi="宋体" w:eastAsia="宋体"/>
                <w:sz w:val="24"/>
                <w:szCs w:val="24"/>
              </w:rPr>
              <w:t>整数规划模型及其求解方法；</w:t>
            </w:r>
          </w:p>
          <w:p w14:paraId="32DDECF2">
            <w:pPr>
              <w:rPr>
                <w:rFonts w:ascii="宋体" w:hAnsi="宋体" w:eastAsia="宋体"/>
                <w:sz w:val="24"/>
                <w:szCs w:val="24"/>
              </w:rPr>
            </w:pPr>
            <w:r>
              <w:rPr>
                <w:rFonts w:hint="eastAsia" w:ascii="宋体" w:hAnsi="宋体" w:eastAsia="宋体"/>
                <w:sz w:val="24"/>
                <w:szCs w:val="24"/>
              </w:rPr>
              <w:t>运输问题；</w:t>
            </w:r>
          </w:p>
          <w:p w14:paraId="255B160C">
            <w:pPr>
              <w:rPr>
                <w:rFonts w:ascii="宋体" w:hAnsi="宋体" w:eastAsia="宋体"/>
                <w:sz w:val="24"/>
                <w:szCs w:val="24"/>
              </w:rPr>
            </w:pPr>
            <w:r>
              <w:rPr>
                <w:rFonts w:hint="eastAsia" w:ascii="宋体" w:hAnsi="宋体" w:eastAsia="宋体"/>
                <w:sz w:val="24"/>
                <w:szCs w:val="24"/>
              </w:rPr>
              <w:t>指派问题等；</w:t>
            </w:r>
          </w:p>
          <w:p w14:paraId="031B2DFF">
            <w:pPr>
              <w:rPr>
                <w:rFonts w:ascii="宋体" w:hAnsi="宋体" w:eastAsia="宋体"/>
                <w:sz w:val="24"/>
                <w:szCs w:val="24"/>
              </w:rPr>
            </w:pPr>
            <w:r>
              <w:rPr>
                <w:rFonts w:hint="eastAsia" w:ascii="宋体" w:hAnsi="宋体" w:eastAsia="宋体"/>
                <w:sz w:val="24"/>
                <w:szCs w:val="24"/>
              </w:rPr>
              <w:t>上机实践</w:t>
            </w:r>
          </w:p>
        </w:tc>
        <w:tc>
          <w:tcPr>
            <w:tcW w:w="5096" w:type="dxa"/>
            <w:vAlign w:val="center"/>
          </w:tcPr>
          <w:p w14:paraId="14B45F41">
            <w:pPr>
              <w:rPr>
                <w:rFonts w:ascii="宋体" w:hAnsi="宋体" w:eastAsia="宋体"/>
                <w:sz w:val="24"/>
                <w:szCs w:val="24"/>
              </w:rPr>
            </w:pPr>
            <w:r>
              <w:rPr>
                <w:rFonts w:hint="eastAsia" w:ascii="宋体" w:hAnsi="宋体" w:eastAsia="宋体"/>
                <w:sz w:val="24"/>
                <w:szCs w:val="24"/>
              </w:rPr>
              <w:t>5</w:t>
            </w:r>
          </w:p>
        </w:tc>
        <w:tc>
          <w:tcPr>
            <w:tcW w:w="5096" w:type="dxa"/>
            <w:vAlign w:val="center"/>
          </w:tcPr>
          <w:p w14:paraId="68ABA15B">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055C6215">
            <w:pPr>
              <w:rPr>
                <w:rFonts w:ascii="宋体" w:hAnsi="宋体" w:eastAsia="宋体"/>
                <w:sz w:val="24"/>
                <w:szCs w:val="24"/>
              </w:rPr>
            </w:pPr>
            <w:r>
              <w:rPr>
                <w:rFonts w:hint="eastAsia" w:ascii="宋体" w:hAnsi="宋体" w:eastAsia="宋体"/>
                <w:sz w:val="24"/>
                <w:szCs w:val="24"/>
              </w:rPr>
              <w:t>重点：分支定界</w:t>
            </w:r>
          </w:p>
        </w:tc>
        <w:tc>
          <w:tcPr>
            <w:tcW w:w="1555" w:type="dxa"/>
            <w:vAlign w:val="center"/>
          </w:tcPr>
          <w:p w14:paraId="31F4BCB6">
            <w:pPr>
              <w:jc w:val="center"/>
              <w:rPr>
                <w:rFonts w:ascii="宋体" w:hAnsi="宋体" w:eastAsia="宋体"/>
                <w:sz w:val="24"/>
                <w:szCs w:val="24"/>
              </w:rPr>
            </w:pPr>
            <w:r>
              <w:rPr>
                <w:rFonts w:hint="eastAsia" w:ascii="宋体" w:hAnsi="宋体" w:eastAsia="宋体"/>
                <w:sz w:val="24"/>
                <w:szCs w:val="24"/>
              </w:rPr>
              <w:t>第6,7 周</w:t>
            </w:r>
          </w:p>
        </w:tc>
        <w:tc>
          <w:tcPr>
            <w:tcW w:w="5096" w:type="dxa"/>
            <w:vAlign w:val="center"/>
          </w:tcPr>
          <w:p w14:paraId="1378ECBE">
            <w:pPr>
              <w:rPr>
                <w:rFonts w:ascii="宋体" w:hAnsi="宋体" w:eastAsia="宋体"/>
                <w:sz w:val="24"/>
                <w:szCs w:val="24"/>
              </w:rPr>
            </w:pPr>
          </w:p>
        </w:tc>
      </w:tr>
      <w:tr w14:paraId="6ED47C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4357A73">
            <w:pPr>
              <w:rPr>
                <w:rFonts w:ascii="宋体" w:hAnsi="宋体" w:eastAsia="宋体"/>
                <w:sz w:val="24"/>
                <w:szCs w:val="24"/>
              </w:rPr>
            </w:pPr>
            <w:r>
              <w:rPr>
                <w:rFonts w:hint="eastAsia" w:ascii="宋体" w:hAnsi="宋体" w:eastAsia="宋体"/>
                <w:sz w:val="24"/>
                <w:szCs w:val="24"/>
              </w:rPr>
              <w:t>第四章 目标规划</w:t>
            </w:r>
          </w:p>
        </w:tc>
        <w:tc>
          <w:tcPr>
            <w:tcW w:w="5096" w:type="dxa"/>
            <w:vAlign w:val="center"/>
          </w:tcPr>
          <w:p w14:paraId="7E130AB3">
            <w:pPr>
              <w:rPr>
                <w:rFonts w:ascii="宋体" w:hAnsi="宋体" w:eastAsia="宋体"/>
                <w:sz w:val="24"/>
                <w:szCs w:val="24"/>
              </w:rPr>
            </w:pPr>
            <w:r>
              <w:rPr>
                <w:rFonts w:hint="eastAsia" w:ascii="宋体" w:hAnsi="宋体" w:eastAsia="宋体"/>
                <w:sz w:val="24"/>
                <w:szCs w:val="24"/>
              </w:rPr>
              <w:t>多目标规划建模；</w:t>
            </w:r>
          </w:p>
          <w:p w14:paraId="717F4D96">
            <w:pPr>
              <w:rPr>
                <w:rFonts w:ascii="宋体" w:hAnsi="宋体" w:eastAsia="宋体"/>
                <w:sz w:val="24"/>
                <w:szCs w:val="24"/>
              </w:rPr>
            </w:pPr>
            <w:r>
              <w:rPr>
                <w:rFonts w:hint="eastAsia" w:ascii="宋体" w:hAnsi="宋体" w:eastAsia="宋体"/>
                <w:sz w:val="24"/>
                <w:szCs w:val="24"/>
              </w:rPr>
              <w:t>上机实践</w:t>
            </w:r>
          </w:p>
        </w:tc>
        <w:tc>
          <w:tcPr>
            <w:tcW w:w="5096" w:type="dxa"/>
            <w:vAlign w:val="center"/>
          </w:tcPr>
          <w:p w14:paraId="55189CC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D539FE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1B7894A1">
            <w:pPr>
              <w:rPr>
                <w:rFonts w:ascii="宋体" w:hAnsi="宋体" w:eastAsia="宋体"/>
                <w:sz w:val="24"/>
                <w:szCs w:val="24"/>
              </w:rPr>
            </w:pPr>
            <w:r>
              <w:rPr>
                <w:rFonts w:hint="eastAsia" w:ascii="宋体" w:hAnsi="宋体" w:eastAsia="宋体"/>
                <w:sz w:val="24"/>
                <w:szCs w:val="24"/>
              </w:rPr>
              <w:t>难点：目标达成函数设计</w:t>
            </w:r>
          </w:p>
        </w:tc>
        <w:tc>
          <w:tcPr>
            <w:tcW w:w="1555" w:type="dxa"/>
            <w:vAlign w:val="center"/>
          </w:tcPr>
          <w:p w14:paraId="3A831E86">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021D03E1">
            <w:pPr>
              <w:rPr>
                <w:rFonts w:ascii="宋体" w:hAnsi="宋体" w:eastAsia="宋体"/>
                <w:sz w:val="24"/>
                <w:szCs w:val="24"/>
              </w:rPr>
            </w:pPr>
          </w:p>
        </w:tc>
      </w:tr>
      <w:tr w14:paraId="2EFAF6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951F023">
            <w:pPr>
              <w:rPr>
                <w:rFonts w:ascii="宋体" w:hAnsi="宋体" w:eastAsia="宋体"/>
                <w:sz w:val="24"/>
                <w:szCs w:val="24"/>
              </w:rPr>
            </w:pPr>
            <w:r>
              <w:rPr>
                <w:rFonts w:hint="eastAsia" w:ascii="宋体" w:hAnsi="宋体" w:eastAsia="宋体"/>
                <w:sz w:val="24"/>
                <w:szCs w:val="24"/>
              </w:rPr>
              <w:t>第六章 动态规划</w:t>
            </w:r>
          </w:p>
          <w:p w14:paraId="40CFF9D9">
            <w:pPr>
              <w:rPr>
                <w:rFonts w:ascii="宋体" w:hAnsi="宋体" w:eastAsia="宋体"/>
                <w:sz w:val="24"/>
                <w:szCs w:val="24"/>
              </w:rPr>
            </w:pPr>
          </w:p>
        </w:tc>
        <w:tc>
          <w:tcPr>
            <w:tcW w:w="5096" w:type="dxa"/>
            <w:vAlign w:val="center"/>
          </w:tcPr>
          <w:p w14:paraId="04D4C418">
            <w:pPr>
              <w:rPr>
                <w:rFonts w:ascii="宋体" w:hAnsi="宋体" w:eastAsia="宋体"/>
                <w:sz w:val="24"/>
                <w:szCs w:val="24"/>
              </w:rPr>
            </w:pPr>
            <w:r>
              <w:rPr>
                <w:rFonts w:hint="eastAsia" w:ascii="宋体" w:hAnsi="宋体" w:eastAsia="宋体"/>
                <w:sz w:val="24"/>
                <w:szCs w:val="24"/>
              </w:rPr>
              <w:t>动态规划的数学模型；</w:t>
            </w:r>
          </w:p>
          <w:p w14:paraId="1C37C038">
            <w:pPr>
              <w:rPr>
                <w:rFonts w:ascii="宋体" w:hAnsi="宋体" w:eastAsia="宋体"/>
                <w:sz w:val="24"/>
                <w:szCs w:val="24"/>
              </w:rPr>
            </w:pPr>
            <w:r>
              <w:rPr>
                <w:rFonts w:hint="eastAsia" w:ascii="宋体" w:hAnsi="宋体" w:eastAsia="宋体"/>
                <w:sz w:val="24"/>
                <w:szCs w:val="24"/>
              </w:rPr>
              <w:t>逆序求解递推过程；</w:t>
            </w:r>
          </w:p>
          <w:p w14:paraId="481A7A0D">
            <w:pPr>
              <w:rPr>
                <w:rFonts w:ascii="宋体" w:hAnsi="宋体" w:eastAsia="宋体"/>
                <w:sz w:val="24"/>
                <w:szCs w:val="24"/>
              </w:rPr>
            </w:pPr>
            <w:r>
              <w:rPr>
                <w:rFonts w:hint="eastAsia" w:ascii="宋体" w:hAnsi="宋体" w:eastAsia="宋体"/>
                <w:sz w:val="24"/>
                <w:szCs w:val="24"/>
              </w:rPr>
              <w:t>上机实践</w:t>
            </w:r>
          </w:p>
        </w:tc>
        <w:tc>
          <w:tcPr>
            <w:tcW w:w="5096" w:type="dxa"/>
            <w:vAlign w:val="center"/>
          </w:tcPr>
          <w:p w14:paraId="2E1C5E4B">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71F0E50E">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58B40AE">
            <w:pPr>
              <w:rPr>
                <w:rFonts w:ascii="宋体" w:hAnsi="宋体" w:eastAsia="宋体"/>
                <w:sz w:val="24"/>
                <w:szCs w:val="24"/>
              </w:rPr>
            </w:pPr>
            <w:r>
              <w:rPr>
                <w:rFonts w:hint="eastAsia" w:ascii="宋体" w:hAnsi="宋体" w:eastAsia="宋体"/>
                <w:sz w:val="24"/>
                <w:szCs w:val="24"/>
              </w:rPr>
              <w:t>难点：递推方程</w:t>
            </w:r>
          </w:p>
        </w:tc>
        <w:tc>
          <w:tcPr>
            <w:tcW w:w="1555" w:type="dxa"/>
            <w:vAlign w:val="center"/>
          </w:tcPr>
          <w:p w14:paraId="12BBE751">
            <w:pPr>
              <w:jc w:val="center"/>
              <w:rPr>
                <w:rFonts w:ascii="宋体" w:hAnsi="宋体" w:eastAsia="宋体"/>
                <w:sz w:val="24"/>
                <w:szCs w:val="24"/>
              </w:rPr>
            </w:pPr>
            <w:r>
              <w:rPr>
                <w:rFonts w:hint="eastAsia" w:ascii="宋体" w:hAnsi="宋体" w:eastAsia="宋体"/>
                <w:sz w:val="24"/>
                <w:szCs w:val="24"/>
              </w:rPr>
              <w:t>第10,9 周</w:t>
            </w:r>
          </w:p>
        </w:tc>
        <w:tc>
          <w:tcPr>
            <w:tcW w:w="5096" w:type="dxa"/>
            <w:vAlign w:val="center"/>
          </w:tcPr>
          <w:p w14:paraId="10881B94">
            <w:pPr>
              <w:rPr>
                <w:rFonts w:ascii="宋体" w:hAnsi="宋体" w:eastAsia="宋体"/>
                <w:sz w:val="24"/>
                <w:szCs w:val="24"/>
              </w:rPr>
            </w:pPr>
          </w:p>
        </w:tc>
      </w:tr>
      <w:tr w14:paraId="560F34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0F81E71">
            <w:pPr>
              <w:rPr>
                <w:rFonts w:ascii="宋体" w:hAnsi="宋体" w:eastAsia="宋体"/>
                <w:sz w:val="24"/>
                <w:szCs w:val="24"/>
              </w:rPr>
            </w:pPr>
            <w:r>
              <w:rPr>
                <w:rFonts w:hint="eastAsia" w:ascii="宋体" w:hAnsi="宋体" w:eastAsia="宋体"/>
                <w:sz w:val="24"/>
                <w:szCs w:val="24"/>
              </w:rPr>
              <w:t>第七章 网络分析</w:t>
            </w:r>
          </w:p>
        </w:tc>
        <w:tc>
          <w:tcPr>
            <w:tcW w:w="5096" w:type="dxa"/>
            <w:vAlign w:val="center"/>
          </w:tcPr>
          <w:p w14:paraId="1B51B08F">
            <w:pPr>
              <w:rPr>
                <w:rFonts w:ascii="宋体" w:hAnsi="宋体" w:eastAsia="宋体"/>
                <w:sz w:val="24"/>
                <w:szCs w:val="24"/>
              </w:rPr>
            </w:pPr>
            <w:r>
              <w:rPr>
                <w:rFonts w:hint="eastAsia" w:ascii="宋体" w:hAnsi="宋体" w:eastAsia="宋体"/>
                <w:sz w:val="24"/>
                <w:szCs w:val="24"/>
              </w:rPr>
              <w:t>最短路问题；</w:t>
            </w:r>
          </w:p>
          <w:p w14:paraId="771E9431">
            <w:pPr>
              <w:rPr>
                <w:rFonts w:ascii="宋体" w:hAnsi="宋体" w:eastAsia="宋体"/>
                <w:sz w:val="24"/>
                <w:szCs w:val="24"/>
              </w:rPr>
            </w:pPr>
            <w:r>
              <w:rPr>
                <w:rFonts w:hint="eastAsia" w:ascii="宋体" w:hAnsi="宋体" w:eastAsia="宋体"/>
                <w:sz w:val="24"/>
                <w:szCs w:val="24"/>
              </w:rPr>
              <w:t>最大流问题；</w:t>
            </w:r>
          </w:p>
          <w:p w14:paraId="483422A8">
            <w:pPr>
              <w:rPr>
                <w:rFonts w:ascii="宋体" w:hAnsi="宋体" w:eastAsia="宋体"/>
                <w:sz w:val="24"/>
                <w:szCs w:val="24"/>
              </w:rPr>
            </w:pPr>
            <w:r>
              <w:rPr>
                <w:rFonts w:hint="eastAsia" w:ascii="宋体" w:hAnsi="宋体" w:eastAsia="宋体"/>
                <w:sz w:val="24"/>
                <w:szCs w:val="24"/>
              </w:rPr>
              <w:t>最小费用流问题；</w:t>
            </w:r>
          </w:p>
          <w:p w14:paraId="2E096B83">
            <w:pPr>
              <w:rPr>
                <w:rFonts w:ascii="宋体" w:hAnsi="宋体" w:eastAsia="宋体"/>
                <w:sz w:val="24"/>
                <w:szCs w:val="24"/>
              </w:rPr>
            </w:pPr>
            <w:r>
              <w:rPr>
                <w:rFonts w:hint="eastAsia" w:ascii="宋体" w:hAnsi="宋体" w:eastAsia="宋体"/>
                <w:sz w:val="24"/>
                <w:szCs w:val="24"/>
              </w:rPr>
              <w:t>上机实践</w:t>
            </w:r>
          </w:p>
        </w:tc>
        <w:tc>
          <w:tcPr>
            <w:tcW w:w="5096" w:type="dxa"/>
            <w:vAlign w:val="center"/>
          </w:tcPr>
          <w:p w14:paraId="6C40C4C1">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326A18BF">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FB288AD">
            <w:pPr>
              <w:rPr>
                <w:rFonts w:ascii="宋体" w:hAnsi="宋体" w:eastAsia="宋体"/>
                <w:sz w:val="24"/>
                <w:szCs w:val="24"/>
              </w:rPr>
            </w:pPr>
          </w:p>
        </w:tc>
        <w:tc>
          <w:tcPr>
            <w:tcW w:w="1555" w:type="dxa"/>
            <w:vAlign w:val="center"/>
          </w:tcPr>
          <w:p w14:paraId="409257A4">
            <w:pPr>
              <w:jc w:val="center"/>
              <w:rPr>
                <w:rFonts w:ascii="宋体" w:hAnsi="宋体" w:eastAsia="宋体"/>
                <w:sz w:val="24"/>
                <w:szCs w:val="24"/>
              </w:rPr>
            </w:pPr>
            <w:r>
              <w:rPr>
                <w:rFonts w:hint="eastAsia" w:ascii="宋体" w:hAnsi="宋体" w:eastAsia="宋体"/>
                <w:sz w:val="24"/>
                <w:szCs w:val="24"/>
              </w:rPr>
              <w:t>第11,12 周</w:t>
            </w:r>
          </w:p>
        </w:tc>
        <w:tc>
          <w:tcPr>
            <w:tcW w:w="5096" w:type="dxa"/>
            <w:vAlign w:val="center"/>
          </w:tcPr>
          <w:p w14:paraId="00438572">
            <w:pPr>
              <w:rPr>
                <w:rFonts w:ascii="宋体" w:hAnsi="宋体" w:eastAsia="宋体"/>
                <w:sz w:val="24"/>
                <w:szCs w:val="24"/>
              </w:rPr>
            </w:pPr>
          </w:p>
        </w:tc>
      </w:tr>
      <w:tr w14:paraId="7A4BAE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15F7A1B">
            <w:pPr>
              <w:rPr>
                <w:rFonts w:ascii="宋体" w:hAnsi="宋体" w:eastAsia="宋体"/>
                <w:sz w:val="24"/>
                <w:szCs w:val="24"/>
              </w:rPr>
            </w:pPr>
            <w:r>
              <w:rPr>
                <w:rFonts w:hint="eastAsia" w:ascii="宋体" w:hAnsi="宋体" w:eastAsia="宋体"/>
                <w:sz w:val="24"/>
                <w:szCs w:val="24"/>
              </w:rPr>
              <w:t>第八章 网络计划法</w:t>
            </w:r>
          </w:p>
        </w:tc>
        <w:tc>
          <w:tcPr>
            <w:tcW w:w="5096" w:type="dxa"/>
            <w:vAlign w:val="center"/>
          </w:tcPr>
          <w:p w14:paraId="43AFB714">
            <w:pPr>
              <w:rPr>
                <w:rFonts w:ascii="宋体" w:hAnsi="宋体" w:eastAsia="宋体"/>
                <w:sz w:val="24"/>
                <w:szCs w:val="24"/>
              </w:rPr>
            </w:pPr>
            <w:r>
              <w:rPr>
                <w:rFonts w:hint="eastAsia" w:ascii="宋体" w:hAnsi="宋体" w:eastAsia="宋体"/>
                <w:sz w:val="24"/>
                <w:szCs w:val="24"/>
              </w:rPr>
              <w:t>关键路线法；</w:t>
            </w:r>
          </w:p>
          <w:p w14:paraId="614B1F17">
            <w:pPr>
              <w:rPr>
                <w:rFonts w:ascii="宋体" w:hAnsi="宋体" w:eastAsia="宋体"/>
                <w:sz w:val="24"/>
                <w:szCs w:val="24"/>
              </w:rPr>
            </w:pPr>
            <w:r>
              <w:rPr>
                <w:rFonts w:hint="eastAsia" w:ascii="宋体" w:hAnsi="宋体" w:eastAsia="宋体"/>
                <w:sz w:val="24"/>
                <w:szCs w:val="24"/>
              </w:rPr>
              <w:t>计划评审技术</w:t>
            </w:r>
          </w:p>
        </w:tc>
        <w:tc>
          <w:tcPr>
            <w:tcW w:w="5096" w:type="dxa"/>
            <w:vAlign w:val="center"/>
          </w:tcPr>
          <w:p w14:paraId="752899DB">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ABC3326">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BDDF260">
            <w:pPr>
              <w:rPr>
                <w:rFonts w:ascii="宋体" w:hAnsi="宋体" w:eastAsia="宋体"/>
                <w:sz w:val="24"/>
                <w:szCs w:val="24"/>
              </w:rPr>
            </w:pPr>
            <w:r>
              <w:rPr>
                <w:rFonts w:hint="eastAsia" w:ascii="宋体" w:hAnsi="宋体" w:eastAsia="宋体"/>
                <w:sz w:val="24"/>
                <w:szCs w:val="24"/>
              </w:rPr>
              <w:t>重点：关键路线法</w:t>
            </w:r>
          </w:p>
        </w:tc>
        <w:tc>
          <w:tcPr>
            <w:tcW w:w="1555" w:type="dxa"/>
            <w:vAlign w:val="center"/>
          </w:tcPr>
          <w:p w14:paraId="244F2B43">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2844DCA7">
            <w:pPr>
              <w:rPr>
                <w:rFonts w:ascii="宋体" w:hAnsi="宋体" w:eastAsia="宋体"/>
                <w:sz w:val="24"/>
                <w:szCs w:val="24"/>
              </w:rPr>
            </w:pPr>
          </w:p>
        </w:tc>
      </w:tr>
      <w:tr w14:paraId="6D3CD5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12F03B0">
            <w:pPr>
              <w:rPr>
                <w:rFonts w:ascii="宋体" w:hAnsi="宋体" w:eastAsia="宋体"/>
                <w:sz w:val="24"/>
                <w:szCs w:val="24"/>
              </w:rPr>
            </w:pPr>
            <w:r>
              <w:rPr>
                <w:rFonts w:hint="eastAsia" w:ascii="宋体" w:hAnsi="宋体" w:eastAsia="宋体"/>
                <w:sz w:val="24"/>
                <w:szCs w:val="24"/>
              </w:rPr>
              <w:t>第十章 决策分析</w:t>
            </w:r>
          </w:p>
        </w:tc>
        <w:tc>
          <w:tcPr>
            <w:tcW w:w="5096" w:type="dxa"/>
            <w:vAlign w:val="center"/>
          </w:tcPr>
          <w:p w14:paraId="518EA7AA">
            <w:pPr>
              <w:rPr>
                <w:rFonts w:ascii="宋体" w:hAnsi="宋体" w:eastAsia="宋体"/>
                <w:sz w:val="24"/>
                <w:szCs w:val="24"/>
              </w:rPr>
            </w:pPr>
            <w:r>
              <w:rPr>
                <w:rFonts w:hint="eastAsia" w:ascii="宋体" w:hAnsi="宋体" w:eastAsia="宋体"/>
                <w:sz w:val="24"/>
                <w:szCs w:val="24"/>
              </w:rPr>
              <w:t>决策分析概论；</w:t>
            </w:r>
          </w:p>
          <w:p w14:paraId="6CCE89E3">
            <w:pPr>
              <w:rPr>
                <w:rFonts w:ascii="宋体" w:hAnsi="宋体" w:eastAsia="宋体"/>
                <w:sz w:val="24"/>
                <w:szCs w:val="24"/>
              </w:rPr>
            </w:pPr>
            <w:r>
              <w:rPr>
                <w:rFonts w:hint="eastAsia" w:ascii="宋体" w:hAnsi="宋体" w:eastAsia="宋体"/>
                <w:sz w:val="24"/>
                <w:szCs w:val="24"/>
              </w:rPr>
              <w:t>不确定性决策；</w:t>
            </w:r>
          </w:p>
          <w:p w14:paraId="06426CCB">
            <w:pPr>
              <w:rPr>
                <w:rFonts w:ascii="宋体" w:hAnsi="宋体" w:eastAsia="宋体"/>
                <w:sz w:val="24"/>
                <w:szCs w:val="24"/>
              </w:rPr>
            </w:pPr>
            <w:r>
              <w:rPr>
                <w:rFonts w:hint="eastAsia" w:ascii="宋体" w:hAnsi="宋体" w:eastAsia="宋体"/>
                <w:sz w:val="24"/>
                <w:szCs w:val="24"/>
              </w:rPr>
              <w:t>风险性决策；</w:t>
            </w:r>
          </w:p>
          <w:p w14:paraId="2496E171">
            <w:pPr>
              <w:rPr>
                <w:rFonts w:ascii="宋体" w:hAnsi="宋体" w:eastAsia="宋体"/>
                <w:sz w:val="24"/>
                <w:szCs w:val="24"/>
              </w:rPr>
            </w:pPr>
            <w:r>
              <w:rPr>
                <w:rFonts w:hint="eastAsia" w:ascii="宋体" w:hAnsi="宋体" w:eastAsia="宋体"/>
                <w:sz w:val="24"/>
                <w:szCs w:val="24"/>
              </w:rPr>
              <w:t>多属性决策；</w:t>
            </w:r>
          </w:p>
          <w:p w14:paraId="7BC072FA">
            <w:pPr>
              <w:rPr>
                <w:rFonts w:ascii="宋体" w:hAnsi="宋体" w:eastAsia="宋体"/>
                <w:sz w:val="24"/>
                <w:szCs w:val="24"/>
              </w:rPr>
            </w:pPr>
            <w:r>
              <w:rPr>
                <w:rFonts w:hint="eastAsia" w:ascii="宋体" w:hAnsi="宋体" w:eastAsia="宋体"/>
                <w:sz w:val="24"/>
                <w:szCs w:val="24"/>
              </w:rPr>
              <w:t>上机实践</w:t>
            </w:r>
          </w:p>
        </w:tc>
        <w:tc>
          <w:tcPr>
            <w:tcW w:w="5096" w:type="dxa"/>
            <w:vAlign w:val="center"/>
          </w:tcPr>
          <w:p w14:paraId="48620582">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77543D3A">
            <w:pPr>
              <w:rPr>
                <w:rFonts w:ascii="宋体" w:hAnsi="宋体" w:eastAsia="宋体"/>
                <w:sz w:val="24"/>
                <w:szCs w:val="24"/>
              </w:rPr>
            </w:pPr>
            <w:r>
              <w:rPr>
                <w:rFonts w:hint="eastAsia" w:ascii="宋体" w:hAnsi="宋体" w:eastAsia="宋体"/>
                <w:sz w:val="24"/>
                <w:szCs w:val="24"/>
              </w:rPr>
              <w:t>基于《深化新时代教育评价改革总体方案》讲解各级各类学校要狠抓落实，切实破除“五唯”顽瘴痼疾</w:t>
            </w:r>
          </w:p>
        </w:tc>
        <w:tc>
          <w:tcPr>
            <w:tcW w:w="5096" w:type="dxa"/>
            <w:vAlign w:val="center"/>
          </w:tcPr>
          <w:p w14:paraId="5728E40F">
            <w:pPr>
              <w:rPr>
                <w:rFonts w:ascii="宋体" w:hAnsi="宋体" w:eastAsia="宋体"/>
                <w:sz w:val="24"/>
                <w:szCs w:val="24"/>
              </w:rPr>
            </w:pPr>
            <w:r>
              <w:rPr>
                <w:rFonts w:hint="eastAsia" w:ascii="宋体" w:hAnsi="宋体" w:eastAsia="宋体"/>
                <w:sz w:val="24"/>
                <w:szCs w:val="24"/>
              </w:rPr>
              <w:t>重点：层次分析法</w:t>
            </w:r>
          </w:p>
        </w:tc>
        <w:tc>
          <w:tcPr>
            <w:tcW w:w="1555" w:type="dxa"/>
            <w:vAlign w:val="center"/>
          </w:tcPr>
          <w:p w14:paraId="52CC624D">
            <w:pPr>
              <w:jc w:val="center"/>
              <w:rPr>
                <w:rFonts w:ascii="宋体" w:hAnsi="宋体" w:eastAsia="宋体"/>
                <w:sz w:val="24"/>
                <w:szCs w:val="24"/>
              </w:rPr>
            </w:pPr>
            <w:r>
              <w:rPr>
                <w:rFonts w:hint="eastAsia" w:ascii="宋体" w:hAnsi="宋体" w:eastAsia="宋体"/>
                <w:sz w:val="24"/>
                <w:szCs w:val="24"/>
              </w:rPr>
              <w:t>第14,15 周</w:t>
            </w:r>
          </w:p>
        </w:tc>
        <w:tc>
          <w:tcPr>
            <w:tcW w:w="5096" w:type="dxa"/>
            <w:vAlign w:val="center"/>
          </w:tcPr>
          <w:p w14:paraId="3AA3DD3D">
            <w:pPr>
              <w:rPr>
                <w:rFonts w:ascii="宋体" w:hAnsi="宋体" w:eastAsia="宋体"/>
                <w:sz w:val="24"/>
                <w:szCs w:val="24"/>
              </w:rPr>
            </w:pPr>
          </w:p>
        </w:tc>
      </w:tr>
      <w:tr w14:paraId="5598E4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56FFEE4">
            <w:pPr>
              <w:rPr>
                <w:rFonts w:ascii="宋体" w:hAnsi="宋体" w:eastAsia="宋体"/>
                <w:sz w:val="24"/>
                <w:szCs w:val="24"/>
              </w:rPr>
            </w:pPr>
            <w:r>
              <w:rPr>
                <w:rFonts w:hint="eastAsia" w:ascii="宋体" w:hAnsi="宋体" w:eastAsia="宋体"/>
                <w:sz w:val="24"/>
                <w:szCs w:val="24"/>
              </w:rPr>
              <w:t>第十一章 对策论</w:t>
            </w:r>
          </w:p>
        </w:tc>
        <w:tc>
          <w:tcPr>
            <w:tcW w:w="5096" w:type="dxa"/>
            <w:vAlign w:val="center"/>
          </w:tcPr>
          <w:p w14:paraId="67760827">
            <w:pPr>
              <w:rPr>
                <w:rFonts w:ascii="宋体" w:hAnsi="宋体" w:eastAsia="宋体"/>
                <w:sz w:val="24"/>
                <w:szCs w:val="24"/>
              </w:rPr>
            </w:pPr>
            <w:r>
              <w:rPr>
                <w:rFonts w:hint="eastAsia" w:ascii="宋体" w:hAnsi="宋体" w:eastAsia="宋体"/>
                <w:sz w:val="24"/>
                <w:szCs w:val="24"/>
              </w:rPr>
              <w:t>对策论简介；</w:t>
            </w:r>
          </w:p>
          <w:p w14:paraId="234567EF">
            <w:pPr>
              <w:rPr>
                <w:rFonts w:ascii="宋体" w:hAnsi="宋体" w:eastAsia="宋体"/>
                <w:sz w:val="24"/>
                <w:szCs w:val="24"/>
              </w:rPr>
            </w:pPr>
            <w:r>
              <w:rPr>
                <w:rFonts w:hint="eastAsia" w:ascii="宋体" w:hAnsi="宋体" w:eastAsia="宋体"/>
                <w:sz w:val="24"/>
                <w:szCs w:val="24"/>
              </w:rPr>
              <w:t>对策问题分类；</w:t>
            </w:r>
          </w:p>
          <w:p w14:paraId="414EA5FF">
            <w:pPr>
              <w:rPr>
                <w:rFonts w:ascii="宋体" w:hAnsi="宋体" w:eastAsia="宋体"/>
                <w:sz w:val="24"/>
                <w:szCs w:val="24"/>
              </w:rPr>
            </w:pPr>
            <w:r>
              <w:rPr>
                <w:rFonts w:hint="eastAsia" w:ascii="宋体" w:hAnsi="宋体" w:eastAsia="宋体"/>
                <w:sz w:val="24"/>
                <w:szCs w:val="24"/>
              </w:rPr>
              <w:t>对策问题求解；</w:t>
            </w:r>
          </w:p>
          <w:p w14:paraId="6E1CA72B">
            <w:pPr>
              <w:rPr>
                <w:rFonts w:ascii="宋体" w:hAnsi="宋体" w:eastAsia="宋体"/>
                <w:sz w:val="24"/>
                <w:szCs w:val="24"/>
              </w:rPr>
            </w:pPr>
            <w:r>
              <w:rPr>
                <w:rFonts w:hint="eastAsia" w:ascii="宋体" w:hAnsi="宋体" w:eastAsia="宋体"/>
                <w:sz w:val="24"/>
                <w:szCs w:val="24"/>
              </w:rPr>
              <w:t>上机实践</w:t>
            </w:r>
          </w:p>
        </w:tc>
        <w:tc>
          <w:tcPr>
            <w:tcW w:w="5096" w:type="dxa"/>
            <w:vAlign w:val="center"/>
          </w:tcPr>
          <w:p w14:paraId="78933F00">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09AF411E">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BEE0E00">
            <w:pPr>
              <w:rPr>
                <w:rFonts w:ascii="宋体" w:hAnsi="宋体" w:eastAsia="宋体"/>
                <w:sz w:val="24"/>
                <w:szCs w:val="24"/>
              </w:rPr>
            </w:pPr>
            <w:r>
              <w:rPr>
                <w:rFonts w:hint="eastAsia" w:ascii="宋体" w:hAnsi="宋体" w:eastAsia="宋体"/>
                <w:sz w:val="24"/>
                <w:szCs w:val="24"/>
              </w:rPr>
              <w:t>重点：均衡解</w:t>
            </w:r>
          </w:p>
        </w:tc>
        <w:tc>
          <w:tcPr>
            <w:tcW w:w="1555" w:type="dxa"/>
            <w:vAlign w:val="center"/>
          </w:tcPr>
          <w:p w14:paraId="15707D38">
            <w:pPr>
              <w:jc w:val="center"/>
              <w:rPr>
                <w:rFonts w:ascii="宋体" w:hAnsi="宋体" w:eastAsia="宋体"/>
                <w:sz w:val="24"/>
                <w:szCs w:val="24"/>
              </w:rPr>
            </w:pPr>
            <w:r>
              <w:rPr>
                <w:rFonts w:hint="eastAsia" w:ascii="宋体" w:hAnsi="宋体" w:eastAsia="宋体"/>
                <w:sz w:val="24"/>
                <w:szCs w:val="24"/>
              </w:rPr>
              <w:t>第16,17 周</w:t>
            </w:r>
          </w:p>
        </w:tc>
        <w:tc>
          <w:tcPr>
            <w:tcW w:w="5096" w:type="dxa"/>
            <w:vAlign w:val="center"/>
          </w:tcPr>
          <w:p w14:paraId="7B6172E1">
            <w:pPr>
              <w:rPr>
                <w:rFonts w:ascii="宋体" w:hAnsi="宋体" w:eastAsia="宋体"/>
                <w:sz w:val="24"/>
                <w:szCs w:val="24"/>
              </w:rPr>
            </w:pPr>
          </w:p>
        </w:tc>
      </w:tr>
    </w:tbl>
    <w:p w14:paraId="1C4807AF">
      <w:pPr>
        <w:spacing w:line="480" w:lineRule="exact"/>
        <w:ind w:firstLine="360" w:firstLineChars="150"/>
        <w:rPr>
          <w:rFonts w:hint="eastAsia"/>
          <w:sz w:val="24"/>
        </w:rPr>
      </w:pPr>
      <w:r>
        <w:rPr>
          <w:sz w:val="24"/>
        </w:rPr>
        <w:t>合计:51</w:t>
      </w:r>
    </w:p>
    <w:p w14:paraId="7A8A57FE">
      <w:pPr>
        <w:spacing w:line="480" w:lineRule="exact"/>
        <w:rPr>
          <w:sz w:val="24"/>
        </w:rPr>
      </w:pPr>
    </w:p>
    <w:p w14:paraId="1405FE2D">
      <w:pPr>
        <w:spacing w:line="480" w:lineRule="exact"/>
        <w:rPr>
          <w:rFonts w:hint="eastAsia"/>
          <w:sz w:val="24"/>
        </w:rPr>
      </w:pPr>
    </w:p>
    <w:p w14:paraId="7C9CA354">
      <w:pPr>
        <w:spacing w:line="480" w:lineRule="exact"/>
        <w:ind w:firstLine="480" w:firstLineChars="200"/>
        <w:rPr>
          <w:sz w:val="24"/>
        </w:rPr>
      </w:pPr>
      <w:r>
        <w:rPr>
          <w:sz w:val="24"/>
        </w:rPr>
        <w:t>（二）</w:t>
      </w:r>
      <w:r>
        <w:rPr>
          <w:b/>
          <w:sz w:val="24"/>
        </w:rPr>
        <w:t>教学环节安排</w:t>
      </w:r>
    </w:p>
    <w:p w14:paraId="3A39671A">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1651C15F">
      <w:pPr>
        <w:spacing w:line="480" w:lineRule="exact"/>
        <w:ind w:firstLine="360" w:firstLineChars="150"/>
        <w:rPr>
          <w:rFonts w:hint="eastAsia"/>
          <w:sz w:val="24"/>
        </w:rPr>
      </w:pPr>
      <w:r>
        <w:rPr>
          <w:sz w:val="24"/>
        </w:rPr>
        <w:t>本课程教学以课堂教学为主，重点讲解多种管理问题的建模方法和求解方法，要求学生已经修完线性代数等基础课程；同时本课程了设计了上机课程，要求学生掌握一种运筹学模型求解软件，并完成对线性规划、整数规划、目标规划及网络分析等问题的软件求解；在综合练习中设计了开放的问题，要求学生能够独立建立现实问题数学模型，并通过软件辅助求解。</w:t>
      </w:r>
    </w:p>
    <w:p w14:paraId="3FFC91D5">
      <w:pPr>
        <w:spacing w:line="480" w:lineRule="exact"/>
        <w:rPr>
          <w:sz w:val="24"/>
        </w:rPr>
      </w:pPr>
    </w:p>
    <w:p w14:paraId="4767FDF9">
      <w:pPr>
        <w:spacing w:line="480" w:lineRule="exact"/>
        <w:ind w:firstLine="480" w:firstLineChars="200"/>
        <w:rPr>
          <w:rFonts w:hint="eastAsia"/>
          <w:sz w:val="24"/>
        </w:rPr>
      </w:pPr>
      <w:r>
        <w:rPr>
          <w:sz w:val="24"/>
        </w:rPr>
        <w:t>（三）</w:t>
      </w:r>
      <w:r>
        <w:rPr>
          <w:b/>
          <w:sz w:val="24"/>
        </w:rPr>
        <w:t>教学方法</w:t>
      </w:r>
    </w:p>
    <w:p w14:paraId="10D78BEA">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13252B7B">
      <w:pPr>
        <w:spacing w:line="480" w:lineRule="exact"/>
        <w:ind w:firstLine="360" w:firstLineChars="150"/>
        <w:rPr>
          <w:rFonts w:hint="eastAsia"/>
          <w:sz w:val="24"/>
        </w:rPr>
      </w:pPr>
      <w:r>
        <w:rPr>
          <w:sz w:val="24"/>
        </w:rPr>
        <w:t>本课程主要采用课堂讲授和提问研讨的教学方法；同时结合上机实践提升学生的问题求解能力；通过设计开放课题，让学生讨论合作完成复杂问题求解。</w:t>
      </w:r>
    </w:p>
    <w:p w14:paraId="74DB3A28">
      <w:pPr>
        <w:spacing w:line="480" w:lineRule="exact"/>
        <w:ind w:firstLine="360" w:firstLineChars="150"/>
        <w:rPr>
          <w:sz w:val="24"/>
        </w:rPr>
      </w:pPr>
    </w:p>
    <w:p w14:paraId="13AA208D">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4C2E779F">
      <w:pPr>
        <w:spacing w:line="480" w:lineRule="exact"/>
        <w:ind w:firstLine="360" w:firstLineChars="150"/>
        <w:rPr>
          <w:sz w:val="24"/>
        </w:rPr>
      </w:pPr>
      <w:r>
        <w:rPr>
          <w:rFonts w:hint="eastAsia"/>
          <w:sz w:val="24"/>
        </w:rPr>
        <w:t>谢家平主编. 管理运筹学（第三版），中国人民大学出版社，2018</w:t>
      </w:r>
    </w:p>
    <w:p w14:paraId="24F570E9">
      <w:pPr>
        <w:spacing w:line="480" w:lineRule="exact"/>
        <w:ind w:firstLine="360" w:firstLineChars="150"/>
        <w:rPr>
          <w:sz w:val="24"/>
        </w:rPr>
      </w:pPr>
    </w:p>
    <w:p w14:paraId="74C9B33D">
      <w:pPr>
        <w:spacing w:line="480" w:lineRule="exact"/>
        <w:ind w:firstLine="480" w:firstLineChars="200"/>
        <w:rPr>
          <w:sz w:val="24"/>
        </w:rPr>
      </w:pPr>
      <w:r>
        <w:rPr>
          <w:sz w:val="24"/>
        </w:rPr>
        <w:t>（五）</w:t>
      </w:r>
      <w:r>
        <w:rPr>
          <w:b/>
          <w:sz w:val="24"/>
        </w:rPr>
        <w:t>主要参考书目</w:t>
      </w:r>
    </w:p>
    <w:p w14:paraId="675B2658">
      <w:pPr>
        <w:spacing w:line="480" w:lineRule="exact"/>
        <w:ind w:firstLine="482" w:firstLineChars="200"/>
        <w:rPr>
          <w:sz w:val="24"/>
        </w:rPr>
      </w:pPr>
      <w:r>
        <w:rPr>
          <w:b/>
          <w:sz w:val="24"/>
        </w:rPr>
        <w:t>（推荐若干参考书，并注明书名、作者、出版社、版本、出版日期等，每个章节指定一定数量、明确的阅读资料）</w:t>
      </w:r>
    </w:p>
    <w:p w14:paraId="72EFDDEF">
      <w:pPr>
        <w:spacing w:line="480" w:lineRule="exact"/>
        <w:ind w:firstLine="360" w:firstLineChars="150"/>
        <w:rPr>
          <w:sz w:val="24"/>
        </w:rPr>
      </w:pPr>
      <w:r>
        <w:rPr>
          <w:rFonts w:hint="eastAsia"/>
          <w:sz w:val="24"/>
        </w:rPr>
        <w:t>胡运权. 运筹学教程，清华大学出版社（第四版），2012</w:t>
      </w:r>
    </w:p>
    <w:p w14:paraId="2B822943">
      <w:pPr>
        <w:spacing w:line="480" w:lineRule="exact"/>
        <w:ind w:firstLine="480" w:firstLineChars="200"/>
        <w:rPr>
          <w:sz w:val="24"/>
        </w:rPr>
      </w:pPr>
      <w:r>
        <w:rPr>
          <w:sz w:val="24"/>
        </w:rPr>
        <w:t>（六）</w:t>
      </w:r>
      <w:r>
        <w:rPr>
          <w:b/>
          <w:sz w:val="24"/>
        </w:rPr>
        <w:t>成绩评定方式</w:t>
      </w:r>
    </w:p>
    <w:p w14:paraId="26533D2E">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354061A0">
      <w:pPr>
        <w:spacing w:line="480" w:lineRule="exact"/>
        <w:ind w:firstLine="482" w:firstLineChars="200"/>
        <w:rPr>
          <w:sz w:val="24"/>
        </w:rPr>
      </w:pPr>
      <w:r>
        <w:rPr>
          <w:rFonts w:hint="eastAsia"/>
          <w:b/>
          <w:sz w:val="24"/>
        </w:rPr>
        <w:t>考 核 方 式：考试</w:t>
      </w:r>
    </w:p>
    <w:p w14:paraId="61A91C45">
      <w:pPr>
        <w:spacing w:line="480" w:lineRule="exact"/>
        <w:ind w:firstLine="482" w:firstLineChars="200"/>
        <w:rPr>
          <w:sz w:val="24"/>
        </w:rPr>
      </w:pPr>
      <w:r>
        <w:rPr>
          <w:rFonts w:hint="eastAsia"/>
          <w:b/>
          <w:sz w:val="24"/>
        </w:rPr>
        <w:t>成绩录入方式： 百分制</w:t>
      </w:r>
    </w:p>
    <w:p w14:paraId="465FA59C">
      <w:pPr>
        <w:spacing w:line="480" w:lineRule="exact"/>
        <w:ind w:firstLine="360" w:firstLineChars="150"/>
        <w:rPr>
          <w:sz w:val="24"/>
        </w:rPr>
      </w:pPr>
      <w:r>
        <w:rPr>
          <w:rFonts w:hint="eastAsia"/>
          <w:sz w:val="24"/>
        </w:rPr>
        <w:t>一、课程成绩＝平时考勤 10％＋平时作业30%+期末成绩60%</w:t>
      </w:r>
    </w:p>
    <w:p w14:paraId="02770097">
      <w:pPr>
        <w:spacing w:line="480" w:lineRule="exact"/>
        <w:ind w:firstLine="360" w:firstLineChars="150"/>
        <w:rPr>
          <w:sz w:val="24"/>
        </w:rPr>
      </w:pPr>
      <w:r>
        <w:rPr>
          <w:rFonts w:hint="eastAsia"/>
          <w:sz w:val="24"/>
        </w:rPr>
        <w:t>二、平时考核说明</w:t>
      </w:r>
    </w:p>
    <w:p w14:paraId="605FD937">
      <w:pPr>
        <w:spacing w:line="480" w:lineRule="exact"/>
        <w:ind w:firstLine="360" w:firstLineChars="150"/>
        <w:rPr>
          <w:sz w:val="24"/>
        </w:rPr>
      </w:pPr>
      <w:r>
        <w:rPr>
          <w:rFonts w:hint="eastAsia"/>
          <w:sz w:val="24"/>
        </w:rPr>
        <w:t>（1）课堂参与度与出勤情况（占总评成绩10%）。每学期考勤次数不少于3次，无故旷课、迟到、早退等情况扣除当次考勤分数（按次数）。请假须按照学校规定执行，须提前请假，不得由他人代请假；却因特殊情况未提前请假的，须事后1周内补齐请假手续，否则按旷课处理。</w:t>
      </w:r>
    </w:p>
    <w:p w14:paraId="1C424844">
      <w:pPr>
        <w:spacing w:line="480" w:lineRule="exact"/>
        <w:ind w:firstLine="360" w:firstLineChars="150"/>
        <w:rPr>
          <w:sz w:val="24"/>
        </w:rPr>
      </w:pPr>
      <w:r>
        <w:rPr>
          <w:rFonts w:hint="eastAsia"/>
          <w:sz w:val="24"/>
        </w:rPr>
        <w:t>（2）3次作业（占总评成绩30%）。主要考察学生对讲授内容的理解和运用能力，由任课教师批阅并给分。未交、缓交作业的，当次不给分。因请假造成缓交作业的，须于销假时补交作业，否则按未交作业处理。</w:t>
      </w:r>
    </w:p>
    <w:p w14:paraId="1F1C3D62">
      <w:pPr>
        <w:spacing w:line="480" w:lineRule="exact"/>
        <w:ind w:firstLine="360" w:firstLineChars="150"/>
        <w:rPr>
          <w:sz w:val="24"/>
        </w:rPr>
      </w:pPr>
      <w:r>
        <w:rPr>
          <w:rFonts w:hint="eastAsia"/>
          <w:sz w:val="24"/>
        </w:rPr>
        <w:t>三、期末考试：闭卷考试。考试内容覆盖教学内容，检核学生课程内容的掌握情况。</w:t>
      </w:r>
    </w:p>
    <w:p w14:paraId="2EF04160">
      <w:pPr>
        <w:spacing w:line="480" w:lineRule="exact"/>
        <w:rPr>
          <w:sz w:val="24"/>
        </w:rPr>
      </w:pPr>
    </w:p>
    <w:p w14:paraId="45D9200D">
      <w:pPr>
        <w:spacing w:line="480" w:lineRule="exact"/>
        <w:rPr>
          <w:sz w:val="24"/>
        </w:rPr>
      </w:pPr>
    </w:p>
    <w:p w14:paraId="02486AE9">
      <w:pPr>
        <w:spacing w:line="480" w:lineRule="exact"/>
        <w:rPr>
          <w:sz w:val="24"/>
        </w:rPr>
      </w:pPr>
    </w:p>
    <w:p w14:paraId="39BE13BA">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4D2A44E2"/>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6</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2026-04-12T06:25:13Z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C3517D1A938B42C5AFED997690248774_13</vt:lpwstr>
  </property>
</Properties>
</file>