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5.png" ContentType="image/png"/>
  <Override PartName="/word/media/rId28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32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Arithmetic Without Numbers</w:t>
      </w:r>
    </w:p>
    <w:p>
      <w:pPr>
        <w:pStyle w:val="Subtitle"/>
      </w:pPr>
      <w:r>
        <w:t xml:space="preserve">What happens inside an LLM when it tries to calculate with nothing but matrices</w:t>
      </w:r>
    </w:p>
    <w:p>
      <w:pPr>
        <w:pStyle w:val="Author"/>
      </w:pPr>
      <w:r>
        <w:t xml:space="preserve">Alvaro Videla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blender_integer_helix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visual analogy for integer phase geometry in a matrix-only model:</w:t>
      </w:r>
      <w:r>
        <w:t xml:space="preserve"> </w:t>
      </w:r>
      <w:r>
        <w:t xml:space="preserve">value can be represented by position on rotating directions rather than by</w:t>
      </w:r>
      <w:r>
        <w:t xml:space="preserve"> </w:t>
      </w:r>
      <w:r>
        <w:t xml:space="preserve">fingers, beads, or written columns.</w:t>
      </w:r>
    </w:p>
    <w:bookmarkStart w:id="12" w:name="the-question"/>
    <w:p>
      <w:pPr>
        <w:pStyle w:val="Heading1"/>
      </w:pPr>
      <w:r>
        <w:t xml:space="preserve">The Question</w:t>
      </w:r>
    </w:p>
    <w:p>
      <w:pPr>
        <w:pStyle w:val="FirstParagraph"/>
      </w:pPr>
      <w:r>
        <w:t xml:space="preserve">If you learned arithmetic the ordinary human way, you probably learned it with</w:t>
      </w:r>
      <w:r>
        <w:t xml:space="preserve"> </w:t>
      </w:r>
      <w:r>
        <w:t xml:space="preserve">a body. You counted on fingers, grouped things into piles, lined digits into</w:t>
      </w:r>
      <w:r>
        <w:t xml:space="preserve"> </w:t>
      </w:r>
      <w:r>
        <w:t xml:space="preserve">columns, and carried a one. Human arithmetic is full of objects: fingers,</w:t>
      </w:r>
      <w:r>
        <w:t xml:space="preserve"> </w:t>
      </w:r>
      <w:r>
        <w:t xml:space="preserve">beads, marks, columns, strokes, and places.</w:t>
      </w:r>
    </w:p>
    <w:p>
      <w:pPr>
        <w:pStyle w:val="BodyText"/>
      </w:pPr>
      <w:r>
        <w:t xml:space="preserve">A language model has none of that. It has matrices.</w:t>
      </w:r>
    </w:p>
    <w:p>
      <w:pPr>
        <w:pStyle w:val="BodyText"/>
      </w:pPr>
      <w:r>
        <w:t xml:space="preserve">At each layer, a grid of numbers transforms another grid of numbers. Tokens</w:t>
      </w:r>
      <w:r>
        <w:t xml:space="preserve"> </w:t>
      </w:r>
      <w:r>
        <w:t xml:space="preserve">enter, activations flow, logits come out. No fingers. No abacus. No column of</w:t>
      </w:r>
      <w:r>
        <w:t xml:space="preserve"> </w:t>
      </w:r>
      <w:r>
        <w:t xml:space="preserve">digits written on a page. And yet, if you ask a modern language model for the</w:t>
      </w:r>
      <w:r>
        <w:t xml:space="preserve"> </w:t>
      </w:r>
      <w:r>
        <w:t xml:space="preserve">greatest common divisor of two numbers, or a multiplication, or a division with</w:t>
      </w:r>
      <w:r>
        <w:t xml:space="preserve"> </w:t>
      </w:r>
      <w:r>
        <w:t xml:space="preserve">remainder, something inside that matrix-only body responds.</w:t>
      </w:r>
    </w:p>
    <w:p>
      <w:pPr>
        <w:pStyle w:val="BodyText"/>
      </w:pPr>
      <w:r>
        <w:t xml:space="preserve">Sometimes it answers correctly. Often it does not. The question that started</w:t>
      </w:r>
      <w:r>
        <w:t xml:space="preserve"> </w:t>
      </w:r>
      <w:r>
        <w:t xml:space="preserve">Rune was simple to ask and hard to answer: how does a language model do</w:t>
      </w:r>
      <w:r>
        <w:t xml:space="preserve"> </w:t>
      </w:r>
      <w:r>
        <w:t xml:space="preserve">arithmetic, if all it has are vectors?</w:t>
      </w:r>
    </w:p>
    <w:p>
      <w:pPr>
        <w:pStyle w:val="BodyText"/>
      </w:pPr>
      <w:r>
        <w:t xml:space="preserve">The first temptation is to treat this as a product problem. If the model is bad</w:t>
      </w:r>
      <w:r>
        <w:t xml:space="preserve"> </w:t>
      </w:r>
      <w:r>
        <w:t xml:space="preserve">at arithmetic, call a calculator. That works. It is also not very mysterious. A</w:t>
      </w:r>
      <w:r>
        <w:t xml:space="preserve"> </w:t>
      </w:r>
      <w:r>
        <w:t xml:space="preserve">parser can read</w:t>
      </w:r>
      <w:r>
        <w:t xml:space="preserve"> </w:t>
      </w:r>
      <w:r>
        <w:t xml:space="preserve">“what is 84 times 37,”</w:t>
      </w:r>
      <w:r>
        <w:t xml:space="preserve"> </w:t>
      </w:r>
      <w:r>
        <w:t xml:space="preserve">translate it into</w:t>
      </w:r>
      <w:r>
        <w:t xml:space="preserve"> </w:t>
      </w:r>
      <w:r>
        <w:rPr>
          <w:rStyle w:val="VerbatimChar"/>
        </w:rPr>
        <w:t xml:space="preserve">84 * 37</w:t>
      </w:r>
      <w:r>
        <w:t xml:space="preserve">,</w:t>
      </w:r>
      <w:r>
        <w:t xml:space="preserve"> </w:t>
      </w:r>
      <w:r>
        <w:t xml:space="preserve">send that expression to Python, and return the result. That general family of</w:t>
      </w:r>
      <w:r>
        <w:t xml:space="preserve"> </w:t>
      </w:r>
      <w:r>
        <w:t xml:space="preserve">external-computation routes is well established: PAL and Program of Thoughts</w:t>
      </w:r>
      <w:r>
        <w:t xml:space="preserve"> </w:t>
      </w:r>
      <w:r>
        <w:t xml:space="preserve">ask models to produce executable programs, ReAct interleaves reasoning with</w:t>
      </w:r>
      <w:r>
        <w:t xml:space="preserve"> </w:t>
      </w:r>
      <w:r>
        <w:t xml:space="preserve">actions, and Toolformer studies models learning when and how to call</w:t>
      </w:r>
      <w:r>
        <w:t xml:space="preserve"> </w:t>
      </w:r>
      <w:r>
        <w:t xml:space="preserve">APIs </w:t>
      </w:r>
      <w:r>
        <w:t xml:space="preserve">(Gao et al. 2022; Chen et al. 2023; Yao et al. 2023; Schick et al. 2023)</w:t>
      </w:r>
      <w:r>
        <w:t xml:space="preserve">.</w:t>
      </w:r>
    </w:p>
    <w:p>
      <w:pPr>
        <w:pStyle w:val="BodyText"/>
      </w:pPr>
      <w:r>
        <w:t xml:space="preserve">Rune was chasing a different question. Could we look inside the model and find</w:t>
      </w:r>
      <w:r>
        <w:t xml:space="preserve"> </w:t>
      </w:r>
      <w:r>
        <w:t xml:space="preserve">the calculation it was trying to perform? Could the model’s own internal states</w:t>
      </w:r>
      <w:r>
        <w:t xml:space="preserve"> </w:t>
      </w:r>
      <w:r>
        <w:t xml:space="preserve">tell us the operation and operands? And, if so, could we use that information</w:t>
      </w:r>
      <w:r>
        <w:t xml:space="preserve"> </w:t>
      </w:r>
      <w:r>
        <w:t xml:space="preserve">without cheating by reading the prompt text directly?</w:t>
      </w:r>
    </w:p>
    <w:bookmarkEnd w:id="12"/>
    <w:bookmarkStart w:id="16" w:name="a-different-kind-of-tool-use"/>
    <w:p>
      <w:pPr>
        <w:pStyle w:val="Heading1"/>
      </w:pPr>
      <w:r>
        <w:t xml:space="preserve">A Different Kind of Tool Use</w:t>
      </w:r>
    </w:p>
    <w:p>
      <w:pPr>
        <w:pStyle w:val="FirstParagraph"/>
      </w:pPr>
      <w:r>
        <w:t xml:space="preserve">The original dream was more ambitious: a mechanism-aware just-in-time compiler</w:t>
      </w:r>
      <w:r>
        <w:t xml:space="preserve"> </w:t>
      </w:r>
      <w:r>
        <w:t xml:space="preserve">for model arithmetic. The ideal pipeline looked like this. The model reads an</w:t>
      </w:r>
      <w:r>
        <w:t xml:space="preserve"> </w:t>
      </w:r>
      <w:r>
        <w:t xml:space="preserve">arithmetic prompt; we identify the internal mechanism it is using; we replace</w:t>
      </w:r>
      <w:r>
        <w:t xml:space="preserve"> </w:t>
      </w:r>
      <w:r>
        <w:t xml:space="preserve">the unreliable part with exact computation; then the model continues naturally,</w:t>
      </w:r>
      <w:r>
        <w:t xml:space="preserve"> </w:t>
      </w:r>
      <w:r>
        <w:t xml:space="preserve">as if it had done the math itself.</w:t>
      </w:r>
    </w:p>
    <w:p>
      <w:pPr>
        <w:pStyle w:val="BodyText"/>
      </w:pPr>
      <w:r>
        <w:t xml:space="preserve">That is a beautiful idea. It is also not what Rune proves.</w:t>
      </w:r>
    </w:p>
    <w:p>
      <w:pPr>
        <w:pStyle w:val="BodyText"/>
      </w:pPr>
      <w:r>
        <w:t xml:space="preserve">What survived the experiments was narrower, but more interesting than ordinary</w:t>
      </w:r>
      <w:r>
        <w:t xml:space="preserve"> </w:t>
      </w:r>
      <w:r>
        <w:t xml:space="preserve">tool use. In a frozen Llama model, internal activations expose enough structure</w:t>
      </w:r>
      <w:r>
        <w:t xml:space="preserve"> </w:t>
      </w:r>
      <w:r>
        <w:t xml:space="preserve">to recover the arithmetic operation and operands under a strict no-parser rule.</w:t>
      </w:r>
      <w:r>
        <w:t xml:space="preserve"> </w:t>
      </w:r>
      <w:r>
        <w:t xml:space="preserve">The runtime is not allowed to use regexes, prompt text, hidden labels,</w:t>
      </w:r>
      <w:r>
        <w:t xml:space="preserve"> </w:t>
      </w:r>
      <w:r>
        <w:t xml:space="preserve">command-line operands, or gold answers. It gets token IDs and activations. From</w:t>
      </w:r>
      <w:r>
        <w:t xml:space="preserve"> </w:t>
      </w:r>
      <w:r>
        <w:t xml:space="preserve">those activations, it must infer: this is gcd, or lcm, or multiplication, or</w:t>
      </w:r>
      <w:r>
        <w:t xml:space="preserve"> </w:t>
      </w:r>
      <w:r>
        <w:t xml:space="preserve">division with remainder; these are the two numbers. Only after that decoded</w:t>
      </w:r>
      <w:r>
        <w:t xml:space="preserve"> </w:t>
      </w:r>
      <w:r>
        <w:t xml:space="preserve">tuple exists may Python compute.</w:t>
      </w:r>
    </w:p>
    <w:p>
      <w:pPr>
        <w:pStyle w:val="BodyText"/>
      </w:pPr>
      <w:r>
        <w:t xml:space="preserve">The calculator is not the surprising part. The surprising part is that the</w:t>
      </w:r>
      <w:r>
        <w:t xml:space="preserve"> </w:t>
      </w:r>
      <w:r>
        <w:t xml:space="preserve">arguments to the calculator can come from inside the model.</w:t>
      </w:r>
    </w:p>
    <w:p>
      <w:pPr>
        <w:pStyle w:val="BodyText"/>
      </w:pPr>
      <w:r>
        <w:t xml:space="preserve">That distinction matters because a normal tool route can solve the problem</w:t>
      </w:r>
      <w:r>
        <w:t xml:space="preserve"> </w:t>
      </w:r>
      <w:r>
        <w:t xml:space="preserve">without learning anything about model internals. Rune asks whether the model’s</w:t>
      </w:r>
      <w:r>
        <w:t xml:space="preserve"> </w:t>
      </w:r>
      <w:r>
        <w:t xml:space="preserve">residual stream already carries the calculation description, even when the</w:t>
      </w:r>
      <w:r>
        <w:t xml:space="preserve"> </w:t>
      </w:r>
      <w:r>
        <w:t xml:space="preserve">model’s own next-token answer would be wrong.</w:t>
      </w:r>
    </w:p>
    <w:p>
      <w:pPr>
        <w:pStyle w:val="CaptionedFigure"/>
      </w:pPr>
      <w:r>
        <w:drawing>
          <wp:inline>
            <wp:extent cx="3607495" cy="178704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ocx_figures/tikz_figure_0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495" cy="1787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Claim ladder for the same visible answer. Rune’s supported claim is</w:t>
      </w:r>
      <w:r>
        <w:t xml:space="preserve"> </w:t>
      </w:r>
      <w:r>
        <w:t xml:space="preserve">the highlighted activation-readout route: the calculator arguments come from</w:t>
      </w:r>
      <w:r>
        <w:t xml:space="preserve"> </w:t>
      </w:r>
      <w:r>
        <w:t xml:space="preserve">hidden vectors, not from prompt parsing or an already-known answer.</w:t>
      </w:r>
    </w:p>
    <w:bookmarkEnd w:id="16"/>
    <w:bookmarkStart w:id="24" w:name="the-matrix-body"/>
    <w:p>
      <w:pPr>
        <w:pStyle w:val="Heading1"/>
      </w:pPr>
      <w:r>
        <w:t xml:space="preserve">The Matrix Body</w:t>
      </w:r>
    </w:p>
    <w:p>
      <w:pPr>
        <w:pStyle w:val="FirstParagraph"/>
      </w:pPr>
      <w:r>
        <w:t xml:space="preserve">George Lakoff and Rafael N</w:t>
      </w:r>
      <w:r>
        <w:t xml:space="preserve">ú</w:t>
      </w:r>
      <w:r>
        <w:t xml:space="preserve">ñ</w:t>
      </w:r>
      <w:r>
        <w:t xml:space="preserve">ez argued that human mathematics is built</w:t>
      </w:r>
      <w:r>
        <w:t xml:space="preserve"> </w:t>
      </w:r>
      <w:r>
        <w:t xml:space="preserve">from embodied experience: grouping, moving, measuring, collecting, and</w:t>
      </w:r>
      <w:r>
        <w:t xml:space="preserve"> </w:t>
      </w:r>
      <w:r>
        <w:t xml:space="preserve">balancing </w:t>
      </w:r>
      <w:r>
        <w:t xml:space="preserve">(Lakoff and Núñez 2000)</w:t>
      </w:r>
      <w:r>
        <w:t xml:space="preserve">. A transformer has a different body. Its body is</w:t>
      </w:r>
      <w:r>
        <w:t xml:space="preserve"> </w:t>
      </w:r>
      <w:r>
        <w:t xml:space="preserve">matrices, residual streams, attention maps, and learned projections. If human</w:t>
      </w:r>
      <w:r>
        <w:t xml:space="preserve"> </w:t>
      </w:r>
      <w:r>
        <w:t xml:space="preserve">arithmetic can grow out of fingers and spatial metaphors, what kind of</w:t>
      </w:r>
      <w:r>
        <w:t xml:space="preserve"> </w:t>
      </w:r>
      <w:r>
        <w:t xml:space="preserve">arithmetic grows out of a matrix-only body?</w:t>
      </w:r>
    </w:p>
    <w:p>
      <w:pPr>
        <w:pStyle w:val="BodyText"/>
      </w:pPr>
      <w:r>
        <w:t xml:space="preserve">Recent mechanistic work suggests a geometric answer. Kantamneni and Tegmark</w:t>
      </w:r>
      <w:r>
        <w:t xml:space="preserve"> </w:t>
      </w:r>
      <w:r>
        <w:t xml:space="preserve">argued that language models can represent integers on generalized helices and</w:t>
      </w:r>
      <w:r>
        <w:t xml:space="preserve"> </w:t>
      </w:r>
      <w:r>
        <w:t xml:space="preserve">use trigonometric structure for addition </w:t>
      </w:r>
      <w:r>
        <w:t xml:space="preserve">(Kantamneni and Tegmark 2025)</w:t>
      </w:r>
      <w:r>
        <w:t xml:space="preserve">. Stolfo,</w:t>
      </w:r>
      <w:r>
        <w:t xml:space="preserve"> </w:t>
      </w:r>
      <w:r>
        <w:t xml:space="preserve">Belinkov, and Sachan used causal mediation analysis to study arithmetic</w:t>
      </w:r>
      <w:r>
        <w:t xml:space="preserve"> </w:t>
      </w:r>
      <w:r>
        <w:t xml:space="preserve">mechanisms in transformers </w:t>
      </w:r>
      <w:r>
        <w:t xml:space="preserve">(Stolfo et al. 2023)</w:t>
      </w:r>
      <w:r>
        <w:t xml:space="preserve">. Other work, including Nikankin</w:t>
      </w:r>
      <w:r>
        <w:t xml:space="preserve"> </w:t>
      </w:r>
      <w:r>
        <w:t xml:space="preserve">and colleagues’</w:t>
      </w:r>
      <w:r>
        <w:t xml:space="preserve"> </w:t>
      </w:r>
      <w:r>
        <w:t xml:space="preserve">“bag of heuristics”</w:t>
      </w:r>
      <w:r>
        <w:t xml:space="preserve"> </w:t>
      </w:r>
      <w:r>
        <w:t xml:space="preserve">account, warns that model arithmetic is</w:t>
      </w:r>
      <w:r>
        <w:t xml:space="preserve"> </w:t>
      </w:r>
      <w:r>
        <w:t xml:space="preserve">often not a clean schoolbook algorithm but a mixture of learned features and</w:t>
      </w:r>
      <w:r>
        <w:t xml:space="preserve"> </w:t>
      </w:r>
      <w:r>
        <w:t xml:space="preserve">prompt-sensitive heuristics </w:t>
      </w:r>
      <w:r>
        <w:t xml:space="preserve">(Nikankin et al. 2024)</w:t>
      </w:r>
      <w:r>
        <w:t xml:space="preserve">.</w:t>
      </w:r>
    </w:p>
    <w:p>
      <w:pPr>
        <w:pStyle w:val="BodyText"/>
      </w:pPr>
      <w:r>
        <w:t xml:space="preserve">Rune builds on that line rather than originating it. The contribution here is a</w:t>
      </w:r>
      <w:r>
        <w:t xml:space="preserve"> </w:t>
      </w:r>
      <w:r>
        <w:t xml:space="preserve">scoped reproduction-and-extension story around activation-derived tool</w:t>
      </w:r>
      <w:r>
        <w:t xml:space="preserve"> </w:t>
      </w:r>
      <w:r>
        <w:t xml:space="preserve">arguments, provenance controls, and resolution limits. We found Fourier-like</w:t>
      </w:r>
      <w:r>
        <w:t xml:space="preserve"> </w:t>
      </w:r>
      <w:r>
        <w:t xml:space="preserve">readouts and value-like states, but also brittleness, prompt sensitivity, and</w:t>
      </w:r>
      <w:r>
        <w:t xml:space="preserve"> </w:t>
      </w:r>
      <w:r>
        <w:t xml:space="preserve">failures that look less like a perfect algorithm than a finite-resolution</w:t>
      </w:r>
      <w:r>
        <w:t xml:space="preserve"> </w:t>
      </w:r>
      <w:r>
        <w:t xml:space="preserve">internal geometry.</w:t>
      </w:r>
    </w:p>
    <w:bookmarkStart w:id="23" w:name="a-vector-changes-as-the-model-reads"/>
    <w:p>
      <w:pPr>
        <w:pStyle w:val="Heading2"/>
      </w:pPr>
      <w:r>
        <w:t xml:space="preserve">A Vector Changes as the Model Reads</w:t>
      </w:r>
    </w:p>
    <w:p>
      <w:pPr>
        <w:pStyle w:val="FirstParagraph"/>
      </w:pPr>
      <w:r>
        <w:t xml:space="preserve">Imagine reading</w:t>
      </w:r>
      <w:r>
        <w:t xml:space="preserve"> </w:t>
      </w:r>
      <w:r>
        <w:rPr>
          <w:rStyle w:val="VerbatimChar"/>
        </w:rPr>
        <w:t xml:space="preserve">What is the gcd of 84 and 36?</w:t>
      </w:r>
      <w:r>
        <w:t xml:space="preserve"> </w:t>
      </w:r>
      <w:r>
        <w:t xml:space="preserve">one token at a time. The</w:t>
      </w:r>
      <w:r>
        <w:t xml:space="preserve"> </w:t>
      </w:r>
      <w:r>
        <w:t xml:space="preserve">model does not create neat variables named</w:t>
      </w:r>
      <w:r>
        <w:t xml:space="preserve"> </w:t>
      </w:r>
      <w:r>
        <w:rPr>
          <w:rStyle w:val="VerbatimChar"/>
        </w:rPr>
        <w:t xml:space="preserve">operand_a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operand_b</w:t>
      </w:r>
      <w:r>
        <w:t xml:space="preserve">. Each token position carries a long vector. As the prompt</w:t>
      </w:r>
      <w:r>
        <w:t xml:space="preserve"> </w:t>
      </w:r>
      <w:r>
        <w:t xml:space="preserve">passes through transformer layers, those vectors are updated repeatedly. Some</w:t>
      </w:r>
      <w:r>
        <w:t xml:space="preserve"> </w:t>
      </w:r>
      <w:r>
        <w:t xml:space="preserve">updates move information across positions: the token for</w:t>
      </w:r>
      <w:r>
        <w:t xml:space="preserve"> </w:t>
      </w:r>
      <w:r>
        <w:rPr>
          <w:rStyle w:val="VerbatimChar"/>
        </w:rPr>
        <w:t xml:space="preserve">36</w:t>
      </w:r>
      <w:r>
        <w:t xml:space="preserve"> </w:t>
      </w:r>
      <w:r>
        <w:t xml:space="preserve">can affect</w:t>
      </w:r>
      <w:r>
        <w:t xml:space="preserve"> </w:t>
      </w:r>
      <w:r>
        <w:t xml:space="preserve">the state near the answer position. Other updates reshape the local state: a</w:t>
      </w:r>
      <w:r>
        <w:t xml:space="preserve"> </w:t>
      </w:r>
      <w:r>
        <w:t xml:space="preserve">direction in the vector may become more gcd-like, more operand-like, or more</w:t>
      </w:r>
      <w:r>
        <w:t xml:space="preserve"> </w:t>
      </w:r>
      <w:r>
        <w:t xml:space="preserve">answer-like.</w:t>
      </w:r>
    </w:p>
    <w:p>
      <w:pPr>
        <w:pStyle w:val="BodyText"/>
      </w:pPr>
      <w:r>
        <w:t xml:space="preserve">The terms are less exotic in context. A token is one unit the model reads or</w:t>
      </w:r>
      <w:r>
        <w:t xml:space="preserve"> </w:t>
      </w:r>
      <w:r>
        <w:t xml:space="preserve">prints; for numbers it may be a chunk of digits rather than a full integer. The</w:t>
      </w:r>
      <w:r>
        <w:t xml:space="preserve"> </w:t>
      </w:r>
      <w:r>
        <w:t xml:space="preserve">activation is the temporary vector at a token position. The residual stream is</w:t>
      </w:r>
      <w:r>
        <w:t xml:space="preserve"> </w:t>
      </w:r>
      <w:r>
        <w:t xml:space="preserve">the running vector passed from layer to layer, a shared scratchpad without named</w:t>
      </w:r>
      <w:r>
        <w:t xml:space="preserve"> </w:t>
      </w:r>
      <w:r>
        <w:t xml:space="preserve">variables. Attention lets one position gather information from others; the MLP,</w:t>
      </w:r>
      <w:r>
        <w:t xml:space="preserve"> </w:t>
      </w:r>
      <w:r>
        <w:t xml:space="preserve">or feed-forward block, then reshapes that position’s vector locally. At the end,</w:t>
      </w:r>
      <w:r>
        <w:t xml:space="preserve"> </w:t>
      </w:r>
      <w:r>
        <w:t xml:space="preserve">logits score possible next tokens.</w:t>
      </w:r>
    </w:p>
    <w:p>
      <w:pPr>
        <w:pStyle w:val="BodyText"/>
      </w:pPr>
      <w:r>
        <w:t xml:space="preserve">This is why readouts and patches are possible at all. If operation and operands</w:t>
      </w:r>
      <w:r>
        <w:t xml:space="preserve"> </w:t>
      </w:r>
      <w:r>
        <w:t xml:space="preserve">leave traces in the residual stream, a small readout may recover them. If a</w:t>
      </w:r>
      <w:r>
        <w:t xml:space="preserve"> </w:t>
      </w:r>
      <w:r>
        <w:t xml:space="preserve">state really matters, a patch may change behavior. If a state is writable, an</w:t>
      </w:r>
      <w:r>
        <w:t xml:space="preserve"> </w:t>
      </w:r>
      <w:r>
        <w:t xml:space="preserve">intervention may guide the model. But those are increasingly strong claims, and</w:t>
      </w:r>
      <w:r>
        <w:t xml:space="preserve"> </w:t>
      </w:r>
      <w:r>
        <w:t xml:space="preserve">the vector itself does not label which claim is true.</w:t>
      </w:r>
    </w:p>
    <w:p>
      <w:pPr>
        <w:pStyle w:val="CaptionedFigure"/>
      </w:pPr>
      <w:r>
        <w:drawing>
          <wp:inline>
            <wp:extent cx="2951967" cy="173276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ocx_figures/tikz_figure_0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967" cy="1732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residual stream is a running vector, not a named variable table.</w:t>
      </w:r>
      <w:r>
        <w:t xml:space="preserve"> </w:t>
      </w:r>
      <w:r>
        <w:t xml:space="preserve">Attention can move operand information across positions; the MLP reshapes the</w:t>
      </w:r>
      <w:r>
        <w:t xml:space="preserve"> </w:t>
      </w:r>
      <w:r>
        <w:t xml:space="preserve">local vector; a readout asks whether facts such as</w:t>
      </w:r>
      <w:r>
        <w:t xml:space="preserve"> </w:t>
      </w:r>
      <w:r>
        <w:rPr>
          <w:rStyle w:val="VerbatimChar"/>
        </w:rPr>
        <w:t xml:space="preserve">gcd, 84, 36</w:t>
      </w:r>
      <w:r>
        <w:t xml:space="preserve"> </w:t>
      </w:r>
      <w:r>
        <w:t xml:space="preserve">are</w:t>
      </w:r>
      <w:r>
        <w:t xml:space="preserve"> </w:t>
      </w:r>
      <w:r>
        <w:t xml:space="preserve">recoverable from that state.</w:t>
      </w:r>
    </w:p>
    <w:p>
      <w:pPr>
        <w:pStyle w:val="CaptionedFigure"/>
      </w:pPr>
      <w:r>
        <w:drawing>
          <wp:inline>
            <wp:extent cx="5334000" cy="306513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operand_fourier_readout_heat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5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Operand readouts are one way to ask whether number-like information</w:t>
      </w:r>
      <w:r>
        <w:t xml:space="preserve"> </w:t>
      </w:r>
      <w:r>
        <w:t xml:space="preserve">is present in activations. A readout can show information is recoverable; it</w:t>
      </w:r>
      <w:r>
        <w:t xml:space="preserve"> </w:t>
      </w:r>
      <w:r>
        <w:t xml:space="preserve">does not by itself prove the model used that information to compute.</w:t>
      </w:r>
    </w:p>
    <w:bookmarkEnd w:id="23"/>
    <w:bookmarkEnd w:id="24"/>
    <w:bookmarkStart w:id="40" w:name="next-token-pressure"/>
    <w:p>
      <w:pPr>
        <w:pStyle w:val="Heading1"/>
      </w:pPr>
      <w:r>
        <w:t xml:space="preserve">Next-Token Pressure</w:t>
      </w:r>
    </w:p>
    <w:p>
      <w:pPr>
        <w:pStyle w:val="FirstParagraph"/>
      </w:pPr>
      <w:r>
        <w:t xml:space="preserve">Next-token prediction changes the arithmetic problem. A human doing subtraction</w:t>
      </w:r>
      <w:r>
        <w:t xml:space="preserve"> </w:t>
      </w:r>
      <w:r>
        <w:t xml:space="preserve">on paper usually works from the least significant digit toward the left: units</w:t>
      </w:r>
      <w:r>
        <w:t xml:space="preserve"> </w:t>
      </w:r>
      <w:r>
        <w:t xml:space="preserve">first, then tens, then hundreds, carrying or borrowing as needed. A language</w:t>
      </w:r>
      <w:r>
        <w:t xml:space="preserve"> </w:t>
      </w:r>
      <w:r>
        <w:t xml:space="preserve">model must emit text from left to right. For the answer</w:t>
      </w:r>
      <w:r>
        <w:t xml:space="preserve"> </w:t>
      </w:r>
      <w:r>
        <w:rPr>
          <w:rStyle w:val="VerbatimChar"/>
        </w:rPr>
        <w:t xml:space="preserve">15696</w:t>
      </w:r>
      <w:r>
        <w:t xml:space="preserve">, it must</w:t>
      </w:r>
      <w:r>
        <w:t xml:space="preserve"> </w:t>
      </w:r>
      <w:r>
        <w:t xml:space="preserve">commit to the visible prefix before the suffix exists. In tokenized form, the</w:t>
      </w:r>
      <w:r>
        <w:t xml:space="preserve"> </w:t>
      </w:r>
      <w:r>
        <w:t xml:space="preserve">answer may come out as chunks like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696</w:t>
      </w:r>
      <w:r>
        <w:t xml:space="preserve">. The model is</w:t>
      </w:r>
      <w:r>
        <w:t xml:space="preserve"> </w:t>
      </w:r>
      <w:r>
        <w:t xml:space="preserve">not filling in a scratch sheet from right to left; it is walking forward through</w:t>
      </w:r>
      <w:r>
        <w:t xml:space="preserve"> </w:t>
      </w:r>
      <w:r>
        <w:t xml:space="preserve">the string.</w:t>
      </w:r>
    </w:p>
    <w:p>
      <w:pPr>
        <w:pStyle w:val="CaptionedFigure"/>
      </w:pPr>
      <w:r>
        <w:drawing>
          <wp:inline>
            <wp:extent cx="2951967" cy="82254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ocx_figures/tikz_figure_0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967" cy="822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Humans can compute from the rightmost digit and write the answer</w:t>
      </w:r>
      <w:r>
        <w:t xml:space="preserve"> </w:t>
      </w:r>
      <w:r>
        <w:t xml:space="preserve">later. A next-token model must emit the visible prefix first. That makes</w:t>
      </w:r>
      <w:r>
        <w:t xml:space="preserve"> </w:t>
      </w:r>
      <w:r>
        <w:t xml:space="preserve">numeric rendering a separate pressure from internal arithmetic.</w:t>
      </w:r>
    </w:p>
    <w:p>
      <w:pPr>
        <w:pStyle w:val="BodyText"/>
      </w:pPr>
      <w:r>
        <w:t xml:space="preserve">That left-to-right constraint creates a rendering problem separate from the</w:t>
      </w:r>
      <w:r>
        <w:t xml:space="preserve"> </w:t>
      </w:r>
      <w:r>
        <w:t xml:space="preserve">arithmetic problem. The model may have partial information about the answer but</w:t>
      </w:r>
      <w:r>
        <w:t xml:space="preserve"> </w:t>
      </w:r>
      <w:r>
        <w:t xml:space="preserve">still lose precision as it emits longer strings. In Rune’s subtraction scaling</w:t>
      </w:r>
      <w:r>
        <w:t xml:space="preserve"> </w:t>
      </w:r>
      <w:r>
        <w:t xml:space="preserve">experiment, exact greedy generation stayed at 96.7 percent for 6-digit</w:t>
      </w:r>
      <w:r>
        <w:t xml:space="preserve"> </w:t>
      </w:r>
      <w:r>
        <w:t xml:space="preserve">subtraction, fell to 63.3 percent at 10 digits, reached 53.3 percent at 13</w:t>
      </w:r>
      <w:r>
        <w:t xml:space="preserve"> </w:t>
      </w:r>
      <w:r>
        <w:t xml:space="preserve">digits, and crossed below 50 percent at 14 digits. At 24 digits it was down to</w:t>
      </w:r>
      <w:r>
        <w:t xml:space="preserve"> </w:t>
      </w:r>
      <w:r>
        <w:t xml:space="preserve">6.7 percent.</w:t>
      </w:r>
    </w:p>
    <w:p>
      <w:pPr>
        <w:pStyle w:val="BodyText"/>
      </w:pPr>
      <w:r>
        <w:t xml:space="preserve">A separate counting experiment made the same pressure visible in a simpler</w:t>
      </w:r>
      <w:r>
        <w:t xml:space="preserve"> </w:t>
      </w:r>
      <w:r>
        <w:t xml:space="preserve">setting. The model saw runs of large consecutive numbers and had to print the</w:t>
      </w:r>
      <w:r>
        <w:t xml:space="preserve"> </w:t>
      </w:r>
      <w:r>
        <w:t xml:space="preserve">next one. An easy case simply advances the last chunk. A deep-carry case must</w:t>
      </w:r>
      <w:r>
        <w:t xml:space="preserve"> </w:t>
      </w:r>
      <w:r>
        <w:t xml:space="preserve">change multiple chunks at once. Cases like this collapsed; the best deep-carry</w:t>
      </w:r>
      <w:r>
        <w:t xml:space="preserve"> </w:t>
      </w:r>
      <w:r>
        <w:t xml:space="preserve">cell reached only 18.75 percent accuracy, and the dominant error was</w:t>
      </w:r>
      <w:r>
        <w:t xml:space="preserve"> </w:t>
      </w:r>
      <w:r>
        <w:t xml:space="preserve">stuck-copy.</w:t>
      </w:r>
    </w:p>
    <w:p>
      <w:pPr>
        <w:pStyle w:val="CaptionedFigure"/>
      </w:pPr>
      <w:r>
        <w:drawing>
          <wp:inline>
            <wp:extent cx="1728591" cy="179539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ocx_figures/tikz_figure_0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591" cy="1795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counting experiment exposed the same left-to-right pressure in</w:t>
      </w:r>
      <w:r>
        <w:t xml:space="preserve"> </w:t>
      </w:r>
      <w:r>
        <w:t xml:space="preserve">token chunks. The easy case edits one final chunk; the hard case must update</w:t>
      </w:r>
      <w:r>
        <w:t xml:space="preserve"> </w:t>
      </w:r>
      <w:r>
        <w:t xml:space="preserve">several chunks before the model has printed them.</w:t>
      </w:r>
    </w:p>
    <w:bookmarkStart w:id="31" w:name="tab:counting"/>
    <w:p>
      <w:pPr>
        <w:pStyle w:val="TableCaption"/>
      </w:pPr>
      <w:r>
        <w:t xml:space="preserve">Counting continuation example. The model tokenizer splits the</w:t>
      </w:r>
      <w:r>
        <w:t xml:space="preserve"> </w:t>
      </w:r>
      <w:r>
        <w:t xml:space="preserve">visible number into chunks; the hard case requires a carry across two chunk</w:t>
      </w:r>
      <w:r>
        <w:t xml:space="preserve"> </w:t>
      </w:r>
      <w:r>
        <w:t xml:space="preserve">boundaries.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unting continuation example. The model tokenizer splits the visible number into chunks; the hard case requires a carry across two chunk boundari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 next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314 | 582 | 706 | 123 | 453 -&gt; 314 | 582 | 706 | 123 | 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carry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314 | 582 | 706 | 999 | 999 -&gt; 314 | 582 | 707 | 000 |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Stuck-copy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314 | 582 | 706 | 999 | 999 -&gt; 314 | 582 | 706 | 999 | 999</w:t>
            </w:r>
          </w:p>
        </w:tc>
      </w:tr>
    </w:tbl>
    <w:bookmarkEnd w:id="31"/>
    <w:p>
      <w:pPr>
        <w:pStyle w:val="CaptionedFigure"/>
      </w:pPr>
      <w:r>
        <w:drawing>
          <wp:inline>
            <wp:extent cx="5334000" cy="169137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empirical_helix_resolution_sub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1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Empirical helix-resolution evidence for multi-chunk subtraction.</w:t>
      </w:r>
      <w:r>
        <w:t xml:space="preserve"> </w:t>
      </w:r>
      <w:r>
        <w:t xml:space="preserve">Longer answers remain partly readable, but adjacent chunk subspaces become</w:t>
      </w:r>
      <w:r>
        <w:t xml:space="preserve"> </w:t>
      </w:r>
      <w:r>
        <w:t xml:space="preserve">more crowded and less forgiving.</w:t>
      </w:r>
    </w:p>
    <w:p>
      <w:pPr>
        <w:pStyle w:val="BodyText"/>
      </w:pPr>
      <w:r>
        <w:t xml:space="preserve">The helix-resolution experiments gave a more mechanistic picture of that</w:t>
      </w:r>
      <w:r>
        <w:t xml:space="preserve"> </w:t>
      </w:r>
      <w:r>
        <w:t xml:space="preserve">boundary. For 12-digit subtraction answers split into four 3-digit chunks, each</w:t>
      </w:r>
      <w:r>
        <w:t xml:space="preserve"> </w:t>
      </w:r>
      <w:r>
        <w:t xml:space="preserve">chunk remained strongly phase-decodable at layer 31: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was about 0.96 for</w:t>
      </w:r>
      <w:r>
        <w:t xml:space="preserve"> </w:t>
      </w:r>
      <w:r>
        <w:t xml:space="preserve">chunk 1 and about 0.92 for chunk 4. So the signal did not simply vanish. The</w:t>
      </w:r>
      <w:r>
        <w:t xml:space="preserve"> </w:t>
      </w:r>
      <w:r>
        <w:t xml:space="preserve">subtler finding was crowding. Adjacent chunk readout subspaces were not cleanly</w:t>
      </w:r>
      <w:r>
        <w:t xml:space="preserve"> </w:t>
      </w:r>
      <w:r>
        <w:t xml:space="preserve">orthogonal; the minimum principal angle dropped as low as 66 degrees. In a</w:t>
      </w:r>
      <w:r>
        <w:t xml:space="preserve"> </w:t>
      </w:r>
      <w:r>
        <w:t xml:space="preserve">14-digit, five-chunk follow-up, chunks 2–4 lost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adjacent angles</w:t>
      </w:r>
      <w:r>
        <w:t xml:space="preserve"> </w:t>
      </w:r>
      <w:r>
        <w:t xml:space="preserve">tightened further, for example c3–c4 went from 67.4 degrees to 58.8 degrees.</w:t>
      </w:r>
      <w:r>
        <w:t xml:space="preserve"> </w:t>
      </w:r>
      <w:r>
        <w:t xml:space="preserve">Two of three preregistered crowding predictions passed.</w:t>
      </w:r>
    </w:p>
    <w:p>
      <w:pPr>
        <w:pStyle w:val="BodyText"/>
      </w:pPr>
      <w:r>
        <w:t xml:space="preserve">So</w:t>
      </w:r>
      <w:r>
        <w:t xml:space="preserve"> </w:t>
      </w:r>
      <w:r>
        <w:t xml:space="preserve">“the helix gets saturated”</w:t>
      </w:r>
      <w:r>
        <w:t xml:space="preserve"> </w:t>
      </w:r>
      <w:r>
        <w:t xml:space="preserve">is too crude, but</w:t>
      </w:r>
      <w:r>
        <w:t xml:space="preserve"> </w:t>
      </w:r>
      <w:r>
        <w:t xml:space="preserve">“there is a resolution</w:t>
      </w:r>
      <w:r>
        <w:t xml:space="preserve"> </w:t>
      </w:r>
      <w:r>
        <w:t xml:space="preserve">budget”</w:t>
      </w:r>
      <w:r>
        <w:t xml:space="preserve"> </w:t>
      </w:r>
      <w:r>
        <w:t xml:space="preserve">is fair. Longer answers still live in readable geometry, but the</w:t>
      </w:r>
      <w:r>
        <w:t xml:space="preserve"> </w:t>
      </w:r>
      <w:r>
        <w:t xml:space="preserve">geometry becomes more crowded and less forgiving.</w:t>
      </w:r>
    </w:p>
    <w:bookmarkStart w:id="35" w:name="tab:digitscaling"/>
    <w:p>
      <w:pPr>
        <w:pStyle w:val="TableCaption"/>
      </w:pPr>
      <w:r>
        <w:t xml:space="preserve">Subtraction exact-match rate by answer digit count. Source:</w:t>
      </w:r>
      <w:r>
        <w:t xml:space="preserve"> </w:t>
      </w:r>
      <w:r>
        <w:rPr>
          <w:rStyle w:val="VerbatimChar"/>
        </w:rPr>
        <w:t xml:space="preserve">cd_e10_operand_scaling</w:t>
      </w:r>
      <w:r>
        <w:t xml:space="preserve">, 30 greedy generations per digit band.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btraction exact-match rate by answer digit count. Source: cd_e10_operand_scaling, 30 greedy generations per digit ban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Digits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Prefix correct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edit distance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8.77</w:t>
            </w:r>
          </w:p>
        </w:tc>
      </w:tr>
    </w:tbl>
    <w:bookmarkEnd w:id="35"/>
    <w:bookmarkStart w:id="36" w:name="tab:chunkangles"/>
    <w:p>
      <w:pPr>
        <w:pStyle w:val="TableCaption"/>
      </w:pPr>
      <w:r>
        <w:t xml:space="preserve">Adjacent chunk subspace angles tightened in the 14-digit follow-up.</w:t>
      </w:r>
      <w:r>
        <w:t xml:space="preserve"> </w:t>
      </w:r>
      <w:r>
        <w:t xml:space="preserve">Smaller angles mean less separation between nearby readout directions.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djacent chunk subspace angles tightened in the 14-digit follow-up. Smaller angles mean less separation between nearby readout direction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Chunk 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12-digit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14-digit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c1–c2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71.3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65.3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c2–c3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60.2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c3–c4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67.4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58.8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</w:tbl>
    <w:bookmarkEnd w:id="36"/>
    <w:p>
      <w:pPr>
        <w:pStyle w:val="CaptionedFigure"/>
      </w:pPr>
      <w:r>
        <w:drawing>
          <wp:inline>
            <wp:extent cx="2814180" cy="143631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ocx_figures/tikz_figure_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180" cy="1436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Crowding is a geometric resolution problem. In the experiments this</w:t>
      </w:r>
      <w:r>
        <w:t xml:space="preserve"> </w:t>
      </w:r>
      <w:r>
        <w:t xml:space="preserve">was measured with principal angles between chunk readout subspaces; the</w:t>
      </w:r>
      <w:r>
        <w:t xml:space="preserve"> </w:t>
      </w:r>
      <w:r>
        <w:t xml:space="preserve">drawing is only a visual guide to what smaller angles mean.</w:t>
      </w:r>
    </w:p>
    <w:bookmarkEnd w:id="40"/>
    <w:bookmarkStart w:id="41" w:name="what-failed-usefully"/>
    <w:p>
      <w:pPr>
        <w:pStyle w:val="Heading1"/>
      </w:pPr>
      <w:r>
        <w:t xml:space="preserve">What Failed Usefully</w:t>
      </w:r>
    </w:p>
    <w:p>
      <w:pPr>
        <w:pStyle w:val="FirstParagraph"/>
      </w:pPr>
      <w:r>
        <w:t xml:space="preserve">At first, this looked like a path toward the compiler dream. If we could write</w:t>
      </w:r>
      <w:r>
        <w:t xml:space="preserve"> </w:t>
      </w:r>
      <w:r>
        <w:t xml:space="preserve">the right answer state into the model, perhaps the model would continue from</w:t>
      </w:r>
      <w:r>
        <w:t xml:space="preserve"> </w:t>
      </w:r>
      <w:r>
        <w:t xml:space="preserve">there.</w:t>
      </w:r>
    </w:p>
    <w:p>
      <w:pPr>
        <w:pStyle w:val="BodyText"/>
      </w:pPr>
      <w:r>
        <w:t xml:space="preserve">The evidence sharpened that hope into something more modest. Making a model</w:t>
      </w:r>
      <w:r>
        <w:t xml:space="preserve"> </w:t>
      </w:r>
      <w:r>
        <w:t xml:space="preserve">emit a known answer is not the same as making the model compute. If the</w:t>
      </w:r>
      <w:r>
        <w:t xml:space="preserve"> </w:t>
      </w:r>
      <w:r>
        <w:t xml:space="preserve">experiment already knows the answer, and then uses that answer to choose a</w:t>
      </w:r>
      <w:r>
        <w:t xml:space="preserve"> </w:t>
      </w:r>
      <w:r>
        <w:t xml:space="preserve">steering vector, it has measured the model’s ability to render a supplied</w:t>
      </w:r>
      <w:r>
        <w:t xml:space="preserve"> </w:t>
      </w:r>
      <w:r>
        <w:t xml:space="preserve">value. That is useful, but it is not arithmetic understanding, and it is not an</w:t>
      </w:r>
      <w:r>
        <w:t xml:space="preserve"> </w:t>
      </w:r>
      <w:r>
        <w:t xml:space="preserve">honest deployment pipeline.</w:t>
      </w:r>
    </w:p>
    <w:p>
      <w:pPr>
        <w:pStyle w:val="BodyText"/>
      </w:pPr>
      <w:r>
        <w:t xml:space="preserve">This was one of the first major lessons: token rendering can masquerade as</w:t>
      </w:r>
      <w:r>
        <w:t xml:space="preserve"> </w:t>
      </w:r>
      <w:r>
        <w:t xml:space="preserve">computation.</w:t>
      </w:r>
    </w:p>
    <w:p>
      <w:pPr>
        <w:pStyle w:val="BodyText"/>
      </w:pPr>
      <w:r>
        <w:t xml:space="preserve">The residual-write story also became clearer. We tried to write corrected</w:t>
      </w:r>
      <w:r>
        <w:t xml:space="preserve"> </w:t>
      </w:r>
      <w:r>
        <w:t xml:space="preserve">answer information into the model’s residual stream and let it continue. For</w:t>
      </w:r>
      <w:r>
        <w:t xml:space="preserve"> </w:t>
      </w:r>
      <w:r>
        <w:t xml:space="preserve">the tested single-site writes, residual interventions had no accuracy advantage</w:t>
      </w:r>
      <w:r>
        <w:t xml:space="preserve"> </w:t>
      </w:r>
      <w:r>
        <w:t xml:space="preserve">over simpler token or logit correction. Worse, they disturbed surrounding</w:t>
      </w:r>
      <w:r>
        <w:t xml:space="preserve"> </w:t>
      </w:r>
      <w:r>
        <w:t xml:space="preserve">behavior more. That did not prove residual replacement is impossible. It proved</w:t>
      </w:r>
      <w:r>
        <w:t xml:space="preserve"> </w:t>
      </w:r>
      <w:r>
        <w:t xml:space="preserve">something more practical: a readable variable is not necessarily a writable</w:t>
      </w:r>
      <w:r>
        <w:t xml:space="preserve"> </w:t>
      </w:r>
      <w:r>
        <w:t xml:space="preserve">register.</w:t>
      </w:r>
    </w:p>
    <w:p>
      <w:pPr>
        <w:pStyle w:val="BodyText"/>
      </w:pPr>
      <w:r>
        <w:t xml:space="preserve">Mechanistic interpretability often celebrates reading: decode a concept,</w:t>
      </w:r>
      <w:r>
        <w:t xml:space="preserve"> </w:t>
      </w:r>
      <w:r>
        <w:t xml:space="preserve">localize a feature, find a direction. Sparse autoencoders and dictionary</w:t>
      </w:r>
      <w:r>
        <w:t xml:space="preserve"> </w:t>
      </w:r>
      <w:r>
        <w:t xml:space="preserve">learning are one important approach to naming such features in dense activation</w:t>
      </w:r>
      <w:r>
        <w:t xml:space="preserve"> </w:t>
      </w:r>
      <w:r>
        <w:t xml:space="preserve">spaces </w:t>
      </w:r>
      <w:r>
        <w:t xml:space="preserve">(Bricken et al. 2023; Cunningham et al. 2023)</w:t>
      </w:r>
      <w:r>
        <w:t xml:space="preserve">. Activation patching is one common way</w:t>
      </w:r>
      <w:r>
        <w:t xml:space="preserve"> </w:t>
      </w:r>
      <w:r>
        <w:t xml:space="preserve">to move from readout toward causal evidence, but patching methodology has its</w:t>
      </w:r>
      <w:r>
        <w:t xml:space="preserve"> </w:t>
      </w:r>
      <w:r>
        <w:t xml:space="preserve">own pitfalls and metric choices </w:t>
      </w:r>
      <w:r>
        <w:t xml:space="preserve">(Zhang and Nanda 2024)</w:t>
      </w:r>
      <w:r>
        <w:t xml:space="preserve">. Engineering wants an</w:t>
      </w:r>
      <w:r>
        <w:t xml:space="preserve"> </w:t>
      </w:r>
      <w:r>
        <w:t xml:space="preserve">even stronger property: change the state, preserve behavior, continue</w:t>
      </w:r>
      <w:r>
        <w:t xml:space="preserve"> </w:t>
      </w:r>
      <w:r>
        <w:t xml:space="preserve">execution. Those are different problems.</w:t>
      </w:r>
    </w:p>
    <w:bookmarkEnd w:id="41"/>
    <w:bookmarkStart w:id="45" w:name="the-inspection-toolbox"/>
    <w:p>
      <w:pPr>
        <w:pStyle w:val="Heading1"/>
      </w:pPr>
      <w:r>
        <w:t xml:space="preserve">The Inspection Toolbox</w:t>
      </w:r>
    </w:p>
    <w:p>
      <w:pPr>
        <w:pStyle w:val="FirstParagraph"/>
      </w:pPr>
      <w:r>
        <w:t xml:space="preserve">Most of Rune was not one big experiment. It was a toolbox applied repeatedly,</w:t>
      </w:r>
      <w:r>
        <w:t xml:space="preserve"> </w:t>
      </w:r>
      <w:r>
        <w:t xml:space="preserve">with stricter controls each time. The tools are useful, but each answers a</w:t>
      </w:r>
      <w:r>
        <w:t xml:space="preserve"> </w:t>
      </w:r>
      <w:r>
        <w:t xml:space="preserve">different question.</w:t>
      </w:r>
    </w:p>
    <w:p>
      <w:pPr>
        <w:pStyle w:val="BodyText"/>
      </w:pPr>
      <w:r>
        <w:t xml:space="preserve">This is why the article keeps distinguishing readout, causality, and writable</w:t>
      </w:r>
      <w:r>
        <w:t xml:space="preserve"> </w:t>
      </w:r>
      <w:r>
        <w:t xml:space="preserve">replacement. A probe asks,</w:t>
      </w:r>
      <w:r>
        <w:t xml:space="preserve"> </w:t>
      </w:r>
      <w:r>
        <w:t xml:space="preserve">“Can I read something?”</w:t>
      </w:r>
      <w:r>
        <w:t xml:space="preserve"> </w:t>
      </w:r>
      <w:r>
        <w:t xml:space="preserve">An SAE asks,</w:t>
      </w:r>
      <w:r>
        <w:t xml:space="preserve"> </w:t>
      </w:r>
      <w:r>
        <w:t xml:space="preserve">“Can I name</w:t>
      </w:r>
      <w:r>
        <w:t xml:space="preserve"> </w:t>
      </w:r>
      <w:r>
        <w:t xml:space="preserve">the parts?”</w:t>
      </w:r>
      <w:r>
        <w:t xml:space="preserve"> </w:t>
      </w:r>
      <w:r>
        <w:t xml:space="preserve">A patch asks,</w:t>
      </w:r>
      <w:r>
        <w:t xml:space="preserve"> </w:t>
      </w:r>
      <w:r>
        <w:t xml:space="preserve">“Does this part matter?”</w:t>
      </w:r>
      <w:r>
        <w:t xml:space="preserve"> </w:t>
      </w:r>
      <w:r>
        <w:t xml:space="preserve">Steering asks,</w:t>
      </w:r>
      <w:r>
        <w:t xml:space="preserve"> </w:t>
      </w:r>
      <w:r>
        <w:t xml:space="preserve">“What</w:t>
      </w:r>
      <w:r>
        <w:t xml:space="preserve"> </w:t>
      </w:r>
      <w:r>
        <w:t xml:space="preserve">happens if I push it?”</w:t>
      </w:r>
      <w:r>
        <w:t xml:space="preserve"> </w:t>
      </w:r>
      <w:r>
        <w:t xml:space="preserve">Confusing those questions is how interpretability</w:t>
      </w:r>
      <w:r>
        <w:t xml:space="preserve"> </w:t>
      </w:r>
      <w:r>
        <w:t xml:space="preserve">experiments accidentally overclaim.</w:t>
      </w:r>
    </w:p>
    <w:p>
      <w:pPr>
        <w:pStyle w:val="CaptionedFigure"/>
      </w:pPr>
      <w:r>
        <w:drawing>
          <wp:inline>
            <wp:extent cx="4254673" cy="227556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ocx_figures/tikz_figure_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673" cy="227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activation can be inspected in different ways. The tools do</w:t>
      </w:r>
      <w:r>
        <w:t xml:space="preserve"> </w:t>
      </w:r>
      <w:r>
        <w:t xml:space="preserve">not make the same claim: readout, feature naming, causal testing, and steering</w:t>
      </w:r>
      <w:r>
        <w:t xml:space="preserve"> </w:t>
      </w:r>
      <w:r>
        <w:t xml:space="preserve">are different standards of evidence.</w:t>
      </w:r>
    </w:p>
    <w:bookmarkEnd w:id="45"/>
    <w:bookmarkStart w:id="52" w:name="the-route-that-survived"/>
    <w:p>
      <w:pPr>
        <w:pStyle w:val="Heading1"/>
      </w:pPr>
      <w:r>
        <w:t xml:space="preserve">The Route That Survived</w:t>
      </w:r>
    </w:p>
    <w:p>
      <w:pPr>
        <w:pStyle w:val="FirstParagraph"/>
      </w:pPr>
      <w:r>
        <w:t xml:space="preserve">The final system used activation-only gates and operand readouts. It had to</w:t>
      </w:r>
      <w:r>
        <w:t xml:space="preserve"> </w:t>
      </w:r>
      <w:r>
        <w:t xml:space="preserve">decide when an arithmetic route was safe to fire, identify the operation,</w:t>
      </w:r>
      <w:r>
        <w:t xml:space="preserve"> </w:t>
      </w:r>
      <w:r>
        <w:t xml:space="preserve">identify the operand pair, and then call Python only after the decoded tuple was</w:t>
      </w:r>
      <w:r>
        <w:t xml:space="preserve"> </w:t>
      </w:r>
      <w:r>
        <w:t xml:space="preserve">formed. The result was evaluated on frozen benchmark slices, with thresholds</w:t>
      </w:r>
      <w:r>
        <w:t xml:space="preserve"> </w:t>
      </w:r>
      <w:r>
        <w:t xml:space="preserve">locked and provenance tracked.</w:t>
      </w:r>
    </w:p>
    <w:p>
      <w:pPr>
        <w:pStyle w:val="CaptionedFigure"/>
      </w:pPr>
      <w:r>
        <w:drawing>
          <wp:inline>
            <wp:extent cx="4271375" cy="206261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ocx_figures/tikz_figure_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375" cy="2062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surviving route is activation-derived tool use. The calculator is</w:t>
      </w:r>
      <w:r>
        <w:t xml:space="preserve"> </w:t>
      </w:r>
      <w:r>
        <w:t xml:space="preserve">ordinary; the provenance question is whether its arguments came from hidden</w:t>
      </w:r>
      <w:r>
        <w:t xml:space="preserve"> </w:t>
      </w:r>
      <w:r>
        <w:t xml:space="preserve">state rather than forbidden prompt-derived fields.</w:t>
      </w:r>
    </w:p>
    <w:bookmarkStart w:id="49" w:name="tab:broad"/>
    <w:p>
      <w:pPr>
        <w:pStyle w:val="TableCaption"/>
      </w:pPr>
      <w:r>
        <w:t xml:space="preserve">Broad frozen arithmetic/adversarial cross-seed aggregate on</w:t>
      </w:r>
      <w:r>
        <w:t xml:space="preserve"> </w:t>
      </w:r>
      <w:r>
        <w:t xml:space="preserve">Llama-3.1-8B. Lift is exact-answer improvement over the model’s native</w:t>
      </w:r>
      <w:r>
        <w:t xml:space="preserve"> </w:t>
      </w:r>
      <w:r>
        <w:t xml:space="preserve">answer on target prompts. False-fire is the rate of unwanted calculator calls</w:t>
      </w:r>
      <w:r>
        <w:t xml:space="preserve"> </w:t>
      </w:r>
      <w:r>
        <w:t xml:space="preserve">on prompts where the route should stay silent.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road frozen arithmetic/adversarial cross-seed aggregate on Llama-3.1-8B. Lift is exact-answer improvement over the model’s native answer on target prompts. False-fire is the rate of unwanted calculator calls on prompts where the route should stay silen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False-fire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division with remainder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bookmarkEnd w:id="49"/>
    <w:p>
      <w:pPr>
        <w:pStyle w:val="BodyText"/>
      </w:pPr>
      <w:r>
        <w:t xml:space="preserve">On a broad benchmark with the Llama weights kept frozen, the route passed across</w:t>
      </w:r>
      <w:r>
        <w:t xml:space="preserve"> </w:t>
      </w:r>
      <w:r>
        <w:t xml:space="preserve">four operations: multiplication, division with remainder, gcd, and lcm. Here</w:t>
      </w:r>
      <w:r>
        <w:t xml:space="preserve"> </w:t>
      </w:r>
      <w:r>
        <w:t xml:space="preserve">“passed”</w:t>
      </w:r>
      <w:r>
        <w:t xml:space="preserve"> </w:t>
      </w:r>
      <w:r>
        <w:t xml:space="preserve">means two things at once. On real arithmetic prompts, the route had</w:t>
      </w:r>
      <w:r>
        <w:t xml:space="preserve"> </w:t>
      </w:r>
      <w:r>
        <w:t xml:space="preserve">to fire: a gate had to decide that the calculator was allowed to run, and the</w:t>
      </w:r>
      <w:r>
        <w:t xml:space="preserve"> </w:t>
      </w:r>
      <w:r>
        <w:t xml:space="preserve">operation and operands had to come from activations. On adversarial prompts,</w:t>
      </w:r>
      <w:r>
        <w:t xml:space="preserve"> </w:t>
      </w:r>
      <w:r>
        <w:t xml:space="preserve">written to tempt the route into doing the wrong thing, it had to stay silent.</w:t>
      </w:r>
      <w:r>
        <w:t xml:space="preserve"> </w:t>
      </w:r>
      <w:r>
        <w:t xml:space="preserve">Across 11,736 locked examples—with examples, thresholds, and scoring rules</w:t>
      </w:r>
      <w:r>
        <w:t xml:space="preserve"> </w:t>
      </w:r>
      <w:r>
        <w:t xml:space="preserve">fixed before the final aggregate—and 1,536 targets, it produced large</w:t>
      </w:r>
      <w:r>
        <w:t xml:space="preserve"> </w:t>
      </w:r>
      <w:r>
        <w:t xml:space="preserve">exact-answer lifts with zero fires on the constructed hard-negative suite used</w:t>
      </w:r>
      <w:r>
        <w:t xml:space="preserve"> </w:t>
      </w:r>
      <w:r>
        <w:t xml:space="preserve">in this audit. A hard negative is a deliberately tricky no-fire prompt: it may</w:t>
      </w:r>
      <w:r>
        <w:t xml:space="preserve"> </w:t>
      </w:r>
      <w:r>
        <w:t xml:space="preserve">contain quoted arithmetic, code, a table of numbers, or an instruction saying</w:t>
      </w:r>
      <w:r>
        <w:t xml:space="preserve"> </w:t>
      </w:r>
      <w:r>
        <w:t xml:space="preserve">not to compute, but the correct behavior is no calculator call</w:t>
      </w:r>
      <w:r>
        <w:t xml:space="preserve"> </w:t>
      </w:r>
      <w:r>
        <w:t xml:space="preserve">(Table </w:t>
      </w:r>
      <w:hyperlink w:anchor="tab:broad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BodyText"/>
      </w:pPr>
      <w:r>
        <w:t xml:space="preserve">On a recognized source slice from the DeepMind Mathematics Dataset of Saxton</w:t>
      </w:r>
      <w:r>
        <w:t xml:space="preserve"> </w:t>
      </w:r>
      <w:r>
        <w:t xml:space="preserve">and colleagues </w:t>
      </w:r>
      <w:r>
        <w:t xml:space="preserve">(Saxton et al. 2019)</w:t>
      </w:r>
      <w:r>
        <w:t xml:space="preserve">, the result covered three operations: gcd,</w:t>
      </w:r>
      <w:r>
        <w:t xml:space="preserve"> </w:t>
      </w:r>
      <w:r>
        <w:t xml:space="preserve">division with remainder, and lcm. Recognized means the audit could map a dataset</w:t>
      </w:r>
      <w:r>
        <w:t xml:space="preserve"> </w:t>
      </w:r>
      <w:r>
        <w:t xml:space="preserve">prompt to one of the supported forms: two integer operands, a supported</w:t>
      </w:r>
      <w:r>
        <w:t xml:space="preserve"> </w:t>
      </w:r>
      <w:r>
        <w:t xml:space="preserve">operation, and a checkable answer. It is a coverage filter, not a claim that</w:t>
      </w:r>
      <w:r>
        <w:t xml:space="preserve"> </w:t>
      </w:r>
      <w:r>
        <w:t xml:space="preserve">every DeepMind prompt was understood or supported. Multiplication was not</w:t>
      </w:r>
      <w:r>
        <w:t xml:space="preserve"> </w:t>
      </w:r>
      <w:r>
        <w:t xml:space="preserve">claimed there because the source filtering did not produce enough accepted</w:t>
      </w:r>
      <w:r>
        <w:t xml:space="preserve"> </w:t>
      </w:r>
      <w:r>
        <w:t xml:space="preserve">two-integer multiplication examples for a powered result. Across 3,822 locked</w:t>
      </w:r>
      <w:r>
        <w:t xml:space="preserve"> </w:t>
      </w:r>
      <w:r>
        <w:t xml:space="preserve">examples and 1,233 targets, the activation-derived route again produced strong</w:t>
      </w:r>
      <w:r>
        <w:t xml:space="preserve"> </w:t>
      </w:r>
      <w:r>
        <w:t xml:space="preserve">exact-answer lifts with zero recorded false fires.</w:t>
      </w:r>
    </w:p>
    <w:bookmarkStart w:id="50" w:name="tab:deepmind"/>
    <w:p>
      <w:pPr>
        <w:pStyle w:val="TableCaption"/>
      </w:pPr>
      <w:r>
        <w:t xml:space="preserve">Recognized DeepMind source slice. The route calculated many more</w:t>
      </w:r>
      <w:r>
        <w:t xml:space="preserve"> </w:t>
      </w:r>
      <w:r>
        <w:t xml:space="preserve">exact answers than the frozen model produced by itself.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gnized DeepMind source slice. The route calculated many more exact answers than the frozen model produced by itself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Routed 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Exact-answer 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division with remainder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+0.968</w:t>
            </w:r>
          </w:p>
        </w:tc>
      </w:tr>
    </w:tbl>
    <w:bookmarkEnd w:id="50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Should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not 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 the highest common factor of 5924 and 1024.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 wrote ’gcd(48, 18) = 6’ on the whiteboard and then changed the subject to budgets of 200 and 300.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 is the remainder when 7696 is divided by 5130?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reporter typed ’144 / 12’ into her notes but the story was about a basketball game.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 is the smallest common multiple of 4740 and 1152?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 chart showed 6, 12, 18, 24 as factor labels but the article discussed musical notation.</w:t>
            </w:r>
          </w:p>
        </w:tc>
      </w:tr>
    </w:tbl>
    <w:p>
      <w:pPr>
        <w:pStyle w:val="BodyText"/>
      </w:pPr>
      <w:r>
        <w:t xml:space="preserve">The safety and provenance work mattered as much as the benchmark lifts. The</w:t>
      </w:r>
      <w:r>
        <w:t xml:space="preserve"> </w:t>
      </w:r>
      <w:r>
        <w:t xml:space="preserve">word provenance is doing real work here: it is the audit trail for where the</w:t>
      </w:r>
      <w:r>
        <w:t xml:space="preserve"> </w:t>
      </w:r>
      <w:r>
        <w:t xml:space="preserve">calculator arguments came from. We ran a full replay audit over 15,558 runtime</w:t>
      </w:r>
      <w:r>
        <w:t xml:space="preserve"> </w:t>
      </w:r>
      <w:r>
        <w:t xml:space="preserve">bundles, excluding forbidden fields such as prompt text, regex outputs, decoded</w:t>
      </w:r>
      <w:r>
        <w:t xml:space="preserve"> </w:t>
      </w:r>
      <w:r>
        <w:t xml:space="preserve">token spans, harness operands, operation labels, and gold answers. The route had</w:t>
      </w:r>
      <w:r>
        <w:t xml:space="preserve"> </w:t>
      </w:r>
      <w:r>
        <w:t xml:space="preserve">to reproduce from allowed runtime artifacts. It passed with zero replay</w:t>
      </w:r>
      <w:r>
        <w:t xml:space="preserve"> </w:t>
      </w:r>
      <w:r>
        <w:t xml:space="preserve">failures.</w:t>
      </w:r>
    </w:p>
    <w:p>
      <w:pPr>
        <w:pStyle w:val="BodyText"/>
      </w:pPr>
      <w:r>
        <w:t xml:space="preserve">We also ran an independent hard-negative audit, using no-fire cases generated</w:t>
      </w:r>
      <w:r>
        <w:t xml:space="preserve"> </w:t>
      </w:r>
      <w:r>
        <w:t xml:space="preserve">separately from the positive arithmetic benchmark. The categories included</w:t>
      </w:r>
      <w:r>
        <w:t xml:space="preserve"> </w:t>
      </w:r>
      <w:r>
        <w:t xml:space="preserve">quoted arithmetic, do-not-compute prompts, wrong-operation prompts with the same</w:t>
      </w:r>
      <w:r>
        <w:t xml:space="preserve"> </w:t>
      </w:r>
      <w:r>
        <w:t xml:space="preserve">numbers, tables, logs, code, invoices, distractor-heavy number text, decimals,</w:t>
      </w:r>
      <w:r>
        <w:t xml:space="preserve"> </w:t>
      </w:r>
      <w:r>
        <w:t xml:space="preserve">signs, and out-of-domain cases. Across 10,200 non-trigger examples, the route</w:t>
      </w:r>
      <w:r>
        <w:t xml:space="preserve"> </w:t>
      </w:r>
      <w:r>
        <w:t xml:space="preserve">did not fire.</w:t>
      </w:r>
    </w:p>
    <w:bookmarkStart w:id="51" w:name="tab:hardneg"/>
    <w:p>
      <w:pPr>
        <w:pStyle w:val="TableCaption"/>
      </w:pPr>
      <w:r>
        <w:t xml:space="preserve">Independent hard-negative audit. These are prompts where the desired</w:t>
      </w:r>
      <w:r>
        <w:t xml:space="preserve"> </w:t>
      </w:r>
      <w:r>
        <w:t xml:space="preserve">behavior is no calculator call. Zero fires is therefore a good result inside</w:t>
      </w:r>
      <w:r>
        <w:t xml:space="preserve"> </w:t>
      </w:r>
      <w:r>
        <w:t xml:space="preserve">this scoped audit.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ependent hard-negative audit. These are prompts where the desired behavior is no calculator call. Zero fires is therefore a good result inside this scoped audi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Fires /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decimals, signs, out of 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1200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distractor-heavy number 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do-not-compute prompts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1200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quoted arithmetic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1200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tables, logs, code, invoices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2400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operation, same numbers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3600</w:t>
            </w:r>
          </w:p>
        </w:tc>
      </w:tr>
    </w:tbl>
    <w:bookmarkEnd w:id="51"/>
    <w:bookmarkEnd w:id="52"/>
    <w:bookmarkStart w:id="53" w:name="the-boundary"/>
    <w:p>
      <w:pPr>
        <w:pStyle w:val="Heading1"/>
      </w:pPr>
      <w:r>
        <w:t xml:space="preserve">The Boundary</w:t>
      </w:r>
    </w:p>
    <w:p>
      <w:pPr>
        <w:pStyle w:val="FirstParagraph"/>
      </w:pPr>
      <w:r>
        <w:t xml:space="preserve">There is causal support, but it has to be said carefully. In causal interchange</w:t>
      </w:r>
      <w:r>
        <w:t xml:space="preserve"> </w:t>
      </w:r>
      <w:r>
        <w:t xml:space="preserve">tests, selected internal operand chunks could be patched from donor examples</w:t>
      </w:r>
      <w:r>
        <w:t xml:space="preserve"> </w:t>
      </w:r>
      <w:r>
        <w:t xml:space="preserve">into recipient examples, and the decoded operands and routed calculator answers</w:t>
      </w:r>
      <w:r>
        <w:t xml:space="preserve"> </w:t>
      </w:r>
      <w:r>
        <w:t xml:space="preserve">followed the donor. This uses the same broad causal-intervention discipline as</w:t>
      </w:r>
      <w:r>
        <w:t xml:space="preserve"> </w:t>
      </w:r>
      <w:r>
        <w:t xml:space="preserve">activation patching and causal mediation work, not a new causal methodology</w:t>
      </w:r>
      <w:r>
        <w:t xml:space="preserve"> </w:t>
      </w:r>
      <w:r>
        <w:t xml:space="preserve">invented here </w:t>
      </w:r>
      <w:r>
        <w:t xml:space="preserve">(Stolfo et al. 2023; Zhang and Nanda 2024)</w:t>
      </w:r>
      <w:r>
        <w:t xml:space="preserve">. It supports the claim that</w:t>
      </w:r>
      <w:r>
        <w:t xml:space="preserve"> </w:t>
      </w:r>
      <w:r>
        <w:t xml:space="preserve">those internal chunks are causally involved in the decoded tuple. In the final</w:t>
      </w:r>
      <w:r>
        <w:t xml:space="preserve"> </w:t>
      </w:r>
      <w:r>
        <w:t xml:space="preserve">DeepMind causal summary, division with remainder cleared the powered pair-count</w:t>
      </w:r>
      <w:r>
        <w:t xml:space="preserve"> </w:t>
      </w:r>
      <w:r>
        <w:t xml:space="preserve">gate. Gcd and lcm had perfect rates in the available pairs, but too few pairs</w:t>
      </w:r>
      <w:r>
        <w:t xml:space="preserve"> </w:t>
      </w:r>
      <w:r>
        <w:t xml:space="preserve">to clear the frozen causal gate. So the causal evidence is supportive, not</w:t>
      </w:r>
      <w:r>
        <w:t xml:space="preserve"> </w:t>
      </w:r>
      <w:r>
        <w:t xml:space="preserve">fully powered across every final operation.</w:t>
      </w:r>
    </w:p>
    <w:p>
      <w:pPr>
        <w:pStyle w:val="BodyText"/>
      </w:pPr>
      <w:r>
        <w:t xml:space="preserve">The cross-model story is also humbling. A real Qwen operand-localization sweep</w:t>
      </w:r>
      <w:r>
        <w:t xml:space="preserve"> </w:t>
      </w:r>
      <w:r>
        <w:t xml:space="preserve">failed. The current Llama route did not transfer. That is not a footnote. It is</w:t>
      </w:r>
      <w:r>
        <w:t xml:space="preserve"> </w:t>
      </w:r>
      <w:r>
        <w:t xml:space="preserve">a lesson: internal activation routes are not portable like text parsers. A</w:t>
      </w:r>
      <w:r>
        <w:t xml:space="preserve"> </w:t>
      </w:r>
      <w:r>
        <w:t xml:space="preserve">parser sees the same string. A model’s internal geometry may be entirely</w:t>
      </w:r>
      <w:r>
        <w:t xml:space="preserve"> </w:t>
      </w:r>
      <w:r>
        <w:t xml:space="preserve">different.</w:t>
      </w:r>
    </w:p>
    <w:p>
      <w:pPr>
        <w:pStyle w:val="BodyText"/>
      </w:pPr>
      <w:r>
        <w:t xml:space="preserve">The next steps are concrete: build model-specific operand localizers instead of</w:t>
      </w:r>
      <w:r>
        <w:t xml:space="preserve"> </w:t>
      </w:r>
      <w:r>
        <w:t xml:space="preserve">assuming transfer; complete causal interchange tests where source coverage</w:t>
      </w:r>
      <w:r>
        <w:t xml:space="preserve"> </w:t>
      </w:r>
      <w:r>
        <w:t xml:space="preserve">allows it; compare any residual-write attempt against boring logit and parser</w:t>
      </w:r>
      <w:r>
        <w:t xml:space="preserve"> </w:t>
      </w:r>
      <w:r>
        <w:t xml:space="preserve">baselines; and keep the no-parser replay boundary as a non-negotiable test.</w:t>
      </w:r>
    </w:p>
    <w:p>
      <w:pPr>
        <w:pStyle w:val="BodyText"/>
      </w:pPr>
      <w:r>
        <w:t xml:space="preserve">The final claim is deliberately modest: a frozen Llama model’s activations can</w:t>
      </w:r>
      <w:r>
        <w:t xml:space="preserve"> </w:t>
      </w:r>
      <w:r>
        <w:t xml:space="preserve">supply operation and operand arguments for an exact calculator under an opaque,</w:t>
      </w:r>
      <w:r>
        <w:t xml:space="preserve"> </w:t>
      </w:r>
      <w:r>
        <w:t xml:space="preserve">no-parser runtime on the current benchmark slices.</w:t>
      </w:r>
    </w:p>
    <w:p>
      <w:pPr>
        <w:pStyle w:val="BodyText"/>
      </w:pPr>
      <w:r>
        <w:t xml:space="preserve">That is not native arithmetic repair. It is not a general cross-model result.</w:t>
      </w:r>
      <w:r>
        <w:t xml:space="preserve"> </w:t>
      </w:r>
      <w:r>
        <w:t xml:space="preserve">It is not behavior-preserving residual JIT compilation. But it is a useful</w:t>
      </w:r>
      <w:r>
        <w:t xml:space="preserve"> </w:t>
      </w:r>
      <w:r>
        <w:t xml:space="preserve">boundary. It shows that the model’s hidden state can contain the calculation</w:t>
      </w:r>
      <w:r>
        <w:t xml:space="preserve"> </w:t>
      </w:r>
      <w:r>
        <w:t xml:space="preserve">even when its output would be wrong. It shows that mechanistic interpretability</w:t>
      </w:r>
      <w:r>
        <w:t xml:space="preserve"> </w:t>
      </w:r>
      <w:r>
        <w:t xml:space="preserve">can contribute to tool systems, if the provenance rules are strict enough. And</w:t>
      </w:r>
      <w:r>
        <w:t xml:space="preserve"> </w:t>
      </w:r>
      <w:r>
        <w:t xml:space="preserve">it shows how easy it is to overclaim unless the experiment is designed to catch</w:t>
      </w:r>
      <w:r>
        <w:t xml:space="preserve"> </w:t>
      </w:r>
      <w:r>
        <w:t xml:space="preserve">you.</w:t>
      </w:r>
    </w:p>
    <w:bookmarkEnd w:id="53"/>
    <w:bookmarkStart w:id="54" w:name="what-to-take-away"/>
    <w:p>
      <w:pPr>
        <w:pStyle w:val="Heading1"/>
      </w:pPr>
      <w:r>
        <w:t xml:space="preserve">What To Take Away</w:t>
      </w:r>
    </w:p>
    <w:p>
      <w:pPr>
        <w:pStyle w:val="FirstParagraph"/>
      </w:pPr>
      <w:r>
        <w:t xml:space="preserve">Models really do build arithmetic-shaped internal structure. Not arithmetic as</w:t>
      </w:r>
      <w:r>
        <w:t xml:space="preserve"> </w:t>
      </w:r>
      <w:r>
        <w:t xml:space="preserve">humans experience it, with fingers and written columns, but arithmetic as a</w:t>
      </w:r>
      <w:r>
        <w:t xml:space="preserve"> </w:t>
      </w:r>
      <w:r>
        <w:t xml:space="preserve">geometry of directions, rotations, periodic features, and value-like residual</w:t>
      </w:r>
      <w:r>
        <w:t xml:space="preserve"> </w:t>
      </w:r>
      <w:r>
        <w:t xml:space="preserve">states. A matrix-only body can invent ways to represent divisibility,</w:t>
      </w:r>
      <w:r>
        <w:t xml:space="preserve"> </w:t>
      </w:r>
      <w:r>
        <w:t xml:space="preserve">magnitude, chunks, and numeric emission.</w:t>
      </w:r>
    </w:p>
    <w:p>
      <w:pPr>
        <w:pStyle w:val="BodyText"/>
      </w:pPr>
      <w:r>
        <w:t xml:space="preserve">Reading those structures is easier than turning them into a robust system. A</w:t>
      </w:r>
      <w:r>
        <w:t xml:space="preserve"> </w:t>
      </w:r>
      <w:r>
        <w:t xml:space="preserve">probe can look good for the wrong reason. A steering vector can render an</w:t>
      </w:r>
      <w:r>
        <w:t xml:space="preserve"> </w:t>
      </w:r>
      <w:r>
        <w:t xml:space="preserve">answer without proving computation. A residual write can change a token while</w:t>
      </w:r>
      <w:r>
        <w:t xml:space="preserve"> </w:t>
      </w:r>
      <w:r>
        <w:t xml:space="preserve">damaging the model’s state. The interesting science is not the first positive</w:t>
      </w:r>
      <w:r>
        <w:t xml:space="preserve"> </w:t>
      </w:r>
      <w:r>
        <w:t xml:space="preserve">result; it is the sequence of controls that survives.</w:t>
      </w:r>
    </w:p>
    <w:p>
      <w:pPr>
        <w:pStyle w:val="BodyText"/>
      </w:pPr>
      <w:r>
        <w:t xml:space="preserve">Tool use has layers. The easy layer is text-driven: parse the prompt, call the</w:t>
      </w:r>
      <w:r>
        <w:t xml:space="preserve"> </w:t>
      </w:r>
      <w:r>
        <w:t xml:space="preserve">tool. The harder layer is activation-derived: prove that the tool arguments</w:t>
      </w:r>
      <w:r>
        <w:t xml:space="preserve"> </w:t>
      </w:r>
      <w:r>
        <w:t xml:space="preserve">came from the model’s internal state. The hardest layer is internal</w:t>
      </w:r>
      <w:r>
        <w:t xml:space="preserve"> </w:t>
      </w:r>
      <w:r>
        <w:t xml:space="preserve">replacement: write the result back into the model and preserve behavior. Rune</w:t>
      </w:r>
      <w:r>
        <w:t xml:space="preserve"> </w:t>
      </w:r>
      <w:r>
        <w:t xml:space="preserve">does not solve the hardest layer. It makes progress on the middle one.</w:t>
      </w:r>
    </w:p>
    <w:p>
      <w:pPr>
        <w:pStyle w:val="BodyText"/>
      </w:pPr>
      <w:r>
        <w:t xml:space="preserve">If you want to build systems from those traces, do not trust the first</w:t>
      </w:r>
      <w:r>
        <w:t xml:space="preserve"> </w:t>
      </w:r>
      <w:r>
        <w:t xml:space="preserve">beautiful signal. Ask what else it could be measuring. Remove the prompt text.</w:t>
      </w:r>
      <w:r>
        <w:t xml:space="preserve"> </w:t>
      </w:r>
      <w:r>
        <w:t xml:space="preserve">Remove the labels. Replay without the forbidden fields. Add the annoying</w:t>
      </w:r>
      <w:r>
        <w:t xml:space="preserve"> </w:t>
      </w:r>
      <w:r>
        <w:t xml:space="preserve">negatives. Compare against the boring baseline. Separate what the model</w:t>
      </w:r>
      <w:r>
        <w:t xml:space="preserve"> </w:t>
      </w:r>
      <w:r>
        <w:t xml:space="preserve">represents from what you can safely write.</w:t>
      </w:r>
    </w:p>
    <w:p>
      <w:pPr>
        <w:pStyle w:val="BodyText"/>
      </w:pPr>
      <w:r>
        <w:t xml:space="preserve">That is how the story gets smaller. It is also how it becomes true.</w:t>
      </w:r>
    </w:p>
    <w:bookmarkEnd w:id="54"/>
    <w:bookmarkStart w:id="79" w:name="bibliography"/>
    <w:p>
      <w:pPr>
        <w:pStyle w:val="Heading1"/>
      </w:pPr>
      <w:r>
        <w:t xml:space="preserve">References</w:t>
      </w:r>
    </w:p>
    <w:bookmarkStart w:id="78" w:name="refs"/>
    <w:bookmarkStart w:id="56" w:name="ref-bricken2023"/>
    <w:p>
      <w:pPr>
        <w:pStyle w:val="Bibliography"/>
      </w:pPr>
      <w:r>
        <w:t xml:space="preserve">Bricken, Trenton, Adly Templeton, Joshua Batson, et al. 2023.</w:t>
      </w:r>
      <w:r>
        <w:t xml:space="preserve"> </w:t>
      </w:r>
      <w:r>
        <w:t xml:space="preserve">“Towards Monosemanticity: Decomposing Language Models with Dictionary Learning.”</w:t>
      </w:r>
      <w:r>
        <w:t xml:space="preserve"> </w:t>
      </w:r>
      <w:r>
        <w:rPr>
          <w:i/>
          <w:iCs/>
        </w:rPr>
        <w:t xml:space="preserve">Transformer Circuits Thread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https://transformer-circuits.pub/2023/monosemantic-features/</w:t>
        </w:r>
      </w:hyperlink>
      <w:r>
        <w:t xml:space="preserve">.</w:t>
      </w:r>
    </w:p>
    <w:bookmarkEnd w:id="56"/>
    <w:bookmarkStart w:id="58" w:name="ref-chen2022pot"/>
    <w:p>
      <w:pPr>
        <w:pStyle w:val="Bibliography"/>
      </w:pPr>
      <w:r>
        <w:t xml:space="preserve">Chen, Wenhu, Xueguang Ma, Xinyi Wang, and William W. Cohen. 2023.</w:t>
      </w:r>
      <w:r>
        <w:t xml:space="preserve"> </w:t>
      </w:r>
      <w:r>
        <w:t xml:space="preserve">“Program of Thoughts Prompting: Disentangling Computation from Reasoning for Numerical Reasoning Tasks.”</w:t>
      </w:r>
      <w:r>
        <w:t xml:space="preserve"> </w:t>
      </w:r>
      <w:r>
        <w:rPr>
          <w:i/>
          <w:iCs/>
        </w:rPr>
        <w:t xml:space="preserve">Transactions on Machine Learning Research</w:t>
      </w:r>
      <w:r>
        <w:t xml:space="preserve">, ahead of print.</w:t>
      </w:r>
      <w:r>
        <w:t xml:space="preserve"> </w:t>
      </w:r>
      <w:hyperlink r:id="rId57">
        <w:r>
          <w:rPr>
            <w:rStyle w:val="Hyperlink"/>
          </w:rPr>
          <w:t xml:space="preserve">https://doi.org/10.48550/arXiv.2211.12588</w:t>
        </w:r>
      </w:hyperlink>
      <w:r>
        <w:t xml:space="preserve">.</w:t>
      </w:r>
    </w:p>
    <w:bookmarkEnd w:id="58"/>
    <w:bookmarkStart w:id="60" w:name="ref-cunningham2023"/>
    <w:p>
      <w:pPr>
        <w:pStyle w:val="Bibliography"/>
      </w:pPr>
      <w:r>
        <w:t xml:space="preserve">Cunningham, Hoagy, Aidan Ewart, Logan Riggs, Robert Huben, and Lee Sharkey. 2023.</w:t>
      </w:r>
      <w:r>
        <w:t xml:space="preserve"> </w:t>
      </w:r>
      <w:r>
        <w:t xml:space="preserve">“Sparse Autoencoders Find Highly Interpretable Features in Language Models.”</w:t>
      </w:r>
      <w:r>
        <w:t xml:space="preserve"> </w:t>
      </w:r>
      <w:r>
        <w:rPr>
          <w:i/>
          <w:iCs/>
        </w:rPr>
        <w:t xml:space="preserve">arXiv Preprint arXiv:2309.08600</w:t>
      </w:r>
      <w:r>
        <w:t xml:space="preserve">, ahead of print.</w:t>
      </w:r>
      <w:r>
        <w:t xml:space="preserve"> </w:t>
      </w:r>
      <w:hyperlink r:id="rId59">
        <w:r>
          <w:rPr>
            <w:rStyle w:val="Hyperlink"/>
          </w:rPr>
          <w:t xml:space="preserve">https://doi.org/10.48550/arXiv.2309.08600</w:t>
        </w:r>
      </w:hyperlink>
      <w:r>
        <w:t xml:space="preserve">.</w:t>
      </w:r>
    </w:p>
    <w:bookmarkEnd w:id="60"/>
    <w:bookmarkStart w:id="62" w:name="ref-gao2022pal"/>
    <w:p>
      <w:pPr>
        <w:pStyle w:val="Bibliography"/>
      </w:pPr>
      <w:r>
        <w:t xml:space="preserve">Gao, Luyu, Aman Madaan, Shuyan Zhou, et al. 2022.</w:t>
      </w:r>
      <w:r>
        <w:t xml:space="preserve"> </w:t>
      </w:r>
      <w:r>
        <w:t xml:space="preserve">“</w:t>
      </w:r>
      <w:r>
        <w:t xml:space="preserve">PAL</w:t>
      </w:r>
      <w:r>
        <w:t xml:space="preserve">: Program-Aided Language Models.”</w:t>
      </w:r>
      <w:r>
        <w:t xml:space="preserve"> </w:t>
      </w:r>
      <w:r>
        <w:rPr>
          <w:i/>
          <w:iCs/>
        </w:rPr>
        <w:t xml:space="preserve">arXiv Preprint arXiv:2211.10435</w:t>
      </w:r>
      <w:r>
        <w:t xml:space="preserve">, ahead of print.</w:t>
      </w:r>
      <w:r>
        <w:t xml:space="preserve"> </w:t>
      </w:r>
      <w:hyperlink r:id="rId61">
        <w:r>
          <w:rPr>
            <w:rStyle w:val="Hyperlink"/>
          </w:rPr>
          <w:t xml:space="preserve">https://doi.org/10.48550/arXiv.2211.10435</w:t>
        </w:r>
      </w:hyperlink>
      <w:r>
        <w:t xml:space="preserve">.</w:t>
      </w:r>
    </w:p>
    <w:bookmarkEnd w:id="62"/>
    <w:bookmarkStart w:id="64" w:name="ref-kantamneni2025"/>
    <w:p>
      <w:pPr>
        <w:pStyle w:val="Bibliography"/>
      </w:pPr>
      <w:r>
        <w:t xml:space="preserve">Kantamneni, Subhash, and Max Tegmark. 2025.</w:t>
      </w:r>
      <w:r>
        <w:t xml:space="preserve"> </w:t>
      </w:r>
      <w:r>
        <w:t xml:space="preserve">“Language Models Use Trigonometry to Do Addition.”</w:t>
      </w:r>
      <w:r>
        <w:t xml:space="preserve"> </w:t>
      </w:r>
      <w:r>
        <w:rPr>
          <w:i/>
          <w:iCs/>
        </w:rPr>
        <w:t xml:space="preserve">arXiv Preprint arXiv:2502.00873</w:t>
      </w:r>
      <w:r>
        <w:t xml:space="preserve">, ahead of print.</w:t>
      </w:r>
      <w:r>
        <w:t xml:space="preserve"> </w:t>
      </w:r>
      <w:hyperlink r:id="rId63">
        <w:r>
          <w:rPr>
            <w:rStyle w:val="Hyperlink"/>
          </w:rPr>
          <w:t xml:space="preserve">https://doi.org/10.48550/arXiv.2502.00873</w:t>
        </w:r>
      </w:hyperlink>
      <w:r>
        <w:t xml:space="preserve">.</w:t>
      </w:r>
    </w:p>
    <w:bookmarkEnd w:id="64"/>
    <w:bookmarkStart w:id="65" w:name="ref-lakoff2000"/>
    <w:p>
      <w:pPr>
        <w:pStyle w:val="Bibliography"/>
      </w:pPr>
      <w:r>
        <w:t xml:space="preserve">Lakoff, George, and Rafael E. Núñez. 2000.</w:t>
      </w:r>
      <w:r>
        <w:t xml:space="preserve"> </w:t>
      </w:r>
      <w:r>
        <w:rPr>
          <w:i/>
          <w:iCs/>
        </w:rPr>
        <w:t xml:space="preserve">Where Mathematics Comes from: How the Embodied Mind Brings Mathematics into Being</w:t>
      </w:r>
      <w:r>
        <w:t xml:space="preserve">. Basic Books.</w:t>
      </w:r>
    </w:p>
    <w:bookmarkEnd w:id="65"/>
    <w:bookmarkStart w:id="67" w:name="ref-nikankin2024"/>
    <w:p>
      <w:pPr>
        <w:pStyle w:val="Bibliography"/>
      </w:pPr>
      <w:r>
        <w:t xml:space="preserve">Nikankin, Yaniv, Anja Reusch, Aaron Mueller, and Yonatan Belinkov. 2024.</w:t>
      </w:r>
      <w:r>
        <w:t xml:space="preserve"> </w:t>
      </w:r>
      <w:r>
        <w:t xml:space="preserve">“Arithmetic Without Algorithms: Language Models Solve Math with a Bag of Heuristics.”</w:t>
      </w:r>
      <w:r>
        <w:t xml:space="preserve"> </w:t>
      </w:r>
      <w:r>
        <w:rPr>
          <w:i/>
          <w:iCs/>
        </w:rPr>
        <w:t xml:space="preserve">arXiv Preprint arXiv:2410.21272</w:t>
      </w:r>
      <w:r>
        <w:t xml:space="preserve">, ahead of print.</w:t>
      </w:r>
      <w:r>
        <w:t xml:space="preserve"> </w:t>
      </w:r>
      <w:hyperlink r:id="rId66">
        <w:r>
          <w:rPr>
            <w:rStyle w:val="Hyperlink"/>
          </w:rPr>
          <w:t xml:space="preserve">https://doi.org/10.48550/arXiv.2410.21272</w:t>
        </w:r>
      </w:hyperlink>
      <w:r>
        <w:t xml:space="preserve">.</w:t>
      </w:r>
    </w:p>
    <w:bookmarkEnd w:id="67"/>
    <w:bookmarkStart w:id="69" w:name="ref-saxton2019"/>
    <w:p>
      <w:pPr>
        <w:pStyle w:val="Bibliography"/>
      </w:pPr>
      <w:r>
        <w:t xml:space="preserve">Saxton, David, Edward Grefenstette, Felix Hill, and Pushmeet Kohli. 2019.</w:t>
      </w:r>
      <w:r>
        <w:t xml:space="preserve"> </w:t>
      </w:r>
      <w:r>
        <w:t xml:space="preserve">“Analysing Mathematical Reasoning Abilities of Neural Models.”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, ahead of print.</w:t>
      </w:r>
      <w:r>
        <w:t xml:space="preserve"> </w:t>
      </w:r>
      <w:hyperlink r:id="rId68">
        <w:r>
          <w:rPr>
            <w:rStyle w:val="Hyperlink"/>
          </w:rPr>
          <w:t xml:space="preserve">https://doi.org/10.48550/arXiv.1904.01557</w:t>
        </w:r>
      </w:hyperlink>
      <w:r>
        <w:t xml:space="preserve">.</w:t>
      </w:r>
    </w:p>
    <w:bookmarkEnd w:id="69"/>
    <w:bookmarkStart w:id="71" w:name="ref-schick2023"/>
    <w:p>
      <w:pPr>
        <w:pStyle w:val="Bibliography"/>
      </w:pPr>
      <w:r>
        <w:t xml:space="preserve">Schick, Timo, Jane Dwivedi-Yu, Roberto Dessì, et al. 2023.</w:t>
      </w:r>
      <w:r>
        <w:t xml:space="preserve"> </w:t>
      </w:r>
      <w:r>
        <w:t xml:space="preserve">“Toolformer: Language Models Can Teach Themselves to Use Tools.”</w:t>
      </w:r>
      <w:r>
        <w:t xml:space="preserve"> </w:t>
      </w:r>
      <w:r>
        <w:rPr>
          <w:i/>
          <w:iCs/>
        </w:rPr>
        <w:t xml:space="preserve">arXiv Preprint arXiv:2302.04761</w:t>
      </w:r>
      <w:r>
        <w:t xml:space="preserve">, ahead of print.</w:t>
      </w:r>
      <w:r>
        <w:t xml:space="preserve"> </w:t>
      </w:r>
      <w:hyperlink r:id="rId70">
        <w:r>
          <w:rPr>
            <w:rStyle w:val="Hyperlink"/>
          </w:rPr>
          <w:t xml:space="preserve">https://doi.org/10.48550/arXiv.2302.04761</w:t>
        </w:r>
      </w:hyperlink>
      <w:r>
        <w:t xml:space="preserve">.</w:t>
      </w:r>
    </w:p>
    <w:bookmarkEnd w:id="71"/>
    <w:bookmarkStart w:id="73" w:name="ref-stolfo2023"/>
    <w:p>
      <w:pPr>
        <w:pStyle w:val="Bibliography"/>
      </w:pPr>
      <w:r>
        <w:t xml:space="preserve">Stolfo, Alessandro, Yonatan Belinkov, and Mrinmaya Sachan. 2023.</w:t>
      </w:r>
      <w:r>
        <w:t xml:space="preserve"> </w:t>
      </w:r>
      <w:r>
        <w:t xml:space="preserve">“A Mechanistic Interpretation of Arithmetic Reasoning in Language Models Using Causal Mediation Analysis.”</w:t>
      </w:r>
      <w:r>
        <w:t xml:space="preserve"> </w:t>
      </w:r>
      <w:r>
        <w:rPr>
          <w:i/>
          <w:iCs/>
        </w:rPr>
        <w:t xml:space="preserve">Proceedings of the 2023 Conference on Empirical Methods in Natural Language Processing</w:t>
      </w:r>
      <w:r>
        <w:t xml:space="preserve">, ahead of print.</w:t>
      </w:r>
      <w:r>
        <w:t xml:space="preserve"> </w:t>
      </w:r>
      <w:hyperlink r:id="rId72">
        <w:r>
          <w:rPr>
            <w:rStyle w:val="Hyperlink"/>
          </w:rPr>
          <w:t xml:space="preserve">https://doi.org/10.48550/arXiv.2305.15054</w:t>
        </w:r>
      </w:hyperlink>
      <w:r>
        <w:t xml:space="preserve">.</w:t>
      </w:r>
    </w:p>
    <w:bookmarkEnd w:id="73"/>
    <w:bookmarkStart w:id="75" w:name="ref-yao2022react"/>
    <w:p>
      <w:pPr>
        <w:pStyle w:val="Bibliography"/>
      </w:pPr>
      <w:r>
        <w:t xml:space="preserve">Yao, Shunyu, Jeffrey Zhao, Dian Yu, et al. 2023.</w:t>
      </w:r>
      <w:r>
        <w:t xml:space="preserve"> </w:t>
      </w:r>
      <w:r>
        <w:t xml:space="preserve">“</w:t>
      </w:r>
      <w:r>
        <w:t xml:space="preserve">ReAct</w:t>
      </w:r>
      <w:r>
        <w:t xml:space="preserve">: Synergizing Reasoning and Acting in Language Models.”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, ahead of print.</w:t>
      </w:r>
      <w:r>
        <w:t xml:space="preserve"> </w:t>
      </w:r>
      <w:hyperlink r:id="rId74">
        <w:r>
          <w:rPr>
            <w:rStyle w:val="Hyperlink"/>
          </w:rPr>
          <w:t xml:space="preserve">https://doi.org/10.48550/arXiv.2210.03629</w:t>
        </w:r>
      </w:hyperlink>
      <w:r>
        <w:t xml:space="preserve">.</w:t>
      </w:r>
    </w:p>
    <w:bookmarkEnd w:id="75"/>
    <w:bookmarkStart w:id="77" w:name="ref-zhang2023patching"/>
    <w:p>
      <w:pPr>
        <w:pStyle w:val="Bibliography"/>
      </w:pPr>
      <w:r>
        <w:t xml:space="preserve">Zhang, Fred, and Neel Nanda. 2024.</w:t>
      </w:r>
      <w:r>
        <w:t xml:space="preserve"> </w:t>
      </w:r>
      <w:r>
        <w:t xml:space="preserve">“Towards Best Practices of Activation Patching in Language Models: Metrics and Methods.”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, ahead of print.</w:t>
      </w:r>
      <w:r>
        <w:t xml:space="preserve"> </w:t>
      </w:r>
      <w:hyperlink r:id="rId76">
        <w:r>
          <w:rPr>
            <w:rStyle w:val="Hyperlink"/>
          </w:rPr>
          <w:t xml:space="preserve">https://doi.org/10.48550/arXiv.2309.16042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hyperlink" Id="rId68" Target="https://doi.org/10.48550/arXiv.1904.01557" TargetMode="External" /><Relationship Type="http://schemas.openxmlformats.org/officeDocument/2006/relationships/hyperlink" Id="rId74" Target="https://doi.org/10.48550/arXiv.2210.03629" TargetMode="External" /><Relationship Type="http://schemas.openxmlformats.org/officeDocument/2006/relationships/hyperlink" Id="rId61" Target="https://doi.org/10.48550/arXiv.2211.10435" TargetMode="External" /><Relationship Type="http://schemas.openxmlformats.org/officeDocument/2006/relationships/hyperlink" Id="rId57" Target="https://doi.org/10.48550/arXiv.2211.12588" TargetMode="External" /><Relationship Type="http://schemas.openxmlformats.org/officeDocument/2006/relationships/hyperlink" Id="rId70" Target="https://doi.org/10.48550/arXiv.2302.04761" TargetMode="External" /><Relationship Type="http://schemas.openxmlformats.org/officeDocument/2006/relationships/hyperlink" Id="rId72" Target="https://doi.org/10.48550/arXiv.2305.15054" TargetMode="External" /><Relationship Type="http://schemas.openxmlformats.org/officeDocument/2006/relationships/hyperlink" Id="rId59" Target="https://doi.org/10.48550/arXiv.2309.08600" TargetMode="External" /><Relationship Type="http://schemas.openxmlformats.org/officeDocument/2006/relationships/hyperlink" Id="rId76" Target="https://doi.org/10.48550/arXiv.2309.16042" TargetMode="External" /><Relationship Type="http://schemas.openxmlformats.org/officeDocument/2006/relationships/hyperlink" Id="rId66" Target="https://doi.org/10.48550/arXiv.2410.21272" TargetMode="External" /><Relationship Type="http://schemas.openxmlformats.org/officeDocument/2006/relationships/hyperlink" Id="rId63" Target="https://doi.org/10.48550/arXiv.2502.00873" TargetMode="External" /><Relationship Type="http://schemas.openxmlformats.org/officeDocument/2006/relationships/hyperlink" Id="rId55" Target="https://transformer-circuits.pub/2023/monosemantic-featur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48550/arXiv.1904.01557" TargetMode="External" /><Relationship Type="http://schemas.openxmlformats.org/officeDocument/2006/relationships/hyperlink" Id="rId74" Target="https://doi.org/10.48550/arXiv.2210.03629" TargetMode="External" /><Relationship Type="http://schemas.openxmlformats.org/officeDocument/2006/relationships/hyperlink" Id="rId61" Target="https://doi.org/10.48550/arXiv.2211.10435" TargetMode="External" /><Relationship Type="http://schemas.openxmlformats.org/officeDocument/2006/relationships/hyperlink" Id="rId57" Target="https://doi.org/10.48550/arXiv.2211.12588" TargetMode="External" /><Relationship Type="http://schemas.openxmlformats.org/officeDocument/2006/relationships/hyperlink" Id="rId70" Target="https://doi.org/10.48550/arXiv.2302.04761" TargetMode="External" /><Relationship Type="http://schemas.openxmlformats.org/officeDocument/2006/relationships/hyperlink" Id="rId72" Target="https://doi.org/10.48550/arXiv.2305.15054" TargetMode="External" /><Relationship Type="http://schemas.openxmlformats.org/officeDocument/2006/relationships/hyperlink" Id="rId59" Target="https://doi.org/10.48550/arXiv.2309.08600" TargetMode="External" /><Relationship Type="http://schemas.openxmlformats.org/officeDocument/2006/relationships/hyperlink" Id="rId76" Target="https://doi.org/10.48550/arXiv.2309.16042" TargetMode="External" /><Relationship Type="http://schemas.openxmlformats.org/officeDocument/2006/relationships/hyperlink" Id="rId66" Target="https://doi.org/10.48550/arXiv.2410.21272" TargetMode="External" /><Relationship Type="http://schemas.openxmlformats.org/officeDocument/2006/relationships/hyperlink" Id="rId63" Target="https://doi.org/10.48550/arXiv.2502.00873" TargetMode="External" /><Relationship Type="http://schemas.openxmlformats.org/officeDocument/2006/relationships/hyperlink" Id="rId55" Target="https://transformer-circuits.pub/2023/monosemantic-featur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Arithmetic Without Numbers</dc:title>
  <dc:creator>Alvaro Videla</dc:creator>
  <cp:keywords/>
  <dcterms:created xsi:type="dcterms:W3CDTF">2026-06-06T15:14:41Z</dcterms:created>
  <dcterms:modified xsi:type="dcterms:W3CDTF">2026-06-06T15:14:41Z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/Users/alvarostudio/Code/rune/docs/article_latex/rune_matrix_arithmetic_article.bib</vt:lpwstr>
  </property>
  <property fmtid="{D5CDD505-2E9C-101B-9397-08002B2CF9AE}" pid="3" name="reference-section-title">
    <vt:lpwstr>References</vt:lpwstr>
  </property>
  <property fmtid="{D5CDD505-2E9C-101B-9397-08002B2CF9AE}" pid="4" name="subtitle">
    <vt:lpwstr>What happens inside an LLM when it tries to calculate with nothing but matrices</vt:lpwstr>
  </property>
</Properties>
</file>