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34A41E" w14:textId="4A04E7EE" w:rsidR="00AA57C8" w:rsidRDefault="007C00C3" w:rsidP="00AA57C8">
      <w:pPr>
        <w:spacing w:before="1440"/>
      </w:pPr>
      <w:r>
        <w:rPr>
          <w:noProof/>
        </w:rPr>
        <w:drawing>
          <wp:anchor distT="0" distB="0" distL="114300" distR="114300" simplePos="0" relativeHeight="251659264" behindDoc="0" locked="0" layoutInCell="1" allowOverlap="0" wp14:anchorId="0EC97B4E" wp14:editId="46FE621A">
            <wp:simplePos x="0" y="0"/>
            <wp:positionH relativeFrom="column">
              <wp:posOffset>104921</wp:posOffset>
            </wp:positionH>
            <wp:positionV relativeFrom="paragraph">
              <wp:posOffset>0</wp:posOffset>
            </wp:positionV>
            <wp:extent cx="2212848" cy="627888"/>
            <wp:effectExtent l="0" t="0" r="0" b="0"/>
            <wp:wrapSquare wrapText="bothSides"/>
            <wp:docPr id="5669" name="Picture 5669"/>
            <wp:cNvGraphicFramePr/>
            <a:graphic xmlns:a="http://schemas.openxmlformats.org/drawingml/2006/main">
              <a:graphicData uri="http://schemas.openxmlformats.org/drawingml/2006/picture">
                <pic:pic xmlns:pic="http://schemas.openxmlformats.org/drawingml/2006/picture">
                  <pic:nvPicPr>
                    <pic:cNvPr id="5669" name="Picture 5669"/>
                    <pic:cNvPicPr/>
                  </pic:nvPicPr>
                  <pic:blipFill>
                    <a:blip r:embed="rId8"/>
                    <a:stretch>
                      <a:fillRect/>
                    </a:stretch>
                  </pic:blipFill>
                  <pic:spPr>
                    <a:xfrm>
                      <a:off x="0" y="0"/>
                      <a:ext cx="2212848" cy="627888"/>
                    </a:xfrm>
                    <a:prstGeom prst="rect">
                      <a:avLst/>
                    </a:prstGeom>
                  </pic:spPr>
                </pic:pic>
              </a:graphicData>
            </a:graphic>
            <wp14:sizeRelH relativeFrom="margin">
              <wp14:pctWidth>0</wp14:pctWidth>
            </wp14:sizeRelH>
            <wp14:sizeRelV relativeFrom="margin">
              <wp14:pctHeight>0</wp14:pctHeight>
            </wp14:sizeRelV>
          </wp:anchor>
        </w:drawing>
      </w:r>
      <w:r w:rsidR="00EA5224">
        <w:rPr>
          <w:noProof/>
        </w:rPr>
        <mc:AlternateContent>
          <mc:Choice Requires="wps">
            <w:drawing>
              <wp:anchor distT="0" distB="0" distL="114300" distR="114300" simplePos="0" relativeHeight="251660288" behindDoc="0" locked="0" layoutInCell="1" allowOverlap="1" wp14:anchorId="6DF5AFA9" wp14:editId="65E19B3D">
                <wp:simplePos x="0" y="0"/>
                <wp:positionH relativeFrom="column">
                  <wp:posOffset>3854450</wp:posOffset>
                </wp:positionH>
                <wp:positionV relativeFrom="paragraph">
                  <wp:posOffset>160020</wp:posOffset>
                </wp:positionV>
                <wp:extent cx="2316480" cy="259080"/>
                <wp:effectExtent l="0" t="0" r="0" b="0"/>
                <wp:wrapNone/>
                <wp:docPr id="1015833012" name="Text Box 1"/>
                <wp:cNvGraphicFramePr/>
                <a:graphic xmlns:a="http://schemas.openxmlformats.org/drawingml/2006/main">
                  <a:graphicData uri="http://schemas.microsoft.com/office/word/2010/wordprocessingShape">
                    <wps:wsp>
                      <wps:cNvSpPr txBox="1"/>
                      <wps:spPr>
                        <a:xfrm>
                          <a:off x="0" y="0"/>
                          <a:ext cx="2316480" cy="259080"/>
                        </a:xfrm>
                        <a:prstGeom prst="rect">
                          <a:avLst/>
                        </a:prstGeom>
                        <a:noFill/>
                        <a:ln w="6350">
                          <a:noFill/>
                        </a:ln>
                      </wps:spPr>
                      <wps:txbx>
                        <w:txbxContent>
                          <w:p w14:paraId="34A43F60" w14:textId="77777777" w:rsidR="00EA5224" w:rsidRPr="00EA5224" w:rsidRDefault="00EA5224" w:rsidP="00EA5224">
                            <w:pPr>
                              <w:spacing w:after="400"/>
                              <w:jc w:val="center"/>
                              <w:rPr>
                                <w:szCs w:val="21"/>
                                <w14:textOutline w14:w="9525" w14:cap="rnd" w14:cmpd="sng" w14:algn="ctr">
                                  <w14:noFill/>
                                  <w14:prstDash w14:val="solid"/>
                                  <w14:bevel/>
                                </w14:textOutline>
                              </w:rPr>
                            </w:pPr>
                            <w:r>
                              <w:rPr>
                                <w:sz w:val="20"/>
                                <w:szCs w:val="20"/>
                                <w14:textOutline w14:w="9525" w14:cap="rnd" w14:cmpd="sng" w14:algn="ctr">
                                  <w14:noFill/>
                                  <w14:prstDash w14:val="solid"/>
                                  <w14:bevel/>
                                </w14:textOutline>
                              </w:rPr>
                              <w:t>Faculty of Engineering and Technology</w:t>
                            </w:r>
                          </w:p>
                          <w:p w14:paraId="1C20063E" w14:textId="77777777" w:rsidR="00EA5224" w:rsidRPr="00EA5224" w:rsidRDefault="00EA5224">
                            <w:pPr>
                              <w:rPr>
                                <w:szCs w:val="21"/>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DF5AFA9" id="_x0000_t202" coordsize="21600,21600" o:spt="202" path="m,l,21600r21600,l21600,xe">
                <v:stroke joinstyle="miter"/>
                <v:path gradientshapeok="t" o:connecttype="rect"/>
              </v:shapetype>
              <v:shape id="Text Box 1" o:spid="_x0000_s1026" type="#_x0000_t202" style="position:absolute;left:0;text-align:left;margin-left:303.5pt;margin-top:12.6pt;width:182.4pt;height:2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" filled="f" stroked="f" strokeweight=".5pt">
                <v:textbox>
                  <w:txbxContent>
                    <w:p w14:paraId="34A43F60" w14:textId="77777777" w:rsidR="00EA5224" w:rsidRPr="00EA5224" w:rsidRDefault="00EA5224" w:rsidP="00EA5224">
                      <w:pPr>
                        <w:spacing w:after="400"/>
                        <w:jc w:val="center"/>
                        <w:rPr>
                          <w:szCs w:val="21"/>
                          <w14:textOutline w14:w="9525" w14:cap="rnd" w14:cmpd="sng" w14:algn="ctr">
                            <w14:noFill/>
                            <w14:prstDash w14:val="solid"/>
                            <w14:bevel/>
                          </w14:textOutline>
                        </w:rPr>
                      </w:pPr>
                      <w:r>
                        <w:rPr>
                          <w:sz w:val="20"/>
                          <w:szCs w:val="20"/>
                          <w14:textOutline w14:w="9525" w14:cap="rnd" w14:cmpd="sng" w14:algn="ctr">
                            <w14:noFill/>
                            <w14:prstDash w14:val="solid"/>
                            <w14:bevel/>
                          </w14:textOutline>
                        </w:rPr>
                        <w:t>Faculty of Engineering and Technology</w:t>
                      </w:r>
                    </w:p>
                    <w:p w14:paraId="1C20063E" w14:textId="77777777" w:rsidR="00EA5224" w:rsidRPr="00EA5224" w:rsidRDefault="00EA5224">
                      <w:pPr>
                        <w:rPr>
                          <w:szCs w:val="21"/>
                          <w14:textOutline w14:w="9525" w14:cap="rnd" w14:cmpd="sng" w14:algn="ctr">
                            <w14:noFill/>
                            <w14:prstDash w14:val="solid"/>
                            <w14:bevel/>
                          </w14:textOutline>
                        </w:rPr>
                      </w:pPr>
                    </w:p>
                  </w:txbxContent>
                </v:textbox>
              </v:shape>
            </w:pict>
          </mc:Fallback>
        </mc:AlternateContent>
      </w:r>
    </w:p>
    <w:p w14:paraId="79E47FE9" w14:textId="77777777" w:rsidR="007C00C3" w:rsidRDefault="007C00C3" w:rsidP="00EA5224">
      <w:pPr>
        <w:spacing w:after="600"/>
        <w:jc w:val="center"/>
        <w:rPr>
          <w:sz w:val="44"/>
          <w:szCs w:val="44"/>
        </w:rPr>
      </w:pPr>
    </w:p>
    <w:p w14:paraId="3FC85A27" w14:textId="77777777" w:rsidR="007C00C3" w:rsidRDefault="007C00C3" w:rsidP="007C00C3">
      <w:pPr>
        <w:spacing w:after="600"/>
        <w:jc w:val="both"/>
        <w:rPr>
          <w:b/>
          <w:bCs/>
          <w:sz w:val="32"/>
          <w:szCs w:val="32"/>
        </w:rPr>
      </w:pPr>
    </w:p>
    <w:p w14:paraId="36226FB6" w14:textId="77777777" w:rsidR="007C00C3" w:rsidRDefault="007C00C3" w:rsidP="007C00C3">
      <w:pPr>
        <w:spacing w:after="600"/>
        <w:jc w:val="both"/>
        <w:rPr>
          <w:b/>
          <w:bCs/>
          <w:sz w:val="32"/>
          <w:szCs w:val="32"/>
        </w:rPr>
      </w:pPr>
    </w:p>
    <w:p w14:paraId="1588D49D" w14:textId="4DE3C5A7" w:rsidR="00EA5224" w:rsidRPr="00B8458C" w:rsidRDefault="007C00C3" w:rsidP="007C00C3">
      <w:pPr>
        <w:spacing w:after="600"/>
        <w:jc w:val="both"/>
        <w:rPr>
          <w:b/>
          <w:bCs/>
          <w:sz w:val="32"/>
          <w:szCs w:val="32"/>
        </w:rPr>
      </w:pPr>
      <w:r w:rsidRPr="00B8458C">
        <w:rPr>
          <w:b/>
          <w:bCs/>
          <w:sz w:val="40"/>
          <w:szCs w:val="40"/>
        </w:rPr>
        <w:t>How do political and macroeconomic events affect the us stock market, and can these events improve short-term market prediction</w:t>
      </w:r>
      <w:r w:rsidRPr="00B8458C">
        <w:rPr>
          <w:b/>
          <w:bCs/>
          <w:sz w:val="32"/>
          <w:szCs w:val="32"/>
        </w:rPr>
        <w:t>?</w:t>
      </w:r>
    </w:p>
    <w:p w14:paraId="7E426381" w14:textId="77777777" w:rsidR="007C00C3" w:rsidRDefault="007C00C3" w:rsidP="007C00C3">
      <w:pPr>
        <w:spacing w:after="120"/>
        <w:jc w:val="left"/>
        <w:rPr>
          <w:b/>
          <w:bCs/>
          <w:sz w:val="28"/>
          <w:szCs w:val="28"/>
        </w:rPr>
      </w:pPr>
    </w:p>
    <w:p w14:paraId="45AE4DD2" w14:textId="77777777" w:rsidR="007C00C3" w:rsidRDefault="007C00C3" w:rsidP="007C00C3">
      <w:pPr>
        <w:spacing w:after="120"/>
        <w:jc w:val="left"/>
        <w:rPr>
          <w:b/>
          <w:bCs/>
          <w:sz w:val="28"/>
          <w:szCs w:val="28"/>
        </w:rPr>
      </w:pPr>
    </w:p>
    <w:p w14:paraId="5BCDD4DB" w14:textId="77777777" w:rsidR="007C00C3" w:rsidRDefault="007C00C3" w:rsidP="007C00C3">
      <w:pPr>
        <w:spacing w:after="120"/>
        <w:jc w:val="left"/>
        <w:rPr>
          <w:b/>
          <w:bCs/>
          <w:sz w:val="28"/>
          <w:szCs w:val="28"/>
        </w:rPr>
      </w:pPr>
    </w:p>
    <w:p w14:paraId="785FCBC9" w14:textId="77777777" w:rsidR="007C00C3" w:rsidRDefault="007C00C3" w:rsidP="007C00C3">
      <w:pPr>
        <w:spacing w:after="120"/>
        <w:jc w:val="left"/>
        <w:rPr>
          <w:b/>
          <w:bCs/>
          <w:sz w:val="28"/>
          <w:szCs w:val="28"/>
        </w:rPr>
      </w:pPr>
    </w:p>
    <w:p w14:paraId="0DDA2291" w14:textId="77777777" w:rsidR="007C00C3" w:rsidRPr="00B8458C" w:rsidRDefault="007C00C3" w:rsidP="007C00C3">
      <w:pPr>
        <w:spacing w:after="120"/>
        <w:jc w:val="left"/>
        <w:rPr>
          <w:b/>
          <w:bCs/>
          <w:sz w:val="28"/>
          <w:szCs w:val="28"/>
        </w:rPr>
      </w:pPr>
    </w:p>
    <w:p w14:paraId="3D5149FA" w14:textId="0E19C653" w:rsidR="00AA57C8" w:rsidRPr="00B8458C" w:rsidRDefault="00AA57C8" w:rsidP="007C00C3">
      <w:pPr>
        <w:spacing w:after="120"/>
        <w:jc w:val="left"/>
      </w:pPr>
      <w:r w:rsidRPr="00B8458C">
        <w:rPr>
          <w:b/>
          <w:bCs/>
          <w:sz w:val="28"/>
          <w:szCs w:val="28"/>
        </w:rPr>
        <w:t>Ibrahim Haroun</w:t>
      </w:r>
    </w:p>
    <w:p w14:paraId="728FDC7A" w14:textId="77777777" w:rsidR="00AA57C8" w:rsidRPr="00B8458C" w:rsidRDefault="00AA57C8" w:rsidP="007C00C3">
      <w:pPr>
        <w:spacing w:after="120"/>
        <w:jc w:val="left"/>
      </w:pPr>
      <w:r w:rsidRPr="00B8458C">
        <w:t>MSc Data Science</w:t>
      </w:r>
    </w:p>
    <w:p w14:paraId="140A1A4D" w14:textId="77777777" w:rsidR="00AA57C8" w:rsidRPr="00B8458C" w:rsidRDefault="00AA57C8" w:rsidP="007C00C3">
      <w:pPr>
        <w:spacing w:after="120"/>
        <w:jc w:val="left"/>
      </w:pPr>
      <w:r w:rsidRPr="00B8458C">
        <w:rPr>
          <w:sz w:val="22"/>
          <w:szCs w:val="22"/>
        </w:rPr>
        <w:t>Module: 7030DATSCI — Data Science Project</w:t>
      </w:r>
    </w:p>
    <w:p w14:paraId="2456D23A" w14:textId="63EA89D8" w:rsidR="00AA57C8" w:rsidRPr="00B8458C" w:rsidRDefault="00AA57C8" w:rsidP="007C00C3">
      <w:pPr>
        <w:spacing w:after="120"/>
        <w:jc w:val="left"/>
      </w:pPr>
      <w:r w:rsidRPr="00B8458C">
        <w:rPr>
          <w:sz w:val="22"/>
          <w:szCs w:val="22"/>
        </w:rPr>
        <w:t>Supervisor</w:t>
      </w:r>
      <w:r w:rsidR="007C00C3" w:rsidRPr="00B8458C">
        <w:rPr>
          <w:sz w:val="22"/>
          <w:szCs w:val="22"/>
        </w:rPr>
        <w:t>: Dr Wasiq Khan</w:t>
      </w:r>
      <w:r w:rsidR="007C00C3" w:rsidRPr="00B8458C">
        <w:rPr>
          <w:sz w:val="22"/>
          <w:szCs w:val="22"/>
        </w:rPr>
        <w:br/>
      </w:r>
      <w:r w:rsidRPr="00B8458C">
        <w:rPr>
          <w:sz w:val="22"/>
          <w:szCs w:val="22"/>
        </w:rPr>
        <w:t>Submission Date: 28 August 2026</w:t>
      </w:r>
    </w:p>
    <w:p w14:paraId="6EF0F726" w14:textId="28353B2D" w:rsidR="00AA57C8" w:rsidRDefault="00AA57C8" w:rsidP="00B821A9">
      <w:pPr>
        <w:pStyle w:val="Heading1"/>
        <w:numPr>
          <w:ilvl w:val="0"/>
          <w:numId w:val="0"/>
        </w:numPr>
        <w:ind w:left="284" w:hanging="284"/>
      </w:pPr>
      <w:r>
        <w:br w:type="page"/>
      </w:r>
      <w:bookmarkStart w:id="0" w:name="_Toc234343189"/>
      <w:r>
        <w:lastRenderedPageBreak/>
        <w:t>Abstract</w:t>
      </w:r>
      <w:bookmarkEnd w:id="0"/>
    </w:p>
    <w:p w14:paraId="40C930C9" w14:textId="01EF01D4" w:rsidR="00B821A9" w:rsidRDefault="00056869" w:rsidP="00304B4F">
      <w:r w:rsidRPr="00056869">
        <w:t>This dissertation presents a quantitative framework combining event studies, causal inference, and machine learning to evaluate the impact of public communications on S&amp;P 500 (SPY) returns, assessing if event-derived information improves next-day prediction over a market-only baseline.</w:t>
      </w:r>
      <w:r>
        <w:t xml:space="preserve"> </w:t>
      </w:r>
      <w:r w:rsidRPr="00056869">
        <w:t>Using data from January 2015 to December 2025—comprising 11,664 classified events (presidential communications, Federal Open Market Committee decisions, and a GDELT geopolitical signal),</w:t>
      </w:r>
      <w:r w:rsidR="00B821A9">
        <w:t xml:space="preserve"> </w:t>
      </w:r>
      <w:r w:rsidRPr="00056869">
        <w:t xml:space="preserve">FRED indicators, and Yahoo Finance pricing—the study utilizes FinBERT for sentiment classification. </w:t>
      </w:r>
    </w:p>
    <w:p w14:paraId="5864A003" w14:textId="4925D87E" w:rsidR="00B821A9" w:rsidRDefault="00056869" w:rsidP="00304B4F">
      <w:r w:rsidRPr="00056869">
        <w:t>A constant-mean-return event study measures cumulative abnormal returns (CAR) over a [−5, +10] window, while a DoWhy backdoor-adjusted model isolates causal effects by controlling for VIX regimes and prior-day returns.</w:t>
      </w:r>
      <w:r>
        <w:t xml:space="preserve"> </w:t>
      </w:r>
      <w:r w:rsidRPr="00056869">
        <w:t>Of the five event categories tested</w:t>
      </w:r>
      <w:r>
        <w:t xml:space="preserve"> </w:t>
      </w:r>
      <w:r w:rsidRPr="00056869">
        <w:t xml:space="preserve">1,796 high-impact events, only geopolitical events produced a statistically significant mean CAR (+0.0032, p = 0.024). </w:t>
      </w:r>
    </w:p>
    <w:p w14:paraId="2E41EF71" w14:textId="4BEF2645" w:rsidR="00056869" w:rsidRDefault="00056869" w:rsidP="00304B4F">
      <w:r w:rsidRPr="00056869">
        <w:t>Overall, 4.8% of events yielded significant abnormal returns. The causal analysis revealed a significant positive effect of monetary sentiment on next-day returns (+0.0075, 95% CI: [+0.0033, +0.0115]); estimates for regulatory, trade, geopolitical, and energy sentiment did not exclude zero.</w:t>
      </w:r>
    </w:p>
    <w:p w14:paraId="64B2B7A3" w14:textId="309C08B9" w:rsidR="00B821A9" w:rsidRDefault="00056869" w:rsidP="00304B4F">
      <w:r w:rsidRPr="00056869">
        <w:t xml:space="preserve">SHAP analysis of 95 engineered features identified the event-derived </w:t>
      </w:r>
      <w:proofErr w:type="spellStart"/>
      <w:r w:rsidRPr="00056869">
        <w:t>mean_car</w:t>
      </w:r>
      <w:proofErr w:type="spellEnd"/>
      <w:r w:rsidRPr="00056869">
        <w:t xml:space="preserve"> variable as the single most important predictor across three event-enhanced models (</w:t>
      </w:r>
      <w:proofErr w:type="spellStart"/>
      <w:r w:rsidRPr="00056869">
        <w:t>Event_LASSO</w:t>
      </w:r>
      <w:proofErr w:type="spellEnd"/>
      <w:r w:rsidRPr="00056869">
        <w:t>, XGBoost, LightGBM). However, under pre-registered, Bonferroni-corrected criteria, no machine learning model statistically outperformed a market-only LASSO baseline on RMSE and directional accuracy.</w:t>
      </w:r>
    </w:p>
    <w:p w14:paraId="17B331B7" w14:textId="178F04AA" w:rsidR="00AA57C8" w:rsidRDefault="00056869" w:rsidP="00AA57C8">
      <w:r w:rsidRPr="00056869">
        <w:t>These findings indicate that while a narrow, detectable causal signal exists within monetary policy sentiment, it does not translate into a predictive advantage over a market baseline. The methodology demonstrates that structural causal inference can be productively applied to event-driven financial data.</w:t>
      </w:r>
      <w:r w:rsidR="00AA57C8">
        <w:br w:type="page"/>
      </w:r>
    </w:p>
    <w:p w14:paraId="5086FB7E" w14:textId="77777777" w:rsidR="00AA57C8" w:rsidRDefault="00AA57C8" w:rsidP="00DA7A31">
      <w:pPr>
        <w:pStyle w:val="Heading1"/>
        <w:numPr>
          <w:ilvl w:val="0"/>
          <w:numId w:val="0"/>
        </w:numPr>
        <w:spacing w:after="120"/>
        <w:ind w:left="284" w:hanging="284"/>
      </w:pPr>
      <w:bookmarkStart w:id="1" w:name="_Toc234343190"/>
      <w:r>
        <w:lastRenderedPageBreak/>
        <w:t>Table of Contents</w:t>
      </w:r>
      <w:bookmarkEnd w:id="1"/>
    </w:p>
    <w:sdt>
      <w:sdtPr>
        <w:rPr>
          <w:rFonts w:cstheme="minorBidi"/>
          <w:b w:val="0"/>
          <w:bCs w:val="0"/>
          <w:iCs w:val="0"/>
          <w:sz w:val="24"/>
          <w:szCs w:val="24"/>
        </w:rPr>
        <w:alias w:val="Table of Contents"/>
        <w:id w:val="1843667848"/>
      </w:sdtPr>
      <w:sdtEndPr>
        <w:rPr>
          <w:sz w:val="21"/>
        </w:rPr>
      </w:sdtEndPr>
      <w:sdtContent>
        <w:p w14:paraId="54FC6A5D" w14:textId="3BBC5010" w:rsidR="00410F9A" w:rsidRDefault="00AA57C8">
          <w:pPr>
            <w:pStyle w:val="TOC1"/>
            <w:rPr>
              <w:rFonts w:asciiTheme="minorHAnsi" w:eastAsiaTheme="minorEastAsia" w:hAnsiTheme="minorHAnsi" w:cstheme="minorBidi"/>
              <w:b w:val="0"/>
              <w:bCs w:val="0"/>
              <w:iCs w:val="0"/>
              <w:noProof/>
              <w:color w:val="auto"/>
              <w:kern w:val="2"/>
              <w:sz w:val="24"/>
              <w:szCs w:val="24"/>
              <w:lang w:eastAsia="en-GB"/>
              <w14:ligatures w14:val="standardContextual"/>
            </w:rPr>
          </w:pPr>
          <w:r>
            <w:rPr>
              <w:sz w:val="28"/>
            </w:rPr>
            <w:fldChar w:fldCharType="begin"/>
          </w:r>
          <w:r>
            <w:instrText>TOC \h \o "1-3"</w:instrText>
          </w:r>
          <w:r>
            <w:rPr>
              <w:sz w:val="28"/>
            </w:rPr>
            <w:fldChar w:fldCharType="separate"/>
          </w:r>
          <w:hyperlink w:anchor="_Toc234343189" w:history="1">
            <w:r w:rsidR="00410F9A" w:rsidRPr="00242764">
              <w:rPr>
                <w:rStyle w:val="Hyperlink"/>
                <w:noProof/>
              </w:rPr>
              <w:t>Abstract</w:t>
            </w:r>
            <w:r w:rsidR="00410F9A">
              <w:rPr>
                <w:noProof/>
              </w:rPr>
              <w:tab/>
            </w:r>
            <w:r w:rsidR="00410F9A">
              <w:rPr>
                <w:noProof/>
              </w:rPr>
              <w:fldChar w:fldCharType="begin"/>
            </w:r>
            <w:r w:rsidR="00410F9A">
              <w:rPr>
                <w:noProof/>
              </w:rPr>
              <w:instrText xml:space="preserve"> PAGEREF _Toc234343189 \h </w:instrText>
            </w:r>
            <w:r w:rsidR="00410F9A">
              <w:rPr>
                <w:noProof/>
              </w:rPr>
            </w:r>
            <w:r w:rsidR="00410F9A">
              <w:rPr>
                <w:noProof/>
              </w:rPr>
              <w:fldChar w:fldCharType="separate"/>
            </w:r>
            <w:r w:rsidR="00410F9A">
              <w:rPr>
                <w:noProof/>
              </w:rPr>
              <w:t>2</w:t>
            </w:r>
            <w:r w:rsidR="00410F9A">
              <w:rPr>
                <w:noProof/>
              </w:rPr>
              <w:fldChar w:fldCharType="end"/>
            </w:r>
          </w:hyperlink>
        </w:p>
        <w:p w14:paraId="72894B66" w14:textId="4EAA25B9" w:rsidR="00410F9A" w:rsidRDefault="00410F9A">
          <w:pPr>
            <w:pStyle w:val="TOC1"/>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190" w:history="1">
            <w:r w:rsidRPr="00242764">
              <w:rPr>
                <w:rStyle w:val="Hyperlink"/>
                <w:noProof/>
              </w:rPr>
              <w:t>Table of Contents</w:t>
            </w:r>
            <w:r>
              <w:rPr>
                <w:noProof/>
              </w:rPr>
              <w:tab/>
            </w:r>
            <w:r>
              <w:rPr>
                <w:noProof/>
              </w:rPr>
              <w:fldChar w:fldCharType="begin"/>
            </w:r>
            <w:r>
              <w:rPr>
                <w:noProof/>
              </w:rPr>
              <w:instrText xml:space="preserve"> PAGEREF _Toc234343190 \h </w:instrText>
            </w:r>
            <w:r>
              <w:rPr>
                <w:noProof/>
              </w:rPr>
            </w:r>
            <w:r>
              <w:rPr>
                <w:noProof/>
              </w:rPr>
              <w:fldChar w:fldCharType="separate"/>
            </w:r>
            <w:r>
              <w:rPr>
                <w:noProof/>
              </w:rPr>
              <w:t>3</w:t>
            </w:r>
            <w:r>
              <w:rPr>
                <w:noProof/>
              </w:rPr>
              <w:fldChar w:fldCharType="end"/>
            </w:r>
          </w:hyperlink>
        </w:p>
        <w:p w14:paraId="181E6B30" w14:textId="79F6587F"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191" w:history="1">
            <w:r w:rsidRPr="00242764">
              <w:rPr>
                <w:rStyle w:val="Hyperlink"/>
                <w:noProof/>
              </w:rPr>
              <w:t>1.</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Introduction</w:t>
            </w:r>
            <w:r>
              <w:rPr>
                <w:noProof/>
              </w:rPr>
              <w:tab/>
            </w:r>
            <w:r>
              <w:rPr>
                <w:noProof/>
              </w:rPr>
              <w:fldChar w:fldCharType="begin"/>
            </w:r>
            <w:r>
              <w:rPr>
                <w:noProof/>
              </w:rPr>
              <w:instrText xml:space="preserve"> PAGEREF _Toc234343191 \h </w:instrText>
            </w:r>
            <w:r>
              <w:rPr>
                <w:noProof/>
              </w:rPr>
            </w:r>
            <w:r>
              <w:rPr>
                <w:noProof/>
              </w:rPr>
              <w:fldChar w:fldCharType="separate"/>
            </w:r>
            <w:r>
              <w:rPr>
                <w:noProof/>
              </w:rPr>
              <w:t>4</w:t>
            </w:r>
            <w:r>
              <w:rPr>
                <w:noProof/>
              </w:rPr>
              <w:fldChar w:fldCharType="end"/>
            </w:r>
          </w:hyperlink>
        </w:p>
        <w:p w14:paraId="6202CFE6" w14:textId="7CA105C5"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2" w:history="1">
            <w:r w:rsidRPr="00242764">
              <w:rPr>
                <w:rStyle w:val="Hyperlink"/>
                <w:noProof/>
              </w:rPr>
              <w:t>1.1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Motivation and Research Context</w:t>
            </w:r>
            <w:r>
              <w:rPr>
                <w:noProof/>
              </w:rPr>
              <w:tab/>
            </w:r>
            <w:r>
              <w:rPr>
                <w:noProof/>
              </w:rPr>
              <w:fldChar w:fldCharType="begin"/>
            </w:r>
            <w:r>
              <w:rPr>
                <w:noProof/>
              </w:rPr>
              <w:instrText xml:space="preserve"> PAGEREF _Toc234343192 \h </w:instrText>
            </w:r>
            <w:r>
              <w:rPr>
                <w:noProof/>
              </w:rPr>
            </w:r>
            <w:r>
              <w:rPr>
                <w:noProof/>
              </w:rPr>
              <w:fldChar w:fldCharType="separate"/>
            </w:r>
            <w:r>
              <w:rPr>
                <w:noProof/>
              </w:rPr>
              <w:t>4</w:t>
            </w:r>
            <w:r>
              <w:rPr>
                <w:noProof/>
              </w:rPr>
              <w:fldChar w:fldCharType="end"/>
            </w:r>
          </w:hyperlink>
        </w:p>
        <w:p w14:paraId="20EEA4FD" w14:textId="3C0EBCA1"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3" w:history="1">
            <w:r w:rsidRPr="00242764">
              <w:rPr>
                <w:rStyle w:val="Hyperlink"/>
                <w:noProof/>
              </w:rPr>
              <w:t>1.2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Prior Work and Positioning</w:t>
            </w:r>
            <w:r>
              <w:rPr>
                <w:noProof/>
              </w:rPr>
              <w:tab/>
            </w:r>
            <w:r>
              <w:rPr>
                <w:noProof/>
              </w:rPr>
              <w:fldChar w:fldCharType="begin"/>
            </w:r>
            <w:r>
              <w:rPr>
                <w:noProof/>
              </w:rPr>
              <w:instrText xml:space="preserve"> PAGEREF _Toc234343193 \h </w:instrText>
            </w:r>
            <w:r>
              <w:rPr>
                <w:noProof/>
              </w:rPr>
            </w:r>
            <w:r>
              <w:rPr>
                <w:noProof/>
              </w:rPr>
              <w:fldChar w:fldCharType="separate"/>
            </w:r>
            <w:r>
              <w:rPr>
                <w:noProof/>
              </w:rPr>
              <w:t>5</w:t>
            </w:r>
            <w:r>
              <w:rPr>
                <w:noProof/>
              </w:rPr>
              <w:fldChar w:fldCharType="end"/>
            </w:r>
          </w:hyperlink>
        </w:p>
        <w:p w14:paraId="7E3C501A" w14:textId="400201B3"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4" w:history="1">
            <w:r w:rsidRPr="00242764">
              <w:rPr>
                <w:rStyle w:val="Hyperlink"/>
                <w:noProof/>
              </w:rPr>
              <w:t>1.3</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Scope and Contributions</w:t>
            </w:r>
            <w:r>
              <w:rPr>
                <w:noProof/>
              </w:rPr>
              <w:tab/>
            </w:r>
            <w:r>
              <w:rPr>
                <w:noProof/>
              </w:rPr>
              <w:fldChar w:fldCharType="begin"/>
            </w:r>
            <w:r>
              <w:rPr>
                <w:noProof/>
              </w:rPr>
              <w:instrText xml:space="preserve"> PAGEREF _Toc234343194 \h </w:instrText>
            </w:r>
            <w:r>
              <w:rPr>
                <w:noProof/>
              </w:rPr>
            </w:r>
            <w:r>
              <w:rPr>
                <w:noProof/>
              </w:rPr>
              <w:fldChar w:fldCharType="separate"/>
            </w:r>
            <w:r>
              <w:rPr>
                <w:noProof/>
              </w:rPr>
              <w:t>6</w:t>
            </w:r>
            <w:r>
              <w:rPr>
                <w:noProof/>
              </w:rPr>
              <w:fldChar w:fldCharType="end"/>
            </w:r>
          </w:hyperlink>
        </w:p>
        <w:p w14:paraId="6AD9FF9C" w14:textId="54D75932"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195" w:history="1">
            <w:r w:rsidRPr="00242764">
              <w:rPr>
                <w:rStyle w:val="Hyperlink"/>
                <w:noProof/>
              </w:rPr>
              <w:t>2.</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Data Sources</w:t>
            </w:r>
            <w:r>
              <w:rPr>
                <w:noProof/>
              </w:rPr>
              <w:tab/>
            </w:r>
            <w:r>
              <w:rPr>
                <w:noProof/>
              </w:rPr>
              <w:fldChar w:fldCharType="begin"/>
            </w:r>
            <w:r>
              <w:rPr>
                <w:noProof/>
              </w:rPr>
              <w:instrText xml:space="preserve"> PAGEREF _Toc234343195 \h </w:instrText>
            </w:r>
            <w:r>
              <w:rPr>
                <w:noProof/>
              </w:rPr>
            </w:r>
            <w:r>
              <w:rPr>
                <w:noProof/>
              </w:rPr>
              <w:fldChar w:fldCharType="separate"/>
            </w:r>
            <w:r>
              <w:rPr>
                <w:noProof/>
              </w:rPr>
              <w:t>7</w:t>
            </w:r>
            <w:r>
              <w:rPr>
                <w:noProof/>
              </w:rPr>
              <w:fldChar w:fldCharType="end"/>
            </w:r>
          </w:hyperlink>
        </w:p>
        <w:p w14:paraId="483001C7" w14:textId="76287E18"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6" w:history="1">
            <w:r w:rsidRPr="00242764">
              <w:rPr>
                <w:rStyle w:val="Hyperlink"/>
                <w:noProof/>
              </w:rPr>
              <w:t>2.1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Overview</w:t>
            </w:r>
            <w:r>
              <w:rPr>
                <w:noProof/>
              </w:rPr>
              <w:tab/>
            </w:r>
            <w:r>
              <w:rPr>
                <w:noProof/>
              </w:rPr>
              <w:fldChar w:fldCharType="begin"/>
            </w:r>
            <w:r>
              <w:rPr>
                <w:noProof/>
              </w:rPr>
              <w:instrText xml:space="preserve"> PAGEREF _Toc234343196 \h </w:instrText>
            </w:r>
            <w:r>
              <w:rPr>
                <w:noProof/>
              </w:rPr>
            </w:r>
            <w:r>
              <w:rPr>
                <w:noProof/>
              </w:rPr>
              <w:fldChar w:fldCharType="separate"/>
            </w:r>
            <w:r>
              <w:rPr>
                <w:noProof/>
              </w:rPr>
              <w:t>7</w:t>
            </w:r>
            <w:r>
              <w:rPr>
                <w:noProof/>
              </w:rPr>
              <w:fldChar w:fldCharType="end"/>
            </w:r>
          </w:hyperlink>
        </w:p>
        <w:p w14:paraId="74C0FDBD" w14:textId="12A9C025"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7" w:history="1">
            <w:r w:rsidRPr="00242764">
              <w:rPr>
                <w:rStyle w:val="Hyperlink"/>
                <w:noProof/>
              </w:rPr>
              <w:t>2.2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Equity and Volatility Data</w:t>
            </w:r>
            <w:r>
              <w:rPr>
                <w:noProof/>
              </w:rPr>
              <w:tab/>
            </w:r>
            <w:r>
              <w:rPr>
                <w:noProof/>
              </w:rPr>
              <w:fldChar w:fldCharType="begin"/>
            </w:r>
            <w:r>
              <w:rPr>
                <w:noProof/>
              </w:rPr>
              <w:instrText xml:space="preserve"> PAGEREF _Toc234343197 \h </w:instrText>
            </w:r>
            <w:r>
              <w:rPr>
                <w:noProof/>
              </w:rPr>
            </w:r>
            <w:r>
              <w:rPr>
                <w:noProof/>
              </w:rPr>
              <w:fldChar w:fldCharType="separate"/>
            </w:r>
            <w:r>
              <w:rPr>
                <w:noProof/>
              </w:rPr>
              <w:t>7</w:t>
            </w:r>
            <w:r>
              <w:rPr>
                <w:noProof/>
              </w:rPr>
              <w:fldChar w:fldCharType="end"/>
            </w:r>
          </w:hyperlink>
        </w:p>
        <w:p w14:paraId="2AD342AF" w14:textId="5F7F7561"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8" w:history="1">
            <w:r w:rsidRPr="00242764">
              <w:rPr>
                <w:rStyle w:val="Hyperlink"/>
                <w:noProof/>
              </w:rPr>
              <w:t>2.3</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Presidential Documents</w:t>
            </w:r>
            <w:r>
              <w:rPr>
                <w:noProof/>
              </w:rPr>
              <w:tab/>
            </w:r>
            <w:r>
              <w:rPr>
                <w:noProof/>
              </w:rPr>
              <w:fldChar w:fldCharType="begin"/>
            </w:r>
            <w:r>
              <w:rPr>
                <w:noProof/>
              </w:rPr>
              <w:instrText xml:space="preserve"> PAGEREF _Toc234343198 \h </w:instrText>
            </w:r>
            <w:r>
              <w:rPr>
                <w:noProof/>
              </w:rPr>
            </w:r>
            <w:r>
              <w:rPr>
                <w:noProof/>
              </w:rPr>
              <w:fldChar w:fldCharType="separate"/>
            </w:r>
            <w:r>
              <w:rPr>
                <w:noProof/>
              </w:rPr>
              <w:t>7</w:t>
            </w:r>
            <w:r>
              <w:rPr>
                <w:noProof/>
              </w:rPr>
              <w:fldChar w:fldCharType="end"/>
            </w:r>
          </w:hyperlink>
        </w:p>
        <w:p w14:paraId="05B1F331" w14:textId="659B7441"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199" w:history="1">
            <w:r w:rsidRPr="00242764">
              <w:rPr>
                <w:rStyle w:val="Hyperlink"/>
                <w:noProof/>
              </w:rPr>
              <w:t>2.4</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Macroeconomic Indicators</w:t>
            </w:r>
            <w:r>
              <w:rPr>
                <w:noProof/>
              </w:rPr>
              <w:tab/>
            </w:r>
            <w:r>
              <w:rPr>
                <w:noProof/>
              </w:rPr>
              <w:fldChar w:fldCharType="begin"/>
            </w:r>
            <w:r>
              <w:rPr>
                <w:noProof/>
              </w:rPr>
              <w:instrText xml:space="preserve"> PAGEREF _Toc234343199 \h </w:instrText>
            </w:r>
            <w:r>
              <w:rPr>
                <w:noProof/>
              </w:rPr>
            </w:r>
            <w:r>
              <w:rPr>
                <w:noProof/>
              </w:rPr>
              <w:fldChar w:fldCharType="separate"/>
            </w:r>
            <w:r>
              <w:rPr>
                <w:noProof/>
              </w:rPr>
              <w:t>8</w:t>
            </w:r>
            <w:r>
              <w:rPr>
                <w:noProof/>
              </w:rPr>
              <w:fldChar w:fldCharType="end"/>
            </w:r>
          </w:hyperlink>
        </w:p>
        <w:p w14:paraId="16CB5A72" w14:textId="652FBA25"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0" w:history="1">
            <w:r w:rsidRPr="00242764">
              <w:rPr>
                <w:rStyle w:val="Hyperlink"/>
                <w:noProof/>
              </w:rPr>
              <w:t>2.5</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FOMC Meeting Calendar</w:t>
            </w:r>
            <w:r>
              <w:rPr>
                <w:noProof/>
              </w:rPr>
              <w:tab/>
            </w:r>
            <w:r>
              <w:rPr>
                <w:noProof/>
              </w:rPr>
              <w:fldChar w:fldCharType="begin"/>
            </w:r>
            <w:r>
              <w:rPr>
                <w:noProof/>
              </w:rPr>
              <w:instrText xml:space="preserve"> PAGEREF _Toc234343200 \h </w:instrText>
            </w:r>
            <w:r>
              <w:rPr>
                <w:noProof/>
              </w:rPr>
            </w:r>
            <w:r>
              <w:rPr>
                <w:noProof/>
              </w:rPr>
              <w:fldChar w:fldCharType="separate"/>
            </w:r>
            <w:r>
              <w:rPr>
                <w:noProof/>
              </w:rPr>
              <w:t>8</w:t>
            </w:r>
            <w:r>
              <w:rPr>
                <w:noProof/>
              </w:rPr>
              <w:fldChar w:fldCharType="end"/>
            </w:r>
          </w:hyperlink>
        </w:p>
        <w:p w14:paraId="1259915F" w14:textId="251B8274"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1" w:history="1">
            <w:r w:rsidRPr="00242764">
              <w:rPr>
                <w:rStyle w:val="Hyperlink"/>
                <w:noProof/>
              </w:rPr>
              <w:t>2.6</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Data Limitations</w:t>
            </w:r>
            <w:r>
              <w:rPr>
                <w:noProof/>
              </w:rPr>
              <w:tab/>
            </w:r>
            <w:r>
              <w:rPr>
                <w:noProof/>
              </w:rPr>
              <w:fldChar w:fldCharType="begin"/>
            </w:r>
            <w:r>
              <w:rPr>
                <w:noProof/>
              </w:rPr>
              <w:instrText xml:space="preserve"> PAGEREF _Toc234343201 \h </w:instrText>
            </w:r>
            <w:r>
              <w:rPr>
                <w:noProof/>
              </w:rPr>
            </w:r>
            <w:r>
              <w:rPr>
                <w:noProof/>
              </w:rPr>
              <w:fldChar w:fldCharType="separate"/>
            </w:r>
            <w:r>
              <w:rPr>
                <w:noProof/>
              </w:rPr>
              <w:t>8</w:t>
            </w:r>
            <w:r>
              <w:rPr>
                <w:noProof/>
              </w:rPr>
              <w:fldChar w:fldCharType="end"/>
            </w:r>
          </w:hyperlink>
        </w:p>
        <w:p w14:paraId="112AA7B5" w14:textId="5E8C11FF"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02" w:history="1">
            <w:r w:rsidRPr="00242764">
              <w:rPr>
                <w:rStyle w:val="Hyperlink"/>
                <w:noProof/>
                <w:highlight w:val="yellow"/>
              </w:rPr>
              <w:t>3.</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highlight w:val="yellow"/>
              </w:rPr>
              <w:t>Methods</w:t>
            </w:r>
            <w:r>
              <w:rPr>
                <w:noProof/>
              </w:rPr>
              <w:tab/>
            </w:r>
            <w:r>
              <w:rPr>
                <w:noProof/>
              </w:rPr>
              <w:fldChar w:fldCharType="begin"/>
            </w:r>
            <w:r>
              <w:rPr>
                <w:noProof/>
              </w:rPr>
              <w:instrText xml:space="preserve"> PAGEREF _Toc234343202 \h </w:instrText>
            </w:r>
            <w:r>
              <w:rPr>
                <w:noProof/>
              </w:rPr>
            </w:r>
            <w:r>
              <w:rPr>
                <w:noProof/>
              </w:rPr>
              <w:fldChar w:fldCharType="separate"/>
            </w:r>
            <w:r>
              <w:rPr>
                <w:noProof/>
              </w:rPr>
              <w:t>9</w:t>
            </w:r>
            <w:r>
              <w:rPr>
                <w:noProof/>
              </w:rPr>
              <w:fldChar w:fldCharType="end"/>
            </w:r>
          </w:hyperlink>
        </w:p>
        <w:p w14:paraId="2C707517" w14:textId="6691EBF8"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3" w:history="1">
            <w:r w:rsidRPr="00242764">
              <w:rPr>
                <w:rStyle w:val="Hyperlink"/>
                <w:noProof/>
              </w:rPr>
              <w:t>3.1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Pipeline Overview</w:t>
            </w:r>
            <w:r>
              <w:rPr>
                <w:noProof/>
              </w:rPr>
              <w:tab/>
            </w:r>
            <w:r>
              <w:rPr>
                <w:noProof/>
              </w:rPr>
              <w:fldChar w:fldCharType="begin"/>
            </w:r>
            <w:r>
              <w:rPr>
                <w:noProof/>
              </w:rPr>
              <w:instrText xml:space="preserve"> PAGEREF _Toc234343203 \h </w:instrText>
            </w:r>
            <w:r>
              <w:rPr>
                <w:noProof/>
              </w:rPr>
            </w:r>
            <w:r>
              <w:rPr>
                <w:noProof/>
              </w:rPr>
              <w:fldChar w:fldCharType="separate"/>
            </w:r>
            <w:r>
              <w:rPr>
                <w:noProof/>
              </w:rPr>
              <w:t>9</w:t>
            </w:r>
            <w:r>
              <w:rPr>
                <w:noProof/>
              </w:rPr>
              <w:fldChar w:fldCharType="end"/>
            </w:r>
          </w:hyperlink>
        </w:p>
        <w:p w14:paraId="7148BEE1" w14:textId="05DA8314"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4" w:history="1">
            <w:r w:rsidRPr="00242764">
              <w:rPr>
                <w:rStyle w:val="Hyperlink"/>
                <w:noProof/>
              </w:rPr>
              <w:t>3.2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Event Detection and Sentiment Scoring</w:t>
            </w:r>
            <w:r>
              <w:rPr>
                <w:noProof/>
              </w:rPr>
              <w:tab/>
            </w:r>
            <w:r>
              <w:rPr>
                <w:noProof/>
              </w:rPr>
              <w:fldChar w:fldCharType="begin"/>
            </w:r>
            <w:r>
              <w:rPr>
                <w:noProof/>
              </w:rPr>
              <w:instrText xml:space="preserve"> PAGEREF _Toc234343204 \h </w:instrText>
            </w:r>
            <w:r>
              <w:rPr>
                <w:noProof/>
              </w:rPr>
            </w:r>
            <w:r>
              <w:rPr>
                <w:noProof/>
              </w:rPr>
              <w:fldChar w:fldCharType="separate"/>
            </w:r>
            <w:r>
              <w:rPr>
                <w:noProof/>
              </w:rPr>
              <w:t>9</w:t>
            </w:r>
            <w:r>
              <w:rPr>
                <w:noProof/>
              </w:rPr>
              <w:fldChar w:fldCharType="end"/>
            </w:r>
          </w:hyperlink>
        </w:p>
        <w:p w14:paraId="0ECFC18A" w14:textId="6E3FFC4B"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5" w:history="1">
            <w:r w:rsidRPr="00242764">
              <w:rPr>
                <w:rStyle w:val="Hyperlink"/>
                <w:noProof/>
              </w:rPr>
              <w:t>3.3</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Event Study Analysis</w:t>
            </w:r>
            <w:r>
              <w:rPr>
                <w:noProof/>
              </w:rPr>
              <w:tab/>
            </w:r>
            <w:r>
              <w:rPr>
                <w:noProof/>
              </w:rPr>
              <w:fldChar w:fldCharType="begin"/>
            </w:r>
            <w:r>
              <w:rPr>
                <w:noProof/>
              </w:rPr>
              <w:instrText xml:space="preserve"> PAGEREF _Toc234343205 \h </w:instrText>
            </w:r>
            <w:r>
              <w:rPr>
                <w:noProof/>
              </w:rPr>
            </w:r>
            <w:r>
              <w:rPr>
                <w:noProof/>
              </w:rPr>
              <w:fldChar w:fldCharType="separate"/>
            </w:r>
            <w:r>
              <w:rPr>
                <w:noProof/>
              </w:rPr>
              <w:t>11</w:t>
            </w:r>
            <w:r>
              <w:rPr>
                <w:noProof/>
              </w:rPr>
              <w:fldChar w:fldCharType="end"/>
            </w:r>
          </w:hyperlink>
        </w:p>
        <w:p w14:paraId="53409217" w14:textId="5C8B1ACD"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6" w:history="1">
            <w:r w:rsidRPr="00242764">
              <w:rPr>
                <w:rStyle w:val="Hyperlink"/>
                <w:noProof/>
              </w:rPr>
              <w:t>3.4</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Causal Inference with DoWhy</w:t>
            </w:r>
            <w:r>
              <w:rPr>
                <w:noProof/>
              </w:rPr>
              <w:tab/>
            </w:r>
            <w:r>
              <w:rPr>
                <w:noProof/>
              </w:rPr>
              <w:fldChar w:fldCharType="begin"/>
            </w:r>
            <w:r>
              <w:rPr>
                <w:noProof/>
              </w:rPr>
              <w:instrText xml:space="preserve"> PAGEREF _Toc234343206 \h </w:instrText>
            </w:r>
            <w:r>
              <w:rPr>
                <w:noProof/>
              </w:rPr>
            </w:r>
            <w:r>
              <w:rPr>
                <w:noProof/>
              </w:rPr>
              <w:fldChar w:fldCharType="separate"/>
            </w:r>
            <w:r>
              <w:rPr>
                <w:noProof/>
              </w:rPr>
              <w:t>11</w:t>
            </w:r>
            <w:r>
              <w:rPr>
                <w:noProof/>
              </w:rPr>
              <w:fldChar w:fldCharType="end"/>
            </w:r>
          </w:hyperlink>
        </w:p>
        <w:p w14:paraId="6F3156B7" w14:textId="33445FC3"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7" w:history="1">
            <w:r w:rsidRPr="00242764">
              <w:rPr>
                <w:rStyle w:val="Hyperlink"/>
                <w:noProof/>
              </w:rPr>
              <w:t>3.5</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Feature Engineering</w:t>
            </w:r>
            <w:r>
              <w:rPr>
                <w:noProof/>
              </w:rPr>
              <w:tab/>
            </w:r>
            <w:r>
              <w:rPr>
                <w:noProof/>
              </w:rPr>
              <w:fldChar w:fldCharType="begin"/>
            </w:r>
            <w:r>
              <w:rPr>
                <w:noProof/>
              </w:rPr>
              <w:instrText xml:space="preserve"> PAGEREF _Toc234343207 \h </w:instrText>
            </w:r>
            <w:r>
              <w:rPr>
                <w:noProof/>
              </w:rPr>
            </w:r>
            <w:r>
              <w:rPr>
                <w:noProof/>
              </w:rPr>
              <w:fldChar w:fldCharType="separate"/>
            </w:r>
            <w:r>
              <w:rPr>
                <w:noProof/>
              </w:rPr>
              <w:t>12</w:t>
            </w:r>
            <w:r>
              <w:rPr>
                <w:noProof/>
              </w:rPr>
              <w:fldChar w:fldCharType="end"/>
            </w:r>
          </w:hyperlink>
        </w:p>
        <w:p w14:paraId="52D8ACEE" w14:textId="512705D3"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08" w:history="1">
            <w:r w:rsidRPr="00242764">
              <w:rPr>
                <w:rStyle w:val="Hyperlink"/>
                <w:noProof/>
              </w:rPr>
              <w:t>3.6</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Predictive Modelling</w:t>
            </w:r>
            <w:r>
              <w:rPr>
                <w:noProof/>
              </w:rPr>
              <w:tab/>
            </w:r>
            <w:r>
              <w:rPr>
                <w:noProof/>
              </w:rPr>
              <w:fldChar w:fldCharType="begin"/>
            </w:r>
            <w:r>
              <w:rPr>
                <w:noProof/>
              </w:rPr>
              <w:instrText xml:space="preserve"> PAGEREF _Toc234343208 \h </w:instrText>
            </w:r>
            <w:r>
              <w:rPr>
                <w:noProof/>
              </w:rPr>
            </w:r>
            <w:r>
              <w:rPr>
                <w:noProof/>
              </w:rPr>
              <w:fldChar w:fldCharType="separate"/>
            </w:r>
            <w:r>
              <w:rPr>
                <w:noProof/>
              </w:rPr>
              <w:t>14</w:t>
            </w:r>
            <w:r>
              <w:rPr>
                <w:noProof/>
              </w:rPr>
              <w:fldChar w:fldCharType="end"/>
            </w:r>
          </w:hyperlink>
        </w:p>
        <w:p w14:paraId="5D6F0971" w14:textId="586AB5EA"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09" w:history="1">
            <w:r w:rsidRPr="00242764">
              <w:rPr>
                <w:rStyle w:val="Hyperlink"/>
                <w:noProof/>
              </w:rPr>
              <w:t>4.</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Results</w:t>
            </w:r>
            <w:r>
              <w:rPr>
                <w:noProof/>
              </w:rPr>
              <w:tab/>
            </w:r>
            <w:r>
              <w:rPr>
                <w:noProof/>
              </w:rPr>
              <w:fldChar w:fldCharType="begin"/>
            </w:r>
            <w:r>
              <w:rPr>
                <w:noProof/>
              </w:rPr>
              <w:instrText xml:space="preserve"> PAGEREF _Toc234343209 \h </w:instrText>
            </w:r>
            <w:r>
              <w:rPr>
                <w:noProof/>
              </w:rPr>
            </w:r>
            <w:r>
              <w:rPr>
                <w:noProof/>
              </w:rPr>
              <w:fldChar w:fldCharType="separate"/>
            </w:r>
            <w:r>
              <w:rPr>
                <w:noProof/>
              </w:rPr>
              <w:t>16</w:t>
            </w:r>
            <w:r>
              <w:rPr>
                <w:noProof/>
              </w:rPr>
              <w:fldChar w:fldCharType="end"/>
            </w:r>
          </w:hyperlink>
        </w:p>
        <w:p w14:paraId="07CA0BDF" w14:textId="587DC133"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0" w:history="1">
            <w:r w:rsidRPr="00242764">
              <w:rPr>
                <w:rStyle w:val="Hyperlink"/>
                <w:noProof/>
              </w:rPr>
              <w:t>4.1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Event Detection and Sentiment Scoring</w:t>
            </w:r>
            <w:r>
              <w:rPr>
                <w:noProof/>
              </w:rPr>
              <w:tab/>
            </w:r>
            <w:r>
              <w:rPr>
                <w:noProof/>
              </w:rPr>
              <w:fldChar w:fldCharType="begin"/>
            </w:r>
            <w:r>
              <w:rPr>
                <w:noProof/>
              </w:rPr>
              <w:instrText xml:space="preserve"> PAGEREF _Toc234343210 \h </w:instrText>
            </w:r>
            <w:r>
              <w:rPr>
                <w:noProof/>
              </w:rPr>
            </w:r>
            <w:r>
              <w:rPr>
                <w:noProof/>
              </w:rPr>
              <w:fldChar w:fldCharType="separate"/>
            </w:r>
            <w:r>
              <w:rPr>
                <w:noProof/>
              </w:rPr>
              <w:t>16</w:t>
            </w:r>
            <w:r>
              <w:rPr>
                <w:noProof/>
              </w:rPr>
              <w:fldChar w:fldCharType="end"/>
            </w:r>
          </w:hyperlink>
        </w:p>
        <w:p w14:paraId="6D3618FD" w14:textId="4E2F4EAC"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1" w:history="1">
            <w:r w:rsidRPr="00242764">
              <w:rPr>
                <w:rStyle w:val="Hyperlink"/>
                <w:noProof/>
              </w:rPr>
              <w:t>4.2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Event Study: Cumulative Abnormal Returns</w:t>
            </w:r>
            <w:r>
              <w:rPr>
                <w:noProof/>
              </w:rPr>
              <w:tab/>
            </w:r>
            <w:r>
              <w:rPr>
                <w:noProof/>
              </w:rPr>
              <w:fldChar w:fldCharType="begin"/>
            </w:r>
            <w:r>
              <w:rPr>
                <w:noProof/>
              </w:rPr>
              <w:instrText xml:space="preserve"> PAGEREF _Toc234343211 \h </w:instrText>
            </w:r>
            <w:r>
              <w:rPr>
                <w:noProof/>
              </w:rPr>
            </w:r>
            <w:r>
              <w:rPr>
                <w:noProof/>
              </w:rPr>
              <w:fldChar w:fldCharType="separate"/>
            </w:r>
            <w:r>
              <w:rPr>
                <w:noProof/>
              </w:rPr>
              <w:t>17</w:t>
            </w:r>
            <w:r>
              <w:rPr>
                <w:noProof/>
              </w:rPr>
              <w:fldChar w:fldCharType="end"/>
            </w:r>
          </w:hyperlink>
        </w:p>
        <w:p w14:paraId="4F699DD7" w14:textId="36E35115"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2" w:history="1">
            <w:r w:rsidRPr="00242764">
              <w:rPr>
                <w:rStyle w:val="Hyperlink"/>
                <w:noProof/>
              </w:rPr>
              <w:t>4.3</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Causal Analysis</w:t>
            </w:r>
            <w:r>
              <w:rPr>
                <w:noProof/>
              </w:rPr>
              <w:tab/>
            </w:r>
            <w:r>
              <w:rPr>
                <w:noProof/>
              </w:rPr>
              <w:fldChar w:fldCharType="begin"/>
            </w:r>
            <w:r>
              <w:rPr>
                <w:noProof/>
              </w:rPr>
              <w:instrText xml:space="preserve"> PAGEREF _Toc234343212 \h </w:instrText>
            </w:r>
            <w:r>
              <w:rPr>
                <w:noProof/>
              </w:rPr>
            </w:r>
            <w:r>
              <w:rPr>
                <w:noProof/>
              </w:rPr>
              <w:fldChar w:fldCharType="separate"/>
            </w:r>
            <w:r>
              <w:rPr>
                <w:noProof/>
              </w:rPr>
              <w:t>18</w:t>
            </w:r>
            <w:r>
              <w:rPr>
                <w:noProof/>
              </w:rPr>
              <w:fldChar w:fldCharType="end"/>
            </w:r>
          </w:hyperlink>
        </w:p>
        <w:p w14:paraId="21D92B95" w14:textId="28949A57"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3" w:history="1">
            <w:r w:rsidRPr="00242764">
              <w:rPr>
                <w:rStyle w:val="Hyperlink"/>
                <w:noProof/>
              </w:rPr>
              <w:t>4.4</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Feature Engineering</w:t>
            </w:r>
            <w:r>
              <w:rPr>
                <w:noProof/>
              </w:rPr>
              <w:tab/>
            </w:r>
            <w:r>
              <w:rPr>
                <w:noProof/>
              </w:rPr>
              <w:fldChar w:fldCharType="begin"/>
            </w:r>
            <w:r>
              <w:rPr>
                <w:noProof/>
              </w:rPr>
              <w:instrText xml:space="preserve"> PAGEREF _Toc234343213 \h </w:instrText>
            </w:r>
            <w:r>
              <w:rPr>
                <w:noProof/>
              </w:rPr>
            </w:r>
            <w:r>
              <w:rPr>
                <w:noProof/>
              </w:rPr>
              <w:fldChar w:fldCharType="separate"/>
            </w:r>
            <w:r>
              <w:rPr>
                <w:noProof/>
              </w:rPr>
              <w:t>19</w:t>
            </w:r>
            <w:r>
              <w:rPr>
                <w:noProof/>
              </w:rPr>
              <w:fldChar w:fldCharType="end"/>
            </w:r>
          </w:hyperlink>
        </w:p>
        <w:p w14:paraId="2369AAE1" w14:textId="3ECDBF2E"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4" w:history="1">
            <w:r w:rsidRPr="00242764">
              <w:rPr>
                <w:rStyle w:val="Hyperlink"/>
                <w:noProof/>
              </w:rPr>
              <w:t>4.5</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Model Performance</w:t>
            </w:r>
            <w:r>
              <w:rPr>
                <w:noProof/>
              </w:rPr>
              <w:tab/>
            </w:r>
            <w:r>
              <w:rPr>
                <w:noProof/>
              </w:rPr>
              <w:fldChar w:fldCharType="begin"/>
            </w:r>
            <w:r>
              <w:rPr>
                <w:noProof/>
              </w:rPr>
              <w:instrText xml:space="preserve"> PAGEREF _Toc234343214 \h </w:instrText>
            </w:r>
            <w:r>
              <w:rPr>
                <w:noProof/>
              </w:rPr>
            </w:r>
            <w:r>
              <w:rPr>
                <w:noProof/>
              </w:rPr>
              <w:fldChar w:fldCharType="separate"/>
            </w:r>
            <w:r>
              <w:rPr>
                <w:noProof/>
              </w:rPr>
              <w:t>21</w:t>
            </w:r>
            <w:r>
              <w:rPr>
                <w:noProof/>
              </w:rPr>
              <w:fldChar w:fldCharType="end"/>
            </w:r>
          </w:hyperlink>
        </w:p>
        <w:p w14:paraId="27CD329C" w14:textId="14A00074"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5" w:history="1">
            <w:r w:rsidRPr="00242764">
              <w:rPr>
                <w:rStyle w:val="Hyperlink"/>
                <w:noProof/>
              </w:rPr>
              <w:t>4.6</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SHAP Explainability</w:t>
            </w:r>
            <w:r>
              <w:rPr>
                <w:noProof/>
              </w:rPr>
              <w:tab/>
            </w:r>
            <w:r>
              <w:rPr>
                <w:noProof/>
              </w:rPr>
              <w:fldChar w:fldCharType="begin"/>
            </w:r>
            <w:r>
              <w:rPr>
                <w:noProof/>
              </w:rPr>
              <w:instrText xml:space="preserve"> PAGEREF _Toc234343215 \h </w:instrText>
            </w:r>
            <w:r>
              <w:rPr>
                <w:noProof/>
              </w:rPr>
            </w:r>
            <w:r>
              <w:rPr>
                <w:noProof/>
              </w:rPr>
              <w:fldChar w:fldCharType="separate"/>
            </w:r>
            <w:r>
              <w:rPr>
                <w:noProof/>
              </w:rPr>
              <w:t>22</w:t>
            </w:r>
            <w:r>
              <w:rPr>
                <w:noProof/>
              </w:rPr>
              <w:fldChar w:fldCharType="end"/>
            </w:r>
          </w:hyperlink>
        </w:p>
        <w:p w14:paraId="061B5F58" w14:textId="3C4EF167"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6" w:history="1">
            <w:r w:rsidRPr="00242764">
              <w:rPr>
                <w:rStyle w:val="Hyperlink"/>
                <w:noProof/>
              </w:rPr>
              <w:t>4.7</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Residual Diagnostics</w:t>
            </w:r>
            <w:r>
              <w:rPr>
                <w:noProof/>
              </w:rPr>
              <w:tab/>
            </w:r>
            <w:r>
              <w:rPr>
                <w:noProof/>
              </w:rPr>
              <w:fldChar w:fldCharType="begin"/>
            </w:r>
            <w:r>
              <w:rPr>
                <w:noProof/>
              </w:rPr>
              <w:instrText xml:space="preserve"> PAGEREF _Toc234343216 \h </w:instrText>
            </w:r>
            <w:r>
              <w:rPr>
                <w:noProof/>
              </w:rPr>
            </w:r>
            <w:r>
              <w:rPr>
                <w:noProof/>
              </w:rPr>
              <w:fldChar w:fldCharType="separate"/>
            </w:r>
            <w:r>
              <w:rPr>
                <w:noProof/>
              </w:rPr>
              <w:t>23</w:t>
            </w:r>
            <w:r>
              <w:rPr>
                <w:noProof/>
              </w:rPr>
              <w:fldChar w:fldCharType="end"/>
            </w:r>
          </w:hyperlink>
        </w:p>
        <w:p w14:paraId="6325702F" w14:textId="148F1C85"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17" w:history="1">
            <w:r w:rsidRPr="00242764">
              <w:rPr>
                <w:rStyle w:val="Hyperlink"/>
                <w:noProof/>
              </w:rPr>
              <w:t>5.</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5. Discussion</w:t>
            </w:r>
            <w:r>
              <w:rPr>
                <w:noProof/>
              </w:rPr>
              <w:tab/>
            </w:r>
            <w:r>
              <w:rPr>
                <w:noProof/>
              </w:rPr>
              <w:fldChar w:fldCharType="begin"/>
            </w:r>
            <w:r>
              <w:rPr>
                <w:noProof/>
              </w:rPr>
              <w:instrText xml:space="preserve"> PAGEREF _Toc234343217 \h </w:instrText>
            </w:r>
            <w:r>
              <w:rPr>
                <w:noProof/>
              </w:rPr>
            </w:r>
            <w:r>
              <w:rPr>
                <w:noProof/>
              </w:rPr>
              <w:fldChar w:fldCharType="separate"/>
            </w:r>
            <w:r>
              <w:rPr>
                <w:noProof/>
              </w:rPr>
              <w:t>24</w:t>
            </w:r>
            <w:r>
              <w:rPr>
                <w:noProof/>
              </w:rPr>
              <w:fldChar w:fldCharType="end"/>
            </w:r>
          </w:hyperlink>
        </w:p>
        <w:p w14:paraId="2E4DA446" w14:textId="7D92FAD0"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8" w:history="1">
            <w:r w:rsidRPr="00242764">
              <w:rPr>
                <w:rStyle w:val="Hyperlink"/>
                <w:noProof/>
              </w:rPr>
              <w:t>5.1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Interpretation of Causal Findings</w:t>
            </w:r>
            <w:r>
              <w:rPr>
                <w:noProof/>
              </w:rPr>
              <w:tab/>
            </w:r>
            <w:r>
              <w:rPr>
                <w:noProof/>
              </w:rPr>
              <w:fldChar w:fldCharType="begin"/>
            </w:r>
            <w:r>
              <w:rPr>
                <w:noProof/>
              </w:rPr>
              <w:instrText xml:space="preserve"> PAGEREF _Toc234343218 \h </w:instrText>
            </w:r>
            <w:r>
              <w:rPr>
                <w:noProof/>
              </w:rPr>
            </w:r>
            <w:r>
              <w:rPr>
                <w:noProof/>
              </w:rPr>
              <w:fldChar w:fldCharType="separate"/>
            </w:r>
            <w:r>
              <w:rPr>
                <w:noProof/>
              </w:rPr>
              <w:t>24</w:t>
            </w:r>
            <w:r>
              <w:rPr>
                <w:noProof/>
              </w:rPr>
              <w:fldChar w:fldCharType="end"/>
            </w:r>
          </w:hyperlink>
        </w:p>
        <w:p w14:paraId="73A3EC2A" w14:textId="277F31BF"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19" w:history="1">
            <w:r w:rsidRPr="00242764">
              <w:rPr>
                <w:rStyle w:val="Hyperlink"/>
                <w:noProof/>
              </w:rPr>
              <w:t>5.2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Predictive Model Performance in Context</w:t>
            </w:r>
            <w:r>
              <w:rPr>
                <w:noProof/>
              </w:rPr>
              <w:tab/>
            </w:r>
            <w:r>
              <w:rPr>
                <w:noProof/>
              </w:rPr>
              <w:fldChar w:fldCharType="begin"/>
            </w:r>
            <w:r>
              <w:rPr>
                <w:noProof/>
              </w:rPr>
              <w:instrText xml:space="preserve"> PAGEREF _Toc234343219 \h </w:instrText>
            </w:r>
            <w:r>
              <w:rPr>
                <w:noProof/>
              </w:rPr>
            </w:r>
            <w:r>
              <w:rPr>
                <w:noProof/>
              </w:rPr>
              <w:fldChar w:fldCharType="separate"/>
            </w:r>
            <w:r>
              <w:rPr>
                <w:noProof/>
              </w:rPr>
              <w:t>25</w:t>
            </w:r>
            <w:r>
              <w:rPr>
                <w:noProof/>
              </w:rPr>
              <w:fldChar w:fldCharType="end"/>
            </w:r>
          </w:hyperlink>
        </w:p>
        <w:p w14:paraId="72A8062F" w14:textId="19C81503"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20" w:history="1">
            <w:r w:rsidRPr="00242764">
              <w:rPr>
                <w:rStyle w:val="Hyperlink"/>
                <w:noProof/>
              </w:rPr>
              <w:t>5.3</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Limitations</w:t>
            </w:r>
            <w:r>
              <w:rPr>
                <w:noProof/>
              </w:rPr>
              <w:tab/>
            </w:r>
            <w:r>
              <w:rPr>
                <w:noProof/>
              </w:rPr>
              <w:fldChar w:fldCharType="begin"/>
            </w:r>
            <w:r>
              <w:rPr>
                <w:noProof/>
              </w:rPr>
              <w:instrText xml:space="preserve"> PAGEREF _Toc234343220 \h </w:instrText>
            </w:r>
            <w:r>
              <w:rPr>
                <w:noProof/>
              </w:rPr>
            </w:r>
            <w:r>
              <w:rPr>
                <w:noProof/>
              </w:rPr>
              <w:fldChar w:fldCharType="separate"/>
            </w:r>
            <w:r>
              <w:rPr>
                <w:noProof/>
              </w:rPr>
              <w:t>26</w:t>
            </w:r>
            <w:r>
              <w:rPr>
                <w:noProof/>
              </w:rPr>
              <w:fldChar w:fldCharType="end"/>
            </w:r>
          </w:hyperlink>
        </w:p>
        <w:p w14:paraId="33022DBD" w14:textId="0637940C"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21" w:history="1">
            <w:r w:rsidRPr="00242764">
              <w:rPr>
                <w:rStyle w:val="Hyperlink"/>
                <w:noProof/>
              </w:rPr>
              <w:t>5.4</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Future Extensions</w:t>
            </w:r>
            <w:r>
              <w:rPr>
                <w:noProof/>
              </w:rPr>
              <w:tab/>
            </w:r>
            <w:r>
              <w:rPr>
                <w:noProof/>
              </w:rPr>
              <w:fldChar w:fldCharType="begin"/>
            </w:r>
            <w:r>
              <w:rPr>
                <w:noProof/>
              </w:rPr>
              <w:instrText xml:space="preserve"> PAGEREF _Toc234343221 \h </w:instrText>
            </w:r>
            <w:r>
              <w:rPr>
                <w:noProof/>
              </w:rPr>
            </w:r>
            <w:r>
              <w:rPr>
                <w:noProof/>
              </w:rPr>
              <w:fldChar w:fldCharType="separate"/>
            </w:r>
            <w:r>
              <w:rPr>
                <w:noProof/>
              </w:rPr>
              <w:t>27</w:t>
            </w:r>
            <w:r>
              <w:rPr>
                <w:noProof/>
              </w:rPr>
              <w:fldChar w:fldCharType="end"/>
            </w:r>
          </w:hyperlink>
        </w:p>
        <w:p w14:paraId="75A17E74" w14:textId="6A40F0C9"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22" w:history="1">
            <w:r w:rsidRPr="00242764">
              <w:rPr>
                <w:rStyle w:val="Hyperlink"/>
                <w:noProof/>
              </w:rPr>
              <w:t>6.</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Conclusions</w:t>
            </w:r>
            <w:r>
              <w:rPr>
                <w:noProof/>
              </w:rPr>
              <w:tab/>
            </w:r>
            <w:r>
              <w:rPr>
                <w:noProof/>
              </w:rPr>
              <w:fldChar w:fldCharType="begin"/>
            </w:r>
            <w:r>
              <w:rPr>
                <w:noProof/>
              </w:rPr>
              <w:instrText xml:space="preserve"> PAGEREF _Toc234343222 \h </w:instrText>
            </w:r>
            <w:r>
              <w:rPr>
                <w:noProof/>
              </w:rPr>
            </w:r>
            <w:r>
              <w:rPr>
                <w:noProof/>
              </w:rPr>
              <w:fldChar w:fldCharType="separate"/>
            </w:r>
            <w:r>
              <w:rPr>
                <w:noProof/>
              </w:rPr>
              <w:t>28</w:t>
            </w:r>
            <w:r>
              <w:rPr>
                <w:noProof/>
              </w:rPr>
              <w:fldChar w:fldCharType="end"/>
            </w:r>
          </w:hyperlink>
        </w:p>
        <w:p w14:paraId="4F7D1D54" w14:textId="4C108BB3"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23" w:history="1">
            <w:r w:rsidRPr="00242764">
              <w:rPr>
                <w:rStyle w:val="Hyperlink"/>
                <w:noProof/>
              </w:rPr>
              <w:t>7.</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References</w:t>
            </w:r>
            <w:r>
              <w:rPr>
                <w:noProof/>
              </w:rPr>
              <w:tab/>
            </w:r>
            <w:r>
              <w:rPr>
                <w:noProof/>
              </w:rPr>
              <w:fldChar w:fldCharType="begin"/>
            </w:r>
            <w:r>
              <w:rPr>
                <w:noProof/>
              </w:rPr>
              <w:instrText xml:space="preserve"> PAGEREF _Toc234343223 \h </w:instrText>
            </w:r>
            <w:r>
              <w:rPr>
                <w:noProof/>
              </w:rPr>
            </w:r>
            <w:r>
              <w:rPr>
                <w:noProof/>
              </w:rPr>
              <w:fldChar w:fldCharType="separate"/>
            </w:r>
            <w:r>
              <w:rPr>
                <w:noProof/>
              </w:rPr>
              <w:t>30</w:t>
            </w:r>
            <w:r>
              <w:rPr>
                <w:noProof/>
              </w:rPr>
              <w:fldChar w:fldCharType="end"/>
            </w:r>
          </w:hyperlink>
        </w:p>
        <w:p w14:paraId="0DDAFCA8" w14:textId="03AFB350"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24" w:history="1">
            <w:r w:rsidRPr="00242764">
              <w:rPr>
                <w:rStyle w:val="Hyperlink"/>
                <w:noProof/>
              </w:rPr>
              <w:t>8.</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Self-Evaluation</w:t>
            </w:r>
            <w:r>
              <w:rPr>
                <w:noProof/>
              </w:rPr>
              <w:tab/>
            </w:r>
            <w:r>
              <w:rPr>
                <w:noProof/>
              </w:rPr>
              <w:fldChar w:fldCharType="begin"/>
            </w:r>
            <w:r>
              <w:rPr>
                <w:noProof/>
              </w:rPr>
              <w:instrText xml:space="preserve"> PAGEREF _Toc234343224 \h </w:instrText>
            </w:r>
            <w:r>
              <w:rPr>
                <w:noProof/>
              </w:rPr>
            </w:r>
            <w:r>
              <w:rPr>
                <w:noProof/>
              </w:rPr>
              <w:fldChar w:fldCharType="separate"/>
            </w:r>
            <w:r>
              <w:rPr>
                <w:noProof/>
              </w:rPr>
              <w:t>31</w:t>
            </w:r>
            <w:r>
              <w:rPr>
                <w:noProof/>
              </w:rPr>
              <w:fldChar w:fldCharType="end"/>
            </w:r>
          </w:hyperlink>
        </w:p>
        <w:p w14:paraId="251B640B" w14:textId="44CFEC44" w:rsidR="00410F9A" w:rsidRDefault="00410F9A">
          <w:pPr>
            <w:pStyle w:val="TOC1"/>
            <w:tabs>
              <w:tab w:val="left" w:pos="48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25" w:history="1">
            <w:r w:rsidRPr="00242764">
              <w:rPr>
                <w:rStyle w:val="Hyperlink"/>
                <w:noProof/>
              </w:rPr>
              <w:t>9.</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Appendix</w:t>
            </w:r>
            <w:r>
              <w:rPr>
                <w:noProof/>
              </w:rPr>
              <w:tab/>
            </w:r>
            <w:r>
              <w:rPr>
                <w:noProof/>
              </w:rPr>
              <w:fldChar w:fldCharType="begin"/>
            </w:r>
            <w:r>
              <w:rPr>
                <w:noProof/>
              </w:rPr>
              <w:instrText xml:space="preserve"> PAGEREF _Toc234343225 \h </w:instrText>
            </w:r>
            <w:r>
              <w:rPr>
                <w:noProof/>
              </w:rPr>
            </w:r>
            <w:r>
              <w:rPr>
                <w:noProof/>
              </w:rPr>
              <w:fldChar w:fldCharType="separate"/>
            </w:r>
            <w:r>
              <w:rPr>
                <w:noProof/>
              </w:rPr>
              <w:t>32</w:t>
            </w:r>
            <w:r>
              <w:rPr>
                <w:noProof/>
              </w:rPr>
              <w:fldChar w:fldCharType="end"/>
            </w:r>
          </w:hyperlink>
        </w:p>
        <w:p w14:paraId="26D9B784" w14:textId="778A55EB"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26" w:history="1">
            <w:r w:rsidRPr="00242764">
              <w:rPr>
                <w:rStyle w:val="Hyperlink"/>
                <w:noProof/>
              </w:rPr>
              <w:t>9.1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Appendix A: Supplementary Figures</w:t>
            </w:r>
            <w:r>
              <w:rPr>
                <w:noProof/>
              </w:rPr>
              <w:tab/>
            </w:r>
            <w:r>
              <w:rPr>
                <w:noProof/>
              </w:rPr>
              <w:fldChar w:fldCharType="begin"/>
            </w:r>
            <w:r>
              <w:rPr>
                <w:noProof/>
              </w:rPr>
              <w:instrText xml:space="preserve"> PAGEREF _Toc234343226 \h </w:instrText>
            </w:r>
            <w:r>
              <w:rPr>
                <w:noProof/>
              </w:rPr>
            </w:r>
            <w:r>
              <w:rPr>
                <w:noProof/>
              </w:rPr>
              <w:fldChar w:fldCharType="separate"/>
            </w:r>
            <w:r>
              <w:rPr>
                <w:noProof/>
              </w:rPr>
              <w:t>32</w:t>
            </w:r>
            <w:r>
              <w:rPr>
                <w:noProof/>
              </w:rPr>
              <w:fldChar w:fldCharType="end"/>
            </w:r>
          </w:hyperlink>
        </w:p>
        <w:p w14:paraId="0961FB4E" w14:textId="0B56CF58"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27" w:history="1">
            <w:r w:rsidRPr="00242764">
              <w:rPr>
                <w:rStyle w:val="Hyperlink"/>
                <w:noProof/>
              </w:rPr>
              <w:t>9.2</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Appendix B: Data and Code</w:t>
            </w:r>
            <w:r>
              <w:rPr>
                <w:noProof/>
              </w:rPr>
              <w:tab/>
            </w:r>
            <w:r>
              <w:rPr>
                <w:noProof/>
              </w:rPr>
              <w:fldChar w:fldCharType="begin"/>
            </w:r>
            <w:r>
              <w:rPr>
                <w:noProof/>
              </w:rPr>
              <w:instrText xml:space="preserve"> PAGEREF _Toc234343227 \h </w:instrText>
            </w:r>
            <w:r>
              <w:rPr>
                <w:noProof/>
              </w:rPr>
            </w:r>
            <w:r>
              <w:rPr>
                <w:noProof/>
              </w:rPr>
              <w:fldChar w:fldCharType="separate"/>
            </w:r>
            <w:r>
              <w:rPr>
                <w:noProof/>
              </w:rPr>
              <w:t>35</w:t>
            </w:r>
            <w:r>
              <w:rPr>
                <w:noProof/>
              </w:rPr>
              <w:fldChar w:fldCharType="end"/>
            </w:r>
          </w:hyperlink>
        </w:p>
        <w:p w14:paraId="0EF2833B" w14:textId="38475B34" w:rsidR="00410F9A" w:rsidRDefault="00410F9A">
          <w:pPr>
            <w:pStyle w:val="TOC1"/>
            <w:tabs>
              <w:tab w:val="left" w:pos="720"/>
            </w:tabs>
            <w:rPr>
              <w:rFonts w:asciiTheme="minorHAnsi" w:eastAsiaTheme="minorEastAsia" w:hAnsiTheme="minorHAnsi" w:cstheme="minorBidi"/>
              <w:b w:val="0"/>
              <w:bCs w:val="0"/>
              <w:iCs w:val="0"/>
              <w:noProof/>
              <w:color w:val="auto"/>
              <w:kern w:val="2"/>
              <w:sz w:val="24"/>
              <w:szCs w:val="24"/>
              <w:lang w:eastAsia="en-GB"/>
              <w14:ligatures w14:val="standardContextual"/>
            </w:rPr>
          </w:pPr>
          <w:hyperlink w:anchor="_Toc234343228" w:history="1">
            <w:r w:rsidRPr="00242764">
              <w:rPr>
                <w:rStyle w:val="Hyperlink"/>
                <w:noProof/>
              </w:rPr>
              <w:t>10.</w:t>
            </w:r>
            <w:r>
              <w:rPr>
                <w:rFonts w:asciiTheme="minorHAnsi" w:eastAsiaTheme="minorEastAsia" w:hAnsiTheme="minorHAnsi" w:cstheme="minorBidi"/>
                <w:b w:val="0"/>
                <w:bCs w:val="0"/>
                <w:iCs w:val="0"/>
                <w:noProof/>
                <w:color w:val="auto"/>
                <w:kern w:val="2"/>
                <w:sz w:val="24"/>
                <w:szCs w:val="24"/>
                <w:lang w:eastAsia="en-GB"/>
                <w14:ligatures w14:val="standardContextual"/>
              </w:rPr>
              <w:tab/>
            </w:r>
            <w:r w:rsidRPr="00242764">
              <w:rPr>
                <w:rStyle w:val="Hyperlink"/>
                <w:noProof/>
              </w:rPr>
              <w:t>Revision Roadmap (Working Draft)</w:t>
            </w:r>
            <w:r>
              <w:rPr>
                <w:noProof/>
              </w:rPr>
              <w:tab/>
            </w:r>
            <w:r>
              <w:rPr>
                <w:noProof/>
              </w:rPr>
              <w:fldChar w:fldCharType="begin"/>
            </w:r>
            <w:r>
              <w:rPr>
                <w:noProof/>
              </w:rPr>
              <w:instrText xml:space="preserve"> PAGEREF _Toc234343228 \h </w:instrText>
            </w:r>
            <w:r>
              <w:rPr>
                <w:noProof/>
              </w:rPr>
            </w:r>
            <w:r>
              <w:rPr>
                <w:noProof/>
              </w:rPr>
              <w:fldChar w:fldCharType="separate"/>
            </w:r>
            <w:r>
              <w:rPr>
                <w:noProof/>
              </w:rPr>
              <w:t>36</w:t>
            </w:r>
            <w:r>
              <w:rPr>
                <w:noProof/>
              </w:rPr>
              <w:fldChar w:fldCharType="end"/>
            </w:r>
          </w:hyperlink>
        </w:p>
        <w:p w14:paraId="08A12223" w14:textId="41842927" w:rsidR="00410F9A" w:rsidRDefault="00410F9A">
          <w:pPr>
            <w:pStyle w:val="TOC2"/>
            <w:tabs>
              <w:tab w:val="left" w:pos="720"/>
              <w:tab w:val="right" w:leader="dot" w:pos="9771"/>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34343229" w:history="1">
            <w:r w:rsidRPr="00242764">
              <w:rPr>
                <w:rStyle w:val="Hyperlink"/>
                <w:noProof/>
              </w:rPr>
              <w:t>10.1</w:t>
            </w:r>
            <w:r>
              <w:rPr>
                <w:rFonts w:asciiTheme="minorHAnsi" w:eastAsiaTheme="minorEastAsia" w:hAnsiTheme="minorHAnsi" w:cstheme="minorBidi"/>
                <w:b w:val="0"/>
                <w:bCs w:val="0"/>
                <w:noProof/>
                <w:color w:val="auto"/>
                <w:kern w:val="2"/>
                <w:sz w:val="24"/>
                <w:szCs w:val="24"/>
                <w:lang w:eastAsia="en-GB"/>
                <w14:ligatures w14:val="standardContextual"/>
              </w:rPr>
              <w:tab/>
            </w:r>
            <w:r w:rsidRPr="00242764">
              <w:rPr>
                <w:rStyle w:val="Hyperlink"/>
                <w:noProof/>
              </w:rPr>
              <w:t>Figures</w:t>
            </w:r>
            <w:r>
              <w:rPr>
                <w:noProof/>
              </w:rPr>
              <w:tab/>
            </w:r>
            <w:r>
              <w:rPr>
                <w:noProof/>
              </w:rPr>
              <w:fldChar w:fldCharType="begin"/>
            </w:r>
            <w:r>
              <w:rPr>
                <w:noProof/>
              </w:rPr>
              <w:instrText xml:space="preserve"> PAGEREF _Toc234343229 \h </w:instrText>
            </w:r>
            <w:r>
              <w:rPr>
                <w:noProof/>
              </w:rPr>
            </w:r>
            <w:r>
              <w:rPr>
                <w:noProof/>
              </w:rPr>
              <w:fldChar w:fldCharType="separate"/>
            </w:r>
            <w:r>
              <w:rPr>
                <w:noProof/>
              </w:rPr>
              <w:t>36</w:t>
            </w:r>
            <w:r>
              <w:rPr>
                <w:noProof/>
              </w:rPr>
              <w:fldChar w:fldCharType="end"/>
            </w:r>
          </w:hyperlink>
        </w:p>
        <w:p w14:paraId="48791870" w14:textId="28A758EE" w:rsidR="00AA57C8" w:rsidRDefault="00AA57C8" w:rsidP="00AA57C8">
          <w:r>
            <w:fldChar w:fldCharType="end"/>
          </w:r>
        </w:p>
      </w:sdtContent>
    </w:sdt>
    <w:p w14:paraId="0F60EE5E" w14:textId="7F2BA687" w:rsidR="00AA57C8" w:rsidRPr="00DA7A31" w:rsidRDefault="00E11F11" w:rsidP="00DA7A31">
      <w:pPr>
        <w:pStyle w:val="Heading1"/>
      </w:pPr>
      <w:r>
        <w:lastRenderedPageBreak/>
        <w:t xml:space="preserve"> </w:t>
      </w:r>
      <w:bookmarkStart w:id="2" w:name="_Toc234343191"/>
      <w:r w:rsidR="00AA57C8" w:rsidRPr="00DA7A31">
        <w:t>Introduction</w:t>
      </w:r>
      <w:bookmarkEnd w:id="2"/>
    </w:p>
    <w:p w14:paraId="14A53F1A" w14:textId="7FB18A24" w:rsidR="00AA57C8" w:rsidRPr="00DA7A31" w:rsidRDefault="003A0CC0" w:rsidP="00DA7A31">
      <w:pPr>
        <w:pStyle w:val="Heading2"/>
      </w:pPr>
      <w:r>
        <w:t xml:space="preserve"> </w:t>
      </w:r>
      <w:bookmarkStart w:id="3" w:name="_Toc234343192"/>
      <w:r w:rsidR="00AA57C8" w:rsidRPr="00DA7A31">
        <w:t>Motivation and Research Context</w:t>
      </w:r>
      <w:bookmarkEnd w:id="3"/>
    </w:p>
    <w:p w14:paraId="51B3CFA5" w14:textId="0EBA4003" w:rsidR="00304B4F" w:rsidRPr="00304B4F" w:rsidRDefault="00304B4F" w:rsidP="00304B4F">
      <w:r w:rsidRPr="00304B4F">
        <w:t>The relationship between political communication and financial market behaviour has been the subject of sustained academic interest for several decades. From the seminal work of Cutler, Poterba, and Summers (1989) on the macroeconomic origins of stock market volatility to more recent explorations of the "Trump Twitter effect" (Bianchi et al., 2019) and the market sensitivity to FOMC statement language (Lucca and Moench, 2015), it is well-established that markets react to information - but the precise causal mechanism, magnitude, and predictability of this reaction remains contested.</w:t>
      </w:r>
    </w:p>
    <w:p w14:paraId="1214A7A4" w14:textId="66AB55DF" w:rsidR="00304B4F" w:rsidRPr="00304B4F" w:rsidRDefault="00304B4F" w:rsidP="00304B4F">
      <w:r w:rsidRPr="00304B4F">
        <w:t>The challenge is fundamentally one of causal identification. Financial markets are complex, reflexive systems in which many variables move simultaneously. An observed correlation between a presidential announcement and a subsequent return may reflect direct causation, reverse causation (markets anticipating the announcement), common confounders (such as the prevailing volatility regime), or simple coincidence. Standard regression-based approaches cannot easily distinguish these possibilities without explicit causal modelling.</w:t>
      </w:r>
    </w:p>
    <w:p w14:paraId="406F2728" w14:textId="7FEDF3B5" w:rsidR="00304B4F" w:rsidRDefault="00304B4F" w:rsidP="00304B4F">
      <w:r w:rsidRPr="00304B4F">
        <w:t xml:space="preserve">Simultaneously, advances in natural language processing (NLP) - in particular the development of domain-specific language models such as FinBERT (Araci, 2019) - have made it feasible to extract structured sentiment signals from large corpora of unstructured political and financial text at scale. The convergence of causal inference methodology, modern NLP, and machine learning presents an opportunity to build a rigorous, reproducible, and explainable pipeline that moves from raw political text to an event-aware, </w:t>
      </w:r>
      <w:proofErr w:type="gramStart"/>
      <w:r w:rsidRPr="00304B4F">
        <w:t>causally-grounded</w:t>
      </w:r>
      <w:proofErr w:type="gramEnd"/>
      <w:r w:rsidRPr="00304B4F">
        <w:t xml:space="preserve"> market analysis - one designed to support transparent decision support rather than to function as an opaque trading signal, and to report what the evidence does and does not show at every stage.</w:t>
      </w:r>
    </w:p>
    <w:p w14:paraId="6610B7B2" w14:textId="7E5C928D" w:rsidR="00304B4F" w:rsidRPr="00304B4F" w:rsidRDefault="00304B4F" w:rsidP="00304B4F">
      <w:r w:rsidRPr="00304B4F">
        <w:t>This dissertation pursues that opportunity through a project structured around three principal research questions:</w:t>
      </w:r>
    </w:p>
    <w:p w14:paraId="2A64186F" w14:textId="77777777" w:rsidR="00304B4F" w:rsidRPr="00304B4F" w:rsidRDefault="00304B4F" w:rsidP="00304B4F">
      <w:pPr>
        <w:pStyle w:val="ListParagraph"/>
        <w:numPr>
          <w:ilvl w:val="0"/>
          <w:numId w:val="28"/>
        </w:numPr>
      </w:pPr>
      <w:r w:rsidRPr="00304B4F">
        <w:t>RQ1: Do presidential communications and Federal Reserve announcements produce statistically significant abnormal returns in the S&amp;P 500?</w:t>
      </w:r>
    </w:p>
    <w:p w14:paraId="5D0A1BF6" w14:textId="77777777" w:rsidR="00304B4F" w:rsidRPr="00304B4F" w:rsidRDefault="00304B4F" w:rsidP="00304B4F">
      <w:pPr>
        <w:pStyle w:val="ListParagraph"/>
        <w:numPr>
          <w:ilvl w:val="0"/>
          <w:numId w:val="28"/>
        </w:numPr>
      </w:pPr>
      <w:r w:rsidRPr="00304B4F">
        <w:t>RQ2: Which event-derived and macroeconomic features contribute most to predicting next-day S&amp;P 500 returns?</w:t>
      </w:r>
    </w:p>
    <w:p w14:paraId="654B4C61" w14:textId="58A76BA9" w:rsidR="00304B4F" w:rsidRDefault="00304B4F" w:rsidP="00304B4F">
      <w:pPr>
        <w:pStyle w:val="ListParagraph"/>
        <w:numPr>
          <w:ilvl w:val="0"/>
          <w:numId w:val="28"/>
        </w:numPr>
      </w:pPr>
      <w:r w:rsidRPr="00304B4F">
        <w:t>RQ3: Do event-enhanced machine learning models (</w:t>
      </w:r>
      <w:proofErr w:type="spellStart"/>
      <w:r w:rsidRPr="00304B4F">
        <w:t>Event_LASSO</w:t>
      </w:r>
      <w:proofErr w:type="spellEnd"/>
      <w:r w:rsidRPr="00304B4F">
        <w:t xml:space="preserve">, XGBoost, LightGBM) improve next-day S&amp;P 500 return prediction over a market-only baseline (Baseline_LASSO), under a predefined, Bonferroni-corrected statistical promotion </w:t>
      </w:r>
      <w:r w:rsidRPr="00304B4F">
        <w:t>protocol?</w:t>
      </w:r>
      <w:r>
        <w:t xml:space="preserve"> </w:t>
      </w:r>
    </w:p>
    <w:p w14:paraId="4A92CA8E" w14:textId="77777777" w:rsidR="003A0CC0" w:rsidRDefault="003A0CC0">
      <w:pPr>
        <w:spacing w:before="0" w:after="0" w:line="240" w:lineRule="auto"/>
        <w:jc w:val="left"/>
        <w:rPr>
          <w:rFonts w:eastAsiaTheme="majorEastAsia" w:cstheme="majorBidi"/>
          <w:b/>
          <w:szCs w:val="26"/>
        </w:rPr>
      </w:pPr>
      <w:r>
        <w:br w:type="page"/>
      </w:r>
    </w:p>
    <w:p w14:paraId="2BBC7F77" w14:textId="6AD4C5B4" w:rsidR="00AA57C8" w:rsidRDefault="003A0CC0" w:rsidP="00304B4F">
      <w:pPr>
        <w:pStyle w:val="Heading2"/>
      </w:pPr>
      <w:r>
        <w:lastRenderedPageBreak/>
        <w:t xml:space="preserve"> </w:t>
      </w:r>
      <w:bookmarkStart w:id="4" w:name="_Toc234343193"/>
      <w:r w:rsidR="00AA57C8">
        <w:t xml:space="preserve">Prior </w:t>
      </w:r>
      <w:r w:rsidR="00304B4F">
        <w:t>W</w:t>
      </w:r>
      <w:r w:rsidR="00AA57C8">
        <w:t>ork and Positioning</w:t>
      </w:r>
      <w:bookmarkEnd w:id="4"/>
    </w:p>
    <w:p w14:paraId="591C1DB9" w14:textId="28278C6F" w:rsidR="00304B4F" w:rsidRDefault="00304B4F" w:rsidP="00304B4F">
      <w:pPr>
        <w:spacing w:after="160"/>
      </w:pPr>
      <w:r>
        <w:t xml:space="preserve">The event study methodology, formalized by Fama et al. (1969) and expanded by </w:t>
      </w:r>
      <w:proofErr w:type="spellStart"/>
      <w:r>
        <w:t>MacKinlay</w:t>
      </w:r>
      <w:proofErr w:type="spellEnd"/>
      <w:r>
        <w:t xml:space="preserve"> (1997), provides a principled framework for measuring abnormal returns against a market benchmark, though it assumes market efficiency and normally distributed returns. In the digital era, research into political communication and market </w:t>
      </w:r>
      <w:proofErr w:type="spellStart"/>
      <w:r>
        <w:t>behavior</w:t>
      </w:r>
      <w:proofErr w:type="spellEnd"/>
      <w:r>
        <w:t xml:space="preserve"> has accelerated. While early social media studies claimed high predictive accuracy for market movements (Bollen et al., 2011), more robust findings focus on central bank communications. Notably, Lucca and Moench (2015) documented a distinct pre-FOMC announcement drift, and Cieslak et al. (2019) identified an equity premium cycle tied directly to Federal Reserve meetings.</w:t>
      </w:r>
    </w:p>
    <w:p w14:paraId="5C898DF7" w14:textId="10434655" w:rsidR="00304B4F" w:rsidRDefault="00304B4F" w:rsidP="00304B4F">
      <w:pPr>
        <w:spacing w:after="160"/>
      </w:pPr>
      <w:r>
        <w:t xml:space="preserve">To isolate these impacts, Pearl’s (2009) do-calculus and backdoor criterion offer a theoretical foundation for separating true causal effects from spurious correlations in observational data. Frameworks like DoWhy (Sharma &amp; </w:t>
      </w:r>
      <w:proofErr w:type="spellStart"/>
      <w:r>
        <w:t>Kiciman</w:t>
      </w:r>
      <w:proofErr w:type="spellEnd"/>
      <w:r>
        <w:t xml:space="preserve">, 2020) make structural causal </w:t>
      </w:r>
      <w:proofErr w:type="spellStart"/>
      <w:r>
        <w:t>modeling</w:t>
      </w:r>
      <w:proofErr w:type="spellEnd"/>
      <w:r>
        <w:t xml:space="preserve"> accessible, though its application to daily financial data remains a novel departure from traditional instrumental variables or difference-in-differences designs.</w:t>
      </w:r>
    </w:p>
    <w:p w14:paraId="2E31A2F9" w14:textId="24183092" w:rsidR="00304B4F" w:rsidRDefault="00304B4F" w:rsidP="00304B4F">
      <w:pPr>
        <w:spacing w:after="160"/>
        <w:jc w:val="both"/>
      </w:pPr>
      <w:r>
        <w:t>The predictive literature on short-horizon equity returns warrants caution; Goyal and Welch (2008) demonstrated that most macroeconomic predictors fail out-of-sample, and McLean and Pontiff (2016) noted that predictive returns decay rapidly post-publication. Consequently, this study does not seek to uncover a profitable trading strategy. Instead, it rigorously investigates whether structured event signals—filtered through causal analysis—contain incremental predictive power beyond standard market indicators when evaluated against a market-only baseline under a pre-registered statistical protocol.</w:t>
      </w:r>
    </w:p>
    <w:p w14:paraId="2C907CB8" w14:textId="77777777" w:rsidR="00304B4F" w:rsidRDefault="00304B4F">
      <w:pPr>
        <w:spacing w:line="240" w:lineRule="auto"/>
        <w:jc w:val="left"/>
        <w:rPr>
          <w:rFonts w:eastAsiaTheme="majorEastAsia" w:cstheme="majorBidi"/>
          <w:b/>
          <w:sz w:val="28"/>
          <w:szCs w:val="26"/>
          <w:highlight w:val="lightGray"/>
        </w:rPr>
      </w:pPr>
      <w:r>
        <w:rPr>
          <w:highlight w:val="lightGray"/>
        </w:rPr>
        <w:br w:type="page"/>
      </w:r>
    </w:p>
    <w:p w14:paraId="36AEABAF" w14:textId="6506F4E3" w:rsidR="00AA57C8" w:rsidRDefault="003A0CC0" w:rsidP="00304B4F">
      <w:pPr>
        <w:pStyle w:val="Heading2"/>
      </w:pPr>
      <w:r>
        <w:lastRenderedPageBreak/>
        <w:t xml:space="preserve"> </w:t>
      </w:r>
      <w:bookmarkStart w:id="5" w:name="_Toc234343194"/>
      <w:r w:rsidR="00AA57C8">
        <w:t>Scope and Contributions</w:t>
      </w:r>
      <w:bookmarkEnd w:id="5"/>
    </w:p>
    <w:p w14:paraId="2972EEB9" w14:textId="77777777" w:rsidR="00304B4F" w:rsidRDefault="00304B4F" w:rsidP="00304B4F">
      <w:pPr>
        <w:spacing w:after="160"/>
        <w:jc w:val="both"/>
      </w:pPr>
      <w:r>
        <w:t>This project makes the following methodological contributions:</w:t>
      </w:r>
    </w:p>
    <w:p w14:paraId="393CFEB5" w14:textId="77777777" w:rsidR="00304B4F" w:rsidRDefault="00304B4F" w:rsidP="00304B4F">
      <w:pPr>
        <w:pStyle w:val="ListParagraph"/>
        <w:numPr>
          <w:ilvl w:val="0"/>
          <w:numId w:val="30"/>
        </w:numPr>
        <w:spacing w:after="160"/>
        <w:jc w:val="both"/>
      </w:pPr>
      <w:r>
        <w:t>An integrated, reproducible pipeline connecting raw presidential and Federal Reserve communications to event detection, sentiment scoring, event-study and causal-inference analysis, feature engineering, and predictive modelling within a single, version-controlled framework.</w:t>
      </w:r>
    </w:p>
    <w:p w14:paraId="740434E0" w14:textId="77777777" w:rsidR="00304B4F" w:rsidRDefault="00304B4F" w:rsidP="00304B4F">
      <w:pPr>
        <w:pStyle w:val="ListParagraph"/>
        <w:numPr>
          <w:ilvl w:val="0"/>
          <w:numId w:val="30"/>
        </w:numPr>
        <w:spacing w:after="160"/>
        <w:jc w:val="both"/>
      </w:pPr>
      <w:r>
        <w:t xml:space="preserve">A </w:t>
      </w:r>
      <w:proofErr w:type="gramStart"/>
      <w:r>
        <w:t>consistently-applied</w:t>
      </w:r>
      <w:proofErr w:type="gramEnd"/>
      <w:r>
        <w:t>, transformer-based (FinBERT) sentiment-scoring approach across the full document catalogue, with its known domain limitations on formal policy language reported transparently rather than obscured.</w:t>
      </w:r>
    </w:p>
    <w:p w14:paraId="606D6E62" w14:textId="77777777" w:rsidR="00304B4F" w:rsidRDefault="00304B4F" w:rsidP="00304B4F">
      <w:pPr>
        <w:pStyle w:val="ListParagraph"/>
        <w:numPr>
          <w:ilvl w:val="0"/>
          <w:numId w:val="30"/>
        </w:numPr>
        <w:spacing w:after="160"/>
        <w:jc w:val="both"/>
      </w:pPr>
      <w:r>
        <w:t>An explainable feature-importance analysis, using SHAP values computed independently across three event-enhanced predictive models, identifying which event-derived and market features contribute most to next-day return prediction.</w:t>
      </w:r>
    </w:p>
    <w:p w14:paraId="61308CED" w14:textId="77777777" w:rsidR="00304B4F" w:rsidRDefault="00304B4F" w:rsidP="00304B4F">
      <w:pPr>
        <w:pStyle w:val="ListParagraph"/>
        <w:numPr>
          <w:ilvl w:val="0"/>
          <w:numId w:val="30"/>
        </w:numPr>
        <w:spacing w:after="160"/>
        <w:jc w:val="both"/>
      </w:pPr>
      <w:r>
        <w:t>A transparent, pre-registered evaluation protocol comparing event-enhanced predictive models against a market-only baseline (Baseline_LASSO) using a Bonferroni-corrected statistical promotion criterion, with the resulting comparison reported honestly regardless of outcome.</w:t>
      </w:r>
    </w:p>
    <w:p w14:paraId="1E9B4C72" w14:textId="35503BFA" w:rsidR="00304B4F" w:rsidRDefault="00304B4F" w:rsidP="00304B4F">
      <w:pPr>
        <w:pStyle w:val="ListParagraph"/>
        <w:numPr>
          <w:ilvl w:val="0"/>
          <w:numId w:val="30"/>
        </w:numPr>
        <w:spacing w:after="160"/>
        <w:jc w:val="both"/>
      </w:pPr>
      <w:r>
        <w:t>A rigorous time-series cross-validation framework using Time</w:t>
      </w:r>
      <w:r w:rsidR="00B8458C">
        <w:t xml:space="preserve"> </w:t>
      </w:r>
      <w:r>
        <w:t>Series</w:t>
      </w:r>
      <w:r w:rsidR="00B8458C">
        <w:t xml:space="preserve"> </w:t>
      </w:r>
      <w:r>
        <w:t>Split that eliminates look-ahead bias, and a held-out test period (2023-2025) spanning multiple distinct market regimes including the post-pandemic normalisation, the 2024 US election cycle, and the 2025 tariff shock.</w:t>
      </w:r>
    </w:p>
    <w:p w14:paraId="46D07DEA" w14:textId="77777777" w:rsidR="00304B4F" w:rsidRDefault="00304B4F" w:rsidP="00304B4F">
      <w:pPr>
        <w:pStyle w:val="ListParagraph"/>
        <w:numPr>
          <w:ilvl w:val="0"/>
          <w:numId w:val="30"/>
        </w:numPr>
        <w:spacing w:after="160"/>
        <w:jc w:val="both"/>
      </w:pPr>
      <w:r>
        <w:t>A version-controlled, decision-logged research repository in which methodological choices, limitations, and governance decisions are documented as they are made, supporting reproducibility and auditability beyond the dissertation text itself.</w:t>
      </w:r>
    </w:p>
    <w:p w14:paraId="477B654E" w14:textId="77777777" w:rsidR="00304B4F" w:rsidRDefault="00304B4F" w:rsidP="00304B4F">
      <w:pPr>
        <w:spacing w:after="160"/>
        <w:jc w:val="both"/>
      </w:pPr>
      <w:r>
        <w:t>The remainder of this report is structured as follows. Section 2 describes the data sources and collection methodology. Section 3 details the methods applied across all pipeline phases. Section 4 presents the results. Section 5 discusses the findings and their implications. Section 6 concludes.</w:t>
      </w:r>
    </w:p>
    <w:p w14:paraId="741467F0" w14:textId="45B6B06B" w:rsidR="00AA57C8" w:rsidRDefault="00AA57C8" w:rsidP="00AA57C8">
      <w:pPr>
        <w:spacing w:after="160"/>
        <w:jc w:val="both"/>
      </w:pPr>
    </w:p>
    <w:p w14:paraId="4DE44F22" w14:textId="77777777" w:rsidR="00AA57C8" w:rsidRDefault="00AA57C8" w:rsidP="00AA57C8">
      <w:r>
        <w:br w:type="page"/>
      </w:r>
    </w:p>
    <w:p w14:paraId="4ABCA93D" w14:textId="311EA1A3" w:rsidR="00AA57C8" w:rsidRDefault="00E11F11" w:rsidP="00AA57C8">
      <w:pPr>
        <w:pStyle w:val="Heading1"/>
        <w:spacing w:after="120"/>
      </w:pPr>
      <w:r>
        <w:lastRenderedPageBreak/>
        <w:t xml:space="preserve"> </w:t>
      </w:r>
      <w:bookmarkStart w:id="6" w:name="_Toc234343195"/>
      <w:r w:rsidR="00AA57C8">
        <w:t>Data Sources</w:t>
      </w:r>
      <w:bookmarkEnd w:id="6"/>
    </w:p>
    <w:p w14:paraId="42B5537D" w14:textId="56ED88D2" w:rsidR="00AA57C8" w:rsidRDefault="003A0CC0" w:rsidP="00AA57C8">
      <w:pPr>
        <w:pStyle w:val="Heading2"/>
      </w:pPr>
      <w:r>
        <w:t xml:space="preserve"> </w:t>
      </w:r>
      <w:bookmarkStart w:id="7" w:name="_Toc234343196"/>
      <w:r w:rsidR="00AA57C8">
        <w:t>Overview</w:t>
      </w:r>
      <w:bookmarkEnd w:id="7"/>
    </w:p>
    <w:p w14:paraId="4150C371" w14:textId="7A2DD307" w:rsidR="00AA57C8" w:rsidRDefault="00AA57C8" w:rsidP="00AA57C8">
      <w:pPr>
        <w:spacing w:after="160"/>
        <w:jc w:val="both"/>
      </w:pPr>
      <w:r>
        <w:t xml:space="preserve">Five primary data sources were assembled covering the period January 2015 to December 2025. All data were sourced from publicly available, cost-free APIs and archives. </w:t>
      </w:r>
      <w:r w:rsidR="00E11F11">
        <w:fldChar w:fldCharType="begin"/>
      </w:r>
      <w:r w:rsidR="00E11F11">
        <w:instrText xml:space="preserve"> REF _Ref234341655 \h </w:instrText>
      </w:r>
      <w:r w:rsidR="00E11F11">
        <w:fldChar w:fldCharType="separate"/>
      </w:r>
      <w:r w:rsidR="00E11F11">
        <w:t xml:space="preserve">Table </w:t>
      </w:r>
      <w:r w:rsidR="00E11F11">
        <w:rPr>
          <w:noProof/>
        </w:rPr>
        <w:t>1</w:t>
      </w:r>
      <w:r w:rsidR="00E11F11">
        <w:t xml:space="preserve">. </w:t>
      </w:r>
      <w:r w:rsidR="00E11F11" w:rsidRPr="005D4006">
        <w:t xml:space="preserve">Summary </w:t>
      </w:r>
      <w:r w:rsidR="00E11F11" w:rsidRPr="005D4006">
        <w:t>o</w:t>
      </w:r>
      <w:r w:rsidR="00E11F11" w:rsidRPr="005D4006">
        <w:t>f data sources</w:t>
      </w:r>
      <w:r w:rsidR="00E11F11">
        <w:fldChar w:fldCharType="end"/>
      </w:r>
      <w:r>
        <w:t>.</w:t>
      </w:r>
    </w:p>
    <w:p w14:paraId="5266A881" w14:textId="578AF820" w:rsidR="00AA57C8" w:rsidRPr="00E11F11" w:rsidRDefault="00E11F11" w:rsidP="00E11F11">
      <w:pPr>
        <w:pStyle w:val="Caption"/>
      </w:pPr>
      <w:bookmarkStart w:id="8" w:name="_Ref234341655"/>
      <w:r w:rsidRPr="00E11F11">
        <w:t xml:space="preserve">Table </w:t>
      </w:r>
      <w:r w:rsidRPr="00E11F11">
        <w:fldChar w:fldCharType="begin"/>
      </w:r>
      <w:r w:rsidRPr="00E11F11">
        <w:instrText xml:space="preserve"> SEQ Table \* ARABIC </w:instrText>
      </w:r>
      <w:r w:rsidRPr="00E11F11">
        <w:fldChar w:fldCharType="separate"/>
      </w:r>
      <w:r w:rsidRPr="00E11F11">
        <w:t>1</w:t>
      </w:r>
      <w:r w:rsidRPr="00E11F11">
        <w:fldChar w:fldCharType="end"/>
      </w:r>
      <w:r w:rsidRPr="00E11F11">
        <w:t>. Summary of data sources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260"/>
        <w:gridCol w:w="1701"/>
        <w:gridCol w:w="1848"/>
      </w:tblGrid>
      <w:tr w:rsidR="00AA57C8" w14:paraId="1AB17953" w14:textId="77777777" w:rsidTr="00E11F11">
        <w:trPr>
          <w:trHeight w:val="18"/>
          <w:tblHeader/>
        </w:trPr>
        <w:tc>
          <w:tcPr>
            <w:tcW w:w="25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5B50A1" w14:textId="77777777" w:rsidR="00AA57C8" w:rsidRPr="00410F9A" w:rsidRDefault="00AA57C8" w:rsidP="00E11F11">
            <w:pPr>
              <w:spacing w:before="0" w:after="0"/>
              <w:rPr>
                <w:sz w:val="18"/>
                <w:szCs w:val="18"/>
              </w:rPr>
            </w:pPr>
            <w:r w:rsidRPr="00410F9A">
              <w:rPr>
                <w:b/>
                <w:bCs/>
                <w:sz w:val="18"/>
                <w:szCs w:val="18"/>
              </w:rPr>
              <w:t>Source</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30FC52" w14:textId="77777777" w:rsidR="00AA57C8" w:rsidRPr="00410F9A" w:rsidRDefault="00AA57C8" w:rsidP="00E11F11">
            <w:pPr>
              <w:spacing w:before="0" w:after="0"/>
              <w:rPr>
                <w:sz w:val="18"/>
                <w:szCs w:val="18"/>
              </w:rPr>
            </w:pPr>
            <w:r w:rsidRPr="00410F9A">
              <w:rPr>
                <w:b/>
                <w:bCs/>
                <w:sz w:val="18"/>
                <w:szCs w:val="18"/>
              </w:rPr>
              <w:t>Data Type</w:t>
            </w:r>
          </w:p>
        </w:tc>
        <w:tc>
          <w:tcPr>
            <w:tcW w:w="17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4C8260" w14:textId="77777777" w:rsidR="00AA57C8" w:rsidRPr="00410F9A" w:rsidRDefault="00AA57C8" w:rsidP="00E11F11">
            <w:pPr>
              <w:spacing w:before="0" w:after="0"/>
              <w:rPr>
                <w:sz w:val="18"/>
                <w:szCs w:val="18"/>
              </w:rPr>
            </w:pPr>
            <w:r w:rsidRPr="00410F9A">
              <w:rPr>
                <w:b/>
                <w:bCs/>
                <w:sz w:val="18"/>
                <w:szCs w:val="18"/>
              </w:rPr>
              <w:t>Volume</w:t>
            </w:r>
          </w:p>
        </w:tc>
        <w:tc>
          <w:tcPr>
            <w:tcW w:w="18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325345" w14:textId="77777777" w:rsidR="00AA57C8" w:rsidRPr="00410F9A" w:rsidRDefault="00AA57C8" w:rsidP="00E11F11">
            <w:pPr>
              <w:spacing w:before="0" w:after="0"/>
              <w:rPr>
                <w:sz w:val="18"/>
                <w:szCs w:val="18"/>
              </w:rPr>
            </w:pPr>
            <w:r w:rsidRPr="00410F9A">
              <w:rPr>
                <w:b/>
                <w:bCs/>
                <w:sz w:val="18"/>
                <w:szCs w:val="18"/>
              </w:rPr>
              <w:t>Date Range</w:t>
            </w:r>
          </w:p>
        </w:tc>
      </w:tr>
      <w:tr w:rsidR="00AA57C8" w14:paraId="2094FE4D" w14:textId="77777777" w:rsidTr="00E11F11">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88375A" w14:textId="77777777" w:rsidR="00AA57C8" w:rsidRPr="00410F9A" w:rsidRDefault="00AA57C8" w:rsidP="005E7B9F">
            <w:pPr>
              <w:rPr>
                <w:sz w:val="16"/>
                <w:szCs w:val="16"/>
              </w:rPr>
            </w:pPr>
            <w:r w:rsidRPr="00410F9A">
              <w:rPr>
                <w:sz w:val="16"/>
                <w:szCs w:val="16"/>
              </w:rPr>
              <w:t>Yahoo Finance (yfinance)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03522" w14:textId="77777777" w:rsidR="00AA57C8" w:rsidRPr="00410F9A" w:rsidRDefault="00AA57C8" w:rsidP="005E7B9F">
            <w:pPr>
              <w:rPr>
                <w:sz w:val="16"/>
                <w:szCs w:val="16"/>
              </w:rPr>
            </w:pPr>
            <w:r w:rsidRPr="00410F9A">
              <w:rPr>
                <w:sz w:val="16"/>
                <w:szCs w:val="16"/>
              </w:rPr>
              <w:t>SPY OHLCV, VIX daily</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C35774" w14:textId="77777777" w:rsidR="00AA57C8" w:rsidRPr="00410F9A" w:rsidRDefault="00AA57C8" w:rsidP="005E7B9F">
            <w:pPr>
              <w:rPr>
                <w:sz w:val="16"/>
                <w:szCs w:val="16"/>
              </w:rPr>
            </w:pPr>
            <w:r w:rsidRPr="00410F9A">
              <w:rPr>
                <w:sz w:val="16"/>
                <w:szCs w:val="16"/>
              </w:rPr>
              <w:t>2,765 trading days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EF1F5" w14:textId="77777777" w:rsidR="00AA57C8" w:rsidRPr="00410F9A" w:rsidRDefault="00AA57C8" w:rsidP="005E7B9F">
            <w:pPr>
              <w:rPr>
                <w:sz w:val="16"/>
                <w:szCs w:val="16"/>
              </w:rPr>
            </w:pPr>
            <w:r w:rsidRPr="00410F9A">
              <w:rPr>
                <w:sz w:val="16"/>
                <w:szCs w:val="16"/>
              </w:rPr>
              <w:t>Jan 2015 – Dec 2025</w:t>
            </w:r>
          </w:p>
        </w:tc>
      </w:tr>
      <w:tr w:rsidR="00AA57C8" w14:paraId="19F72E5D" w14:textId="77777777" w:rsidTr="00E11F11">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C8F97" w14:textId="77777777" w:rsidR="00AA57C8" w:rsidRPr="00410F9A" w:rsidRDefault="00AA57C8" w:rsidP="005E7B9F">
            <w:pPr>
              <w:rPr>
                <w:sz w:val="16"/>
                <w:szCs w:val="16"/>
              </w:rPr>
            </w:pPr>
            <w:r w:rsidRPr="00410F9A">
              <w:rPr>
                <w:sz w:val="16"/>
                <w:szCs w:val="16"/>
              </w:rPr>
              <w:t>American Presidency Project (APP)</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4D4F80" w14:textId="77777777" w:rsidR="00AA57C8" w:rsidRPr="00410F9A" w:rsidRDefault="00AA57C8" w:rsidP="005E7B9F">
            <w:pPr>
              <w:rPr>
                <w:sz w:val="16"/>
                <w:szCs w:val="16"/>
              </w:rPr>
            </w:pPr>
            <w:r w:rsidRPr="00410F9A">
              <w:rPr>
                <w:sz w:val="16"/>
                <w:szCs w:val="16"/>
              </w:rPr>
              <w:t>Presidential documents</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EFAB74" w14:textId="77777777" w:rsidR="00AA57C8" w:rsidRPr="00410F9A" w:rsidRDefault="00AA57C8" w:rsidP="005E7B9F">
            <w:pPr>
              <w:rPr>
                <w:sz w:val="16"/>
                <w:szCs w:val="16"/>
              </w:rPr>
            </w:pPr>
            <w:r w:rsidRPr="00410F9A">
              <w:rPr>
                <w:sz w:val="16"/>
                <w:szCs w:val="16"/>
              </w:rPr>
              <w:t>180,594 documents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9165B2" w14:textId="77777777" w:rsidR="00AA57C8" w:rsidRPr="00410F9A" w:rsidRDefault="00AA57C8" w:rsidP="005E7B9F">
            <w:pPr>
              <w:rPr>
                <w:sz w:val="16"/>
                <w:szCs w:val="16"/>
              </w:rPr>
            </w:pPr>
            <w:r w:rsidRPr="00410F9A">
              <w:rPr>
                <w:sz w:val="16"/>
                <w:szCs w:val="16"/>
              </w:rPr>
              <w:t>Jan 2015 – May 2026</w:t>
            </w:r>
          </w:p>
        </w:tc>
      </w:tr>
      <w:tr w:rsidR="00AA57C8" w14:paraId="6DEF30D8" w14:textId="77777777" w:rsidTr="00E11F11">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BA7150" w14:textId="77777777" w:rsidR="00AA57C8" w:rsidRPr="00410F9A" w:rsidRDefault="00AA57C8" w:rsidP="005E7B9F">
            <w:pPr>
              <w:rPr>
                <w:sz w:val="16"/>
                <w:szCs w:val="16"/>
              </w:rPr>
            </w:pPr>
            <w:r w:rsidRPr="00410F9A">
              <w:rPr>
                <w:sz w:val="16"/>
                <w:szCs w:val="16"/>
              </w:rPr>
              <w:t>Federal Reserve (FRED)</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9E780" w14:textId="77777777" w:rsidR="00AA57C8" w:rsidRPr="00410F9A" w:rsidRDefault="00AA57C8" w:rsidP="005E7B9F">
            <w:pPr>
              <w:rPr>
                <w:sz w:val="16"/>
                <w:szCs w:val="16"/>
              </w:rPr>
            </w:pPr>
            <w:r w:rsidRPr="00410F9A">
              <w:rPr>
                <w:sz w:val="16"/>
                <w:szCs w:val="16"/>
              </w:rPr>
              <w:t>Macro indicators (CPI, FFR, unemployment)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2E062" w14:textId="77777777" w:rsidR="00AA57C8" w:rsidRPr="00410F9A" w:rsidRDefault="00AA57C8" w:rsidP="005E7B9F">
            <w:pPr>
              <w:rPr>
                <w:sz w:val="16"/>
                <w:szCs w:val="16"/>
              </w:rPr>
            </w:pPr>
            <w:r w:rsidRPr="00410F9A">
              <w:rPr>
                <w:sz w:val="16"/>
                <w:szCs w:val="16"/>
              </w:rPr>
              <w:t>7 monthly series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76E2FF" w14:textId="77777777" w:rsidR="00AA57C8" w:rsidRPr="00410F9A" w:rsidRDefault="00AA57C8" w:rsidP="005E7B9F">
            <w:pPr>
              <w:rPr>
                <w:sz w:val="16"/>
                <w:szCs w:val="16"/>
              </w:rPr>
            </w:pPr>
            <w:r w:rsidRPr="00410F9A">
              <w:rPr>
                <w:sz w:val="16"/>
                <w:szCs w:val="16"/>
              </w:rPr>
              <w:t>Jan 2015 – Dec 2025</w:t>
            </w:r>
          </w:p>
        </w:tc>
      </w:tr>
      <w:tr w:rsidR="00AA57C8" w14:paraId="2D246734" w14:textId="77777777" w:rsidTr="00E11F11">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31B101" w14:textId="77777777" w:rsidR="00AA57C8" w:rsidRPr="00410F9A" w:rsidRDefault="00AA57C8" w:rsidP="005E7B9F">
            <w:pPr>
              <w:rPr>
                <w:sz w:val="16"/>
                <w:szCs w:val="16"/>
              </w:rPr>
            </w:pPr>
            <w:r w:rsidRPr="00410F9A">
              <w:rPr>
                <w:sz w:val="16"/>
                <w:szCs w:val="16"/>
              </w:rPr>
              <w:t>Federal Reserve (FOMC)</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602171" w14:textId="77777777" w:rsidR="00AA57C8" w:rsidRPr="00410F9A" w:rsidRDefault="00AA57C8" w:rsidP="005E7B9F">
            <w:pPr>
              <w:rPr>
                <w:sz w:val="16"/>
                <w:szCs w:val="16"/>
              </w:rPr>
            </w:pPr>
            <w:r w:rsidRPr="00410F9A">
              <w:rPr>
                <w:sz w:val="16"/>
                <w:szCs w:val="16"/>
              </w:rPr>
              <w:t>Rate decision dates and outcomes</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EFE117" w14:textId="77777777" w:rsidR="00AA57C8" w:rsidRPr="00410F9A" w:rsidRDefault="00AA57C8" w:rsidP="005E7B9F">
            <w:pPr>
              <w:rPr>
                <w:sz w:val="16"/>
                <w:szCs w:val="16"/>
              </w:rPr>
            </w:pPr>
            <w:r w:rsidRPr="00410F9A">
              <w:rPr>
                <w:sz w:val="16"/>
                <w:szCs w:val="16"/>
              </w:rPr>
              <w:t>89 meetings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9AFE8E" w14:textId="77777777" w:rsidR="00AA57C8" w:rsidRPr="00410F9A" w:rsidRDefault="00AA57C8" w:rsidP="005E7B9F">
            <w:pPr>
              <w:rPr>
                <w:sz w:val="16"/>
                <w:szCs w:val="16"/>
              </w:rPr>
            </w:pPr>
            <w:r w:rsidRPr="00410F9A">
              <w:rPr>
                <w:sz w:val="16"/>
                <w:szCs w:val="16"/>
              </w:rPr>
              <w:t>Jan 2015 – Dec 2025</w:t>
            </w:r>
          </w:p>
        </w:tc>
      </w:tr>
      <w:tr w:rsidR="00AA57C8" w14:paraId="03E6F833" w14:textId="77777777" w:rsidTr="00E11F11">
        <w:tc>
          <w:tcPr>
            <w:tcW w:w="25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7F2A8" w14:textId="77777777" w:rsidR="00AA57C8" w:rsidRPr="00410F9A" w:rsidRDefault="00AA57C8" w:rsidP="005E7B9F">
            <w:pPr>
              <w:rPr>
                <w:sz w:val="16"/>
                <w:szCs w:val="16"/>
              </w:rPr>
            </w:pPr>
            <w:r w:rsidRPr="00410F9A">
              <w:rPr>
                <w:sz w:val="16"/>
                <w:szCs w:val="16"/>
              </w:rPr>
              <w:t>GDELT Project</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44FCC9" w14:textId="77777777" w:rsidR="00AA57C8" w:rsidRPr="00410F9A" w:rsidRDefault="00AA57C8" w:rsidP="005E7B9F">
            <w:pPr>
              <w:rPr>
                <w:sz w:val="16"/>
                <w:szCs w:val="16"/>
              </w:rPr>
            </w:pPr>
            <w:r w:rsidRPr="00410F9A">
              <w:rPr>
                <w:sz w:val="16"/>
                <w:szCs w:val="16"/>
              </w:rPr>
              <w:t>Global event database (geopolitical risk)</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A2781E" w14:textId="77777777" w:rsidR="00AA57C8" w:rsidRPr="00410F9A" w:rsidRDefault="00AA57C8" w:rsidP="005E7B9F">
            <w:pPr>
              <w:rPr>
                <w:sz w:val="16"/>
                <w:szCs w:val="16"/>
              </w:rPr>
            </w:pPr>
            <w:r w:rsidRPr="00410F9A">
              <w:rPr>
                <w:sz w:val="16"/>
                <w:szCs w:val="16"/>
              </w:rPr>
              <w:t>Sample (5-day pilot)</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E71394" w14:textId="77777777" w:rsidR="00AA57C8" w:rsidRPr="00410F9A" w:rsidRDefault="00AA57C8" w:rsidP="005E7B9F">
            <w:pPr>
              <w:rPr>
                <w:sz w:val="16"/>
                <w:szCs w:val="16"/>
              </w:rPr>
            </w:pPr>
            <w:r w:rsidRPr="00410F9A">
              <w:rPr>
                <w:sz w:val="16"/>
                <w:szCs w:val="16"/>
              </w:rPr>
              <w:t>Proof-of-concept only</w:t>
            </w:r>
          </w:p>
        </w:tc>
      </w:tr>
    </w:tbl>
    <w:p w14:paraId="5027F44C" w14:textId="77777777" w:rsidR="00E11F11" w:rsidRDefault="00E11F11" w:rsidP="00E11F11">
      <w:pPr>
        <w:pStyle w:val="Heading2"/>
        <w:numPr>
          <w:ilvl w:val="0"/>
          <w:numId w:val="0"/>
        </w:numPr>
        <w:ind w:left="170" w:hanging="170"/>
      </w:pPr>
    </w:p>
    <w:p w14:paraId="4ECC716D" w14:textId="71A6D0C1" w:rsidR="00AA57C8" w:rsidRPr="003A0CC0" w:rsidRDefault="003A0CC0" w:rsidP="003A0CC0">
      <w:pPr>
        <w:pStyle w:val="Heading2"/>
      </w:pPr>
      <w:r>
        <w:t xml:space="preserve"> </w:t>
      </w:r>
      <w:bookmarkStart w:id="9" w:name="_Toc234343197"/>
      <w:r w:rsidR="00AA57C8" w:rsidRPr="003A0CC0">
        <w:t>Equity and Volatility Data</w:t>
      </w:r>
      <w:bookmarkEnd w:id="9"/>
    </w:p>
    <w:p w14:paraId="14284595" w14:textId="77777777" w:rsidR="00AA57C8" w:rsidRDefault="00AA57C8" w:rsidP="00AA57C8">
      <w:pPr>
        <w:spacing w:after="160"/>
        <w:jc w:val="both"/>
      </w:pPr>
      <w:r>
        <w:t>Daily open, high, low, close, and volume (OHLCV) data for the SPDR S&amp;P 500 ETF (ticker: SPY) were retrieved via the yfinance Python library, which provides a clean, adjusted-for-splits time series without requiring an API key. SPY was chosen as the target asset because it provides high-frequency, liquid exposure to the broad US equity market and is widely used as a benchmark in the academic and practitioner literature. The CBOE Volatility Index (VIX) — retrieved from Yahoo Finance under the ticker −1UVIX — was included as a measure of implied market volatility, which serves both as a feature and as a confounder control variable in the causal model.</w:t>
      </w:r>
    </w:p>
    <w:p w14:paraId="68021694" w14:textId="77777777" w:rsidR="00AA57C8" w:rsidRDefault="00AA57C8" w:rsidP="00AA57C8">
      <w:pPr>
        <w:spacing w:after="160"/>
        <w:jc w:val="both"/>
      </w:pPr>
      <w:r>
        <w:t>The full price history comprises 2,765 trading days. Log returns were computed as r_t = ln(P_t / P_{t-1}), which are approximately normally distributed for small values and are time-additive, making them preferable to simple returns for multi-day cumulative calculations.</w:t>
      </w:r>
    </w:p>
    <w:p w14:paraId="33292779" w14:textId="27A36E9B" w:rsidR="00AA57C8" w:rsidRDefault="003A0CC0" w:rsidP="00AA57C8">
      <w:pPr>
        <w:pStyle w:val="Heading2"/>
      </w:pPr>
      <w:r>
        <w:t xml:space="preserve"> </w:t>
      </w:r>
      <w:bookmarkStart w:id="10" w:name="_Toc234343198"/>
      <w:r w:rsidR="00AA57C8">
        <w:t>Presidential Documents</w:t>
      </w:r>
      <w:bookmarkEnd w:id="10"/>
    </w:p>
    <w:p w14:paraId="4CDC2286" w14:textId="77777777" w:rsidR="00AA57C8" w:rsidRDefault="00AA57C8" w:rsidP="00AA57C8">
      <w:pPr>
        <w:spacing w:after="160"/>
        <w:jc w:val="both"/>
      </w:pPr>
      <w:r>
        <w:t>Presidential communications were sourced from the American Presidency Project (APP), a non-partisan archive maintained by the University of California, Santa Barbara, which hosts the full record of official presidential documents dating back to George Washington. For this study, all documents from four administrations were collected: Barack Obama (2015–2017, second term only), Donald J. Trump (first term, 2017–2021), Joseph R. Biden (2021–2025), and Donald J. Trump (second term, 2025–present). In total, 180,594 documents were collected, comprising speeches, executive orders, press briefings, proclamations, and memoranda.</w:t>
      </w:r>
    </w:p>
    <w:p w14:paraId="34255927" w14:textId="77777777" w:rsidR="00AA57C8" w:rsidRDefault="00AA57C8" w:rsidP="00AA57C8">
      <w:pPr>
        <w:spacing w:after="160"/>
        <w:jc w:val="both"/>
      </w:pPr>
      <w:r>
        <w:t xml:space="preserve">The raw dataset was filtered to retain only these four presidencies (removing historical records from earlier administrations that fell outside the study window), yielding 11,570 substantive documents with non-empty titles and </w:t>
      </w:r>
      <w:r>
        <w:lastRenderedPageBreak/>
        <w:t>valid dates. Document titles — rather than full text — were used as the primary NLP input, reflecting a deliberate design choice: titles are concise, reliably structured, and available in the APP metadata without requiring web scraping of full-text content. This approach introduces a degree of information compression but is consistent with the event-title methodology of Bollen et al. (2011) and the headline-based sentiment literature.</w:t>
      </w:r>
    </w:p>
    <w:p w14:paraId="17DA0B48" w14:textId="43D6F8C4" w:rsidR="00AA57C8" w:rsidRDefault="003A0CC0" w:rsidP="00AA57C8">
      <w:pPr>
        <w:pStyle w:val="Heading2"/>
      </w:pPr>
      <w:r>
        <w:t xml:space="preserve"> </w:t>
      </w:r>
      <w:bookmarkStart w:id="11" w:name="_Toc234343199"/>
      <w:r w:rsidR="00AA57C8">
        <w:t>Macroeconomic Indicators</w:t>
      </w:r>
      <w:bookmarkEnd w:id="11"/>
    </w:p>
    <w:p w14:paraId="22EF8207" w14:textId="77777777" w:rsidR="00AA57C8" w:rsidRDefault="00AA57C8" w:rsidP="00AA57C8">
      <w:pPr>
        <w:spacing w:after="160"/>
        <w:jc w:val="both"/>
      </w:pPr>
      <w:r>
        <w:t>Monthly macroeconomic time series were obtained from the Federal Reserve Economic Data (FRED) API, maintained by the Federal Reserve Bank of St. Louis. Six indicators were collected: the Consumer Price Index for All Urban Consumers (CPIAUCNS), the Effective Federal Funds Rate (FEDFUNDS), the Civilian Unemployment Rate (UNRATE), the 10-Year Treasury Constant Maturity Rate (GS10), the US Dollar Index (DTWEXBGS), and the Personal Saving Rate (PSAVERT). Monthly series were forward-filled to trading-day frequency for use as features in the predictive model.</w:t>
      </w:r>
    </w:p>
    <w:p w14:paraId="595C1B36" w14:textId="2912437B" w:rsidR="00AA57C8" w:rsidRDefault="003A0CC0" w:rsidP="00AA57C8">
      <w:pPr>
        <w:pStyle w:val="Heading2"/>
      </w:pPr>
      <w:r>
        <w:t xml:space="preserve"> </w:t>
      </w:r>
      <w:bookmarkStart w:id="12" w:name="_Toc234343200"/>
      <w:r w:rsidR="00AA57C8">
        <w:t>FOMC Meeting Calendar</w:t>
      </w:r>
      <w:bookmarkEnd w:id="12"/>
    </w:p>
    <w:p w14:paraId="3D8CCA33" w14:textId="77777777" w:rsidR="00AA57C8" w:rsidRDefault="00AA57C8" w:rsidP="00AA57C8">
      <w:pPr>
        <w:spacing w:after="160"/>
        <w:jc w:val="both"/>
      </w:pPr>
      <w:r>
        <w:t>The dates and outcomes of all 89 scheduled FOMC policy meetings between January 2015 and December 2025 were compiled from the Federal Reserve website. For each meeting, three attributes were recorded: the meeting date, the resulting federal funds rate decision (increase, decrease, or hold), and the magnitude of any rate change in basis points. These dates serve as high-salience monetary policy events in the event study, and the FOMC event category carries particular importance given the documented market sensitivity to Federal Reserve communication.</w:t>
      </w:r>
    </w:p>
    <w:p w14:paraId="5D35C95D" w14:textId="3CB39C14" w:rsidR="00AA57C8" w:rsidRDefault="003A0CC0" w:rsidP="00AA57C8">
      <w:pPr>
        <w:pStyle w:val="Heading2"/>
      </w:pPr>
      <w:r>
        <w:t xml:space="preserve"> </w:t>
      </w:r>
      <w:bookmarkStart w:id="13" w:name="_Toc234343201"/>
      <w:r w:rsidR="00AA57C8">
        <w:t>Data Limitations</w:t>
      </w:r>
      <w:bookmarkEnd w:id="13"/>
    </w:p>
    <w:p w14:paraId="737ACF85" w14:textId="77777777" w:rsidR="00AA57C8" w:rsidRDefault="00AA57C8" w:rsidP="00AA57C8">
      <w:pPr>
        <w:spacing w:after="160"/>
        <w:jc w:val="both"/>
      </w:pPr>
      <w:r>
        <w:t>Several data limitations are acknowledged. First, the GDELT global events database, which was intended to provide systematic geopolitical risk scores at daily frequency for the full study period, was available only as a 5-day proof-of-concept sample due to API constraints. Consequently, geopolitical risk as measured by GDELT does not feature as a daily confounder in the causal model; instead, geopolitical events were classified from presidential document titles using keyword matching. Second, the use of document titles rather than full text limits the richness of the NLP signal, particularly for long-form speeches where the substantive policy content may not be reflected in a brief title. Third, the American Presidency Project archive may not capture all communications immediately upon release, potentially introducing small temporal lags in the event dates. These limitations are discussed further in Section 5.</w:t>
      </w:r>
    </w:p>
    <w:p w14:paraId="4978203F" w14:textId="77777777" w:rsidR="00AA57C8" w:rsidRDefault="00AA57C8" w:rsidP="00AA57C8">
      <w:r>
        <w:br w:type="page"/>
      </w:r>
    </w:p>
    <w:p w14:paraId="2079DF30" w14:textId="74AD8E63" w:rsidR="00AA57C8" w:rsidRPr="00410F9A" w:rsidRDefault="00AA57C8" w:rsidP="00AA57C8">
      <w:pPr>
        <w:pStyle w:val="Heading1"/>
        <w:spacing w:after="120"/>
        <w:rPr>
          <w:highlight w:val="yellow"/>
        </w:rPr>
      </w:pPr>
      <w:bookmarkStart w:id="14" w:name="_Toc234343202"/>
      <w:r w:rsidRPr="00410F9A">
        <w:rPr>
          <w:highlight w:val="yellow"/>
        </w:rPr>
        <w:lastRenderedPageBreak/>
        <w:t>Methods</w:t>
      </w:r>
      <w:bookmarkEnd w:id="14"/>
    </w:p>
    <w:p w14:paraId="7E740728" w14:textId="667B9B30" w:rsidR="00AA57C8" w:rsidRDefault="003A0CC0" w:rsidP="00AA57C8">
      <w:pPr>
        <w:pStyle w:val="Heading2"/>
      </w:pPr>
      <w:r>
        <w:t xml:space="preserve"> </w:t>
      </w:r>
      <w:bookmarkStart w:id="15" w:name="_Toc234343203"/>
      <w:r w:rsidR="00AA57C8">
        <w:t>Pipeline Overview</w:t>
      </w:r>
      <w:bookmarkEnd w:id="15"/>
    </w:p>
    <w:p w14:paraId="444377C0" w14:textId="77777777" w:rsidR="00AA57C8" w:rsidRDefault="00AA57C8" w:rsidP="00AA57C8">
      <w:pPr>
        <w:spacing w:after="160"/>
        <w:jc w:val="both"/>
      </w:pPr>
      <w:r>
        <w:t>The analytical pipeline is structured as eight sequential phases, each producing intermediate outputs that feed into subsequent phases: (1) data collection, (2) exploratory data analysis, (3) event detection and sentiment scoring, (4) causal event study analysis, (5) feature engineering, (6) baseline model training, (7) model evaluation, and (8) results visualisation. All code was implemented in Python and organised as eight numbered Jupyter notebooks, each with a single, non-overlapping responsibility. Every dataset, feature specification, model contract, and statistical decision referenced in this chapter was fixed under a formal governance freeze before any result in this dissertation was reported, so the pipeline described in the remainder of this chapter is a completed, closed specification rather than a design that continued to evolve after results were obtained.</w:t>
      </w:r>
    </w:p>
    <w:p w14:paraId="6B55E214" w14:textId="2EFD64B1" w:rsidR="00AA57C8" w:rsidRDefault="003A0CC0" w:rsidP="00AA57C8">
      <w:pPr>
        <w:pStyle w:val="Heading2"/>
      </w:pPr>
      <w:r>
        <w:t xml:space="preserve"> </w:t>
      </w:r>
      <w:bookmarkStart w:id="16" w:name="_Toc234343204"/>
      <w:r w:rsidR="00AA57C8">
        <w:t>Event Detection and Sentiment Scoring</w:t>
      </w:r>
      <w:bookmarkEnd w:id="16"/>
    </w:p>
    <w:p w14:paraId="58CF1798" w14:textId="77777777" w:rsidR="00AA57C8" w:rsidRDefault="00AA57C8" w:rsidP="00AA57C8">
      <w:pPr>
        <w:spacing w:after="160"/>
        <w:jc w:val="both"/>
      </w:pPr>
      <w:r>
        <w:t>Two complementary sources of events were unified into a single event catalogue: unstructured presidential communications drawn from the American Presidency Project (APP) archive, and structured Federal Open Market Committee (FOMC) monetary policy decisions. Presidential document titles were classified into one of eight thematically relevant event categories — monetary, trade, geopolitical, regulatory, energy, health, labour, and a residual “other” category — using a priority-ordered, rule-based keyword matching classifier, in which the first category whose keyword list matched a given title was assigned and titles matching no list defaulted to “other”. A deterministic, inspectable keyword classifier was adopted in preference to a supervised text classifier because no labelled training set specific to the presidential-communication domain existed, and the category boundaries themselves reflect domain-specific judgements more suitably expressed as an auditable keyword list than learned implicitly from an unrelated corpus. Each of the 89 FOMC meeting dates covering the sample period was treated as a separate, structured event rather than passed through the same title-based classifier: every FOMC meeting was assigned to the monetary category directly, since a scheduled rate decision (hold, hike, cut, emergency cut, or taper) is already an unambiguous categorical outcome that does not require text-based classification.</w:t>
      </w:r>
    </w:p>
    <w:p w14:paraId="1BC90580" w14:textId="77777777" w:rsidR="00AA57C8" w:rsidRDefault="00AA57C8" w:rsidP="00AA57C8">
      <w:pPr>
        <w:spacing w:after="160"/>
        <w:jc w:val="both"/>
      </w:pPr>
      <w:r>
        <w:t>Sentiment scoring of presidential-communication titles was performed using FinBERT (Araci, 2019; model identifier ProsusAI/finbert), a transformer model pretrained on financial-domain text, applied via the project’s EventDetector module (src/event_detector.py) using the Hugging Face transformers text-classification pipeline. FinBERT is the project’s official, primary sentiment-scoring engine for the entire pipeline. It was scored on document titles rather than full document text, in batches of 32 titles with a maximum sequence length of 512 tokens, and a label was accepted only where the model’s top-class confidence met a minimum threshold of 0.70 (all three parameters fixed in the project configuration file). FinBERT was selected over a bespoke lexicon because it is a domain-general, pretrained method whose behaviour does not depend on a hand-constructed, project-specific keyword list; the trade-off accepted in choosing it is a known domain-mismatch limitation, in which FinBERT’s financial-news training corpus produces a higher rate of neutral title-level classifications on formal policy language than a lexicon tuned specifically to that language would. This limitation is treated in the dissertation as a documented characteristic of the primary method rather than as grounds for replacing it. FOMC events were not scored by FinBERT or by any text-</w:t>
      </w:r>
      <w:r>
        <w:lastRenderedPageBreak/>
        <w:t>based method: their sentiment label and numeric score were instead assigned directly and deterministically from the rate-decision outcome itself (for example, a rate hike was mapped to a negative label and a rate cut or emergency cut to a positive label), since a scheduled monetary policy decision carries no free-text title to score.</w:t>
      </w:r>
    </w:p>
    <w:p w14:paraId="09E4CCD4" w14:textId="77777777" w:rsidR="00AA57C8" w:rsidRDefault="00AA57C8" w:rsidP="00AA57C8">
      <w:pPr>
        <w:spacing w:after="160"/>
        <w:jc w:val="both"/>
      </w:pPr>
      <w:r>
        <w:t>A curated lexicon-based sentiment scorer, combining the Loughran-McDonald financial sentiment word list (Loughran and McDonald, 2011) with a bespoke set of political and macroeconomic terms, is also present in the pipeline but is not a competing primary methodology. It serves two limited purposes only: as a fallback scorer for any title not already covered by the cached, FinBERT-scored catalogue when the FinBERT dependency is unavailable in the runtime environment, and as the sentiment measure that was used, prior to the project’s Sentiment Engine Freeze, as the treatment variable in the causal event-study analysis reported in Section 3.4. That causal result was computed and frozen before FinBERT was ratified as the project’s primary sentiment engine and is retained solely for reproducibility of that historical estimate; it is not re-run, and the lexicon score is not used in the feature engineering (Section 3.5) or predictive modelling (Section 3.6) stages of the pipeline, both of which consume only the FinBERT-scored event catalogue.</w:t>
      </w:r>
    </w:p>
    <w:p w14:paraId="2992A5E0" w14:textId="77777777" w:rsidR="00AA57C8" w:rsidRDefault="00AA57C8" w:rsidP="00AA57C8">
      <w:pPr>
        <w:spacing w:after="160"/>
        <w:jc w:val="both"/>
      </w:pPr>
      <w:r>
        <w:t>Daily Goldstein-scale and average-tone scores from the GDELT Global Knowledge Graph were merged into the same event catalogue as a candidate geopolitical-risk signal, normalised from the Goldstein scale’s native [−10, +10] range to [−1, +1] and assigned to the geopolitical category. This source was limited, at the time of data collection, to a five-day proof-of-concept sample rather than a complete daily series across the study period, and is treated throughout as a supplementary signal rather than a primary confounder. A subset of high-impact events was identified for use in the event study (Section 3.3): an event was flagged as high-impact if its event type fell within the five categories judged most likely to carry market-relevant information — monetary, geopolitical, trade, regulatory, and energy — and its sentiment classification confidence met the 0.70 threshold described above, or if it was any FOMC decision other than a hold. This flag defines the event-study sample used in Sections 3.3 and 3.4, rather than every classified document being tested regardless of category or classification confidence.</w:t>
      </w:r>
    </w:p>
    <w:p w14:paraId="79F25970" w14:textId="77777777" w:rsidR="00AA57C8" w:rsidRDefault="00AA57C8" w:rsidP="00AA57C8">
      <w:pPr>
        <w:spacing w:after="160"/>
        <w:jc w:val="both"/>
      </w:pPr>
      <w:r>
        <w:t>Daily sentiment time series were constructed by aggregating event-level sentiment to trading-day frequency: for each calendar day, the mean and summed numeric sentiment were computed separately within each event-type category and overall across all categories, alongside a count of the number of events observed that day; days with no classified events were left undefined at this stage rather than imputed, deferring any fill-forward or zero-imputation treatment to the feature engineering stage described in Section 3.5. This process produced three outputs consumed by later stages of the pipeline: a unified event catalogue recording every classified presidential communication, FOMC decision, and GDELT-derived geopolitical observation together with its date, category, and sentiment; a daily sentiment time series aggregating the catalogue to trading-day frequency by category and overall; and the high-impact event subset described above. The event catalogue and its high-impact subset were consumed directly by the event study and causal inference analysis described in Sections 3.3 and 3.4, while the daily sentiment aggregates were merged into the master dataset that, together with the event study’s output, forms one of the two upstream artefacts from which the frozen feature matrix described in Section 3.5 was built.</w:t>
      </w:r>
    </w:p>
    <w:p w14:paraId="615E2070" w14:textId="4A0CB57D" w:rsidR="00AA57C8" w:rsidRDefault="003A0CC0" w:rsidP="00AA57C8">
      <w:pPr>
        <w:pStyle w:val="Heading2"/>
      </w:pPr>
      <w:r>
        <w:lastRenderedPageBreak/>
        <w:t xml:space="preserve"> </w:t>
      </w:r>
      <w:bookmarkStart w:id="17" w:name="_Toc234343205"/>
      <w:r w:rsidR="00AA57C8">
        <w:t>Event Study Analysis</w:t>
      </w:r>
      <w:bookmarkEnd w:id="17"/>
    </w:p>
    <w:p w14:paraId="730F412D" w14:textId="77777777" w:rsidR="00AA57C8" w:rsidRDefault="00AA57C8" w:rsidP="00AA57C8">
      <w:pPr>
        <w:spacing w:after="160"/>
        <w:jc w:val="both"/>
      </w:pPr>
      <w:r>
        <w:t>The event study followed a constant-mean-return (mean-adjusted) design: for each event, the expected “normal” return was computed as SPY’s own historical mean simple (percentage) return over a pre-event estimation window of 252 to 21 trading days before the event date, rather than being estimated from a regression against a separate market-proxy series. The abnormal return (AR) on each day τ within the event window of 5 trading days before to 10 trading days after the event date was defined as AR_τ = R_τ − μ̂, where R_τ is the realised return on day τ and μ̂ is the mean return over the estimation window; the cumulative abnormal return (CAR) over the full window was the running sum of daily abnormal returns. The event study was conducted on the high-impact event subset described in Section 3.2, deduplicated to a single record per calendar date, and consequently restricted to the five event categories eligible for that flag — monetary, geopolitical, trade, regulatory, and energy; health and labour events, which cannot be flagged high-impact, were not included in the event study sample.</w:t>
      </w:r>
    </w:p>
    <w:p w14:paraId="2B44490B" w14:textId="77777777" w:rsidR="00AA57C8" w:rsidRDefault="00AA57C8" w:rsidP="00AA57C8">
      <w:pPr>
        <w:spacing w:after="160"/>
        <w:jc w:val="both"/>
      </w:pPr>
      <w:r>
        <w:t>Statistical significance of CAR was assessed per event type using a one-sample t-test against a null hypothesis of zero mean CAR, applied directly to the pooled event-level CAR observations within each type rather than to type-level averages. A Wilcoxon signed-rank test was reported alongside the t-test for each event type as a non-parametric robustness check that does not rely on an approximate-normality assumption. A separate, independent two-sample comparison — a Welch’s t-test and a Mann-Whitney U test — was used to compare CAR between positive-sentiment and negative-sentiment events. Testing pooled, event-level CAR rather than event-type-averaged CAR does not correct for the non-independence introduced by event clustering (multiple communications occurring within a short period), and no multiple-comparisons correction was applied across the event-type family of tests; both are recorded as methodological limitations of the implemented procedure rather than addressed within it.</w:t>
      </w:r>
    </w:p>
    <w:p w14:paraId="75B301D6" w14:textId="77777777" w:rsidR="00AA57C8" w:rsidRDefault="00AA57C8" w:rsidP="00AA57C8">
      <w:pPr>
        <w:spacing w:after="160"/>
        <w:jc w:val="both"/>
      </w:pPr>
      <w:r>
        <w:t>The event study produced a single output, car_results.parquet, recording the cumulative abnormal return, mean abnormal return, event-window and estimation-window observation counts, t-statistic, and significance flag for every high-impact event date, together with the VIX level and overall daily sentiment observed on that date. This dataset was consumed directly by the causal inference analysis described in Section 3.4.</w:t>
      </w:r>
    </w:p>
    <w:p w14:paraId="6F5A5C96" w14:textId="649B586C" w:rsidR="00AA57C8" w:rsidRDefault="003A0CC0" w:rsidP="00AA57C8">
      <w:pPr>
        <w:pStyle w:val="Heading2"/>
      </w:pPr>
      <w:r>
        <w:t xml:space="preserve"> </w:t>
      </w:r>
      <w:bookmarkStart w:id="18" w:name="_Toc234343206"/>
      <w:r w:rsidR="00AA57C8">
        <w:t>Causal Inference with DoWhy</w:t>
      </w:r>
      <w:bookmarkEnd w:id="18"/>
    </w:p>
    <w:p w14:paraId="789ECB45" w14:textId="77777777" w:rsidR="00AA57C8" w:rsidRDefault="00AA57C8" w:rsidP="00AA57C8">
      <w:pPr>
        <w:spacing w:after="160"/>
        <w:jc w:val="both"/>
      </w:pPr>
      <w:r>
        <w:t>Causal identification was implemented using the DoWhy library (Sharma and Kiciman, 2020), which provides a structured workflow for causal effect estimation based on Pearl’s (2009) structural causal model (SCM) framework. For the primary causal estimate, the causal graph was specified as a directed acyclic graph (DAG) with the following edges: daily sentiment → next-day SPY return; VIX regime → next-day SPY return; VIX regime → daily sentiment (markets in high-volatility regimes produce more negative news); prior-day return → next-day return (momentum/mean-reversion); prior-day return → daily sentiment (negative returns generate negative coverage). VIX regime was operationalised as a fixed threshold — a binary indicator equal to 1 when the VIX closing level exceeded 20, rather than a level relative to its own rolling mean. As established in Section 3.2, the daily sentiment aggregate used as the treatment variable for this already-frozen causal estimate is the historical, pre-Sentiment-Engine-Freeze aggregate computed at the time this analysis was run; it is not a current, FinBERT-primary re-run.</w:t>
      </w:r>
    </w:p>
    <w:p w14:paraId="7EE8FBBE" w14:textId="77777777" w:rsidR="00AA57C8" w:rsidRDefault="00AA57C8" w:rsidP="00AA57C8">
      <w:pPr>
        <w:spacing w:after="160"/>
        <w:jc w:val="both"/>
      </w:pPr>
      <w:r>
        <w:lastRenderedPageBreak/>
        <w:t>The backdoor criterion (Pearl, 2009) was applied to identify the causal effect of sentiment on next-day return, adjusting for the two confounders named above. Causal effect estimation was performed using linear regression on the backdoor-adjusted dataset (DoWhy’s backdoor.linear_regression estimator), producing a coefficient estimate interpretable as the average causal effect (ACE) of a one-unit increase in the sentiment treatment on the next-day SPY simple (percentage) return.</w:t>
      </w:r>
    </w:p>
    <w:p w14:paraId="4B0E9498" w14:textId="77777777" w:rsidR="00AA57C8" w:rsidRDefault="00AA57C8" w:rsidP="00AA57C8">
      <w:pPr>
        <w:spacing w:after="160"/>
        <w:jc w:val="both"/>
      </w:pPr>
      <w:r>
        <w:t>Three refutation tests were run against the primary causal estimate: (1) a random common cause test, which adds a randomly generated confounder to the model and checks whether the estimated effect changes substantially; (2) a placebo treatment test, which replaces the sentiment variable with a random permutation (and, for this project, an additional 80% data-subset variant) and checks whether the estimated effect collapses toward zero; and (3) a data subset test, which re-estimates the effect on a random 80% subset of the data and checks for consistency in sign and magnitude. These refutation tests were run once, against the primary (overall) causal estimate only, and were not repeated for each of the per-event-type or robustness estimates described below.</w:t>
      </w:r>
    </w:p>
    <w:p w14:paraId="09676CB4" w14:textId="77777777" w:rsidR="00AA57C8" w:rsidRDefault="00AA57C8" w:rsidP="00AA57C8">
      <w:pPr>
        <w:spacing w:after="160"/>
        <w:jc w:val="both"/>
      </w:pPr>
      <w:r>
        <w:t>The causal estimation was extended in two directions beyond the single, overall estimate described above. First, the same backdoor-adjusted linear regression was re-estimated separately for each of the five event categories eligible for the high-impact flag (monetary, trade, geopolitical, regulatory, and energy), using that category’s daily mean sentiment as the treatment in place of the overall daily sentiment aggregate. These per-category models used a narrower graph than the overall model: VIX regime was retained as a common cause of both treatment and outcome, but prior-day return was specified only as a cause of the outcome, not of the category-level treatment. Second, a robustness estimate was produced by substituting a FinBERT-derived daily sentiment aggregate — computed directly from the subset of the event catalogue sourced from FinBERT — as the treatment in an otherwise identical model, and comparing its point estimate and confidence interval against the primary (lexicon-era) estimate as a check of consistency across sentiment-scoring methods.</w:t>
      </w:r>
    </w:p>
    <w:p w14:paraId="5FC1F4EE" w14:textId="77777777" w:rsidR="00AA57C8" w:rsidRDefault="00AA57C8" w:rsidP="00AA57C8">
      <w:pPr>
        <w:spacing w:after="160"/>
        <w:jc w:val="both"/>
      </w:pPr>
      <w:r>
        <w:t>The five per-event-type causal estimates were saved to causal_estimates.parquet, recording the causal effect, 95% confidence interval, and observation counts for each event type. The single overall estimate and the FinBERT robustness comparison are reported directly in the analysis notebook rather than persisted to a separate output file. Neither causal_estimates.parquet nor car_results.parquet feeds directly into the feature engineering stage described in Section 3.5; car_results.parquet is the one event-study artefact consumed there, while causal_estimates.parquet serves as primary evidence for the abnormal-returns research question addressed in Chapter 4.</w:t>
      </w:r>
    </w:p>
    <w:p w14:paraId="2EDE2980" w14:textId="369C032C" w:rsidR="00AA57C8" w:rsidRDefault="003A0CC0" w:rsidP="00AA57C8">
      <w:pPr>
        <w:pStyle w:val="Heading2"/>
      </w:pPr>
      <w:r>
        <w:t xml:space="preserve"> </w:t>
      </w:r>
      <w:bookmarkStart w:id="19" w:name="_Toc234343207"/>
      <w:r w:rsidR="00AA57C8">
        <w:t>Feature Engineering</w:t>
      </w:r>
      <w:bookmarkEnd w:id="19"/>
    </w:p>
    <w:p w14:paraId="1BEAE194" w14:textId="77777777" w:rsidR="00AA57C8" w:rsidRDefault="00AA57C8" w:rsidP="00AA57C8">
      <w:pPr>
        <w:spacing w:after="160"/>
        <w:jc w:val="both"/>
      </w:pPr>
      <w:r>
        <w:t xml:space="preserve">The feature matrix was built from exactly two upstream artefacts — the merged market, macroeconomic, and sentiment dataset described in Section 3.2 and the event-study output described in Section 3.3 — and from no other processed file. Ninety-five features were engineered across six categories. Market (27) comprised the base return series and its high/low variants, lagged and cumulative returns, rolling volatility, momentum, 14-day RSI with oversold/overbought flags, Bollinger Band width and position, a moving-average cross and price-to-200-day-average ratio, and a high-volatility-regime flag. Macroeconomic and VIX (16) comprised the VIX level and its short-term change, spike, and regime indicators, the federal funds rate, Treasury yields and the yield-curve spread, </w:t>
      </w:r>
      <w:r>
        <w:lastRenderedPageBreak/>
        <w:t>unemployment, and derived signals for rate hikes, rate cuts, and yield-curve inversion. Sentiment (25) comprised the overall and per-event-type daily sentiment aggregates carried over from Section 3.2, rolling means and standard deviations of overall sentiment at several lookback windows, sentiment momentum, positive/negative-day flags, and short lags of the three most frequent event categories. Event (14) comprised the mean CAR and significant-event count carried over from Section 3.3, per-category event-day counts for the five event categories eligible for the event study, the number of trading days since the most recent event-study observation, and day flags for the three event categories not covered by the event study (health, labour, and the residual “other” category). Temporal (5) comprised cyclically encoded day-of-week and month indicators and an ordinal quarter number. Interaction (8) combined sentiment, event, volatility, and momentum signals judged most likely to carry genuine non-additive information. Unlike an earlier, superseded design, no feature-importance-based subset selection was applied: all 95 engineered features constitute the frozen feature matrix, and variance, correlation, and variance-inflation-factor checks are retained as diagnostic flags for the multicollinearity discussion rather than as an automatic feature-removal mechanism.</w:t>
      </w:r>
    </w:p>
    <w:p w14:paraId="1CDCA895" w14:textId="77777777" w:rsidR="00AA57C8" w:rsidRDefault="00AA57C8" w:rsidP="00AA57C8">
      <w:pPr>
        <w:spacing w:after="160"/>
        <w:jc w:val="both"/>
      </w:pPr>
      <w:r>
        <w:t>Several categorical features were constructed from thresholds fitted on the training split only, to avoid leaking test-period information into a nominally binary indicator: the high-volatility-regime flag used the 75th percentile of 21-day rolling volatility observed in training, the VIX-regime flag used the 75th percentile of VIX observed in training, and the VIX-spike flag used the 90th percentile of the one-day VIX change observed in training. The VIX-regime feature constructed here is distinct from the fixed VIX-above-20 threshold used as a confounder in the causal analysis (Section 3.4): the two are computed in different notebooks, serve different purposes, and share a variable name only by coincidence.</w:t>
      </w:r>
    </w:p>
    <w:p w14:paraId="583C3059" w14:textId="77777777" w:rsidR="00AA57C8" w:rsidRDefault="00AA57C8" w:rsidP="00AA57C8">
      <w:pPr>
        <w:spacing w:after="160"/>
        <w:jc w:val="both"/>
      </w:pPr>
      <w:r>
        <w:t>After all 95 features and the target variable were constructed, rows containing any undefined value were dropped; the binding constraint was the days-since-last-event feature, undefined before the first recorded event-study observation on 2016-01-05, yielding 2,511 rows spanning 2016-01-05 to 2025-12-29. The sole frozen target was the forward one-day SPY return, carried through unchanged from the Section 3.2 dataset; five- and ten-day forward returns were not engineered. The data were split chronologically, without shuffling, into a training set of 1,761 rows (2016-01-05 to 2022-12-30, 70.1%) and a held-out test set of 750 rows (2023-01-03 to 2025-12-29, 29.9%), consistent with the forecasting nature of the task and avoiding the information leakage a random split would introduce through overlapping rolling-window features. Per-feature mean and standard deviation were computed on the training split only, using the population standard deviation, and persisted alongside the feature matrix; every engineered feature, including binary flags, is standardised uniformly by any consuming notebook using these persisted parameters, and the scaler is never refitted on the full matrix or on test data. The feature matrix itself is stored unscaled.</w:t>
      </w:r>
    </w:p>
    <w:p w14:paraId="1817A678" w14:textId="77777777" w:rsidR="00AA57C8" w:rsidRDefault="00AA57C8" w:rsidP="00AA57C8">
      <w:pPr>
        <w:spacing w:after="160"/>
        <w:jc w:val="both"/>
      </w:pPr>
      <w:r>
        <w:t>The market category (27 features) is the only feature subset a market-only baseline model may read; the remaining 68 features are reserved for event-enhanced models only, a boundary enforced at the point of consumption rather than left to per-notebook discretion, and the mechanism that prevents event information from leaking into the baseline model used to address RQ3. Construction was validated against an expected category-count, row-count, and split-count specification, and cross-checked for exact numerical reproduction against the previously frozen feature matrix before being accepted as unchanged.</w:t>
      </w:r>
    </w:p>
    <w:p w14:paraId="5E59FECB" w14:textId="1A3283F5" w:rsidR="00AA57C8" w:rsidRDefault="003A0CC0" w:rsidP="00AA57C8">
      <w:pPr>
        <w:pStyle w:val="Heading2"/>
      </w:pPr>
      <w:r>
        <w:lastRenderedPageBreak/>
        <w:t xml:space="preserve"> </w:t>
      </w:r>
      <w:bookmarkStart w:id="20" w:name="_Toc234343208"/>
      <w:r w:rsidR="00AA57C8">
        <w:t>Predictive Modelling</w:t>
      </w:r>
      <w:bookmarkEnd w:id="20"/>
    </w:p>
    <w:p w14:paraId="3D908A3D" w14:textId="77777777" w:rsidR="00AA57C8" w:rsidRDefault="00AA57C8" w:rsidP="00AA57C8">
      <w:pPr>
        <w:spacing w:after="160"/>
        <w:jc w:val="both"/>
      </w:pPr>
      <w:r>
        <w:t>Four models were trained and compared to address RQ3: Baseline_LASSO (Market-category features only, 27 predictors) and three event-enhanced candidates — Event_LASSO, XGBoost, and LightGBM — each trained on the full 95-feature matrix described in Section 3.5.</w:t>
      </w:r>
    </w:p>
    <w:p w14:paraId="6D140D7D" w14:textId="77777777" w:rsidR="00AA57C8" w:rsidRDefault="00AA57C8" w:rsidP="00AA57C8">
      <w:pPr>
        <w:spacing w:after="160"/>
        <w:jc w:val="both"/>
      </w:pPr>
      <w:r>
        <w:rPr>
          <w:b/>
          <w:bCs/>
        </w:rPr>
        <w:t xml:space="preserve">Baseline_LASSO and Event_LASSO. </w:t>
      </w:r>
      <w:r>
        <w:t>Baseline_LASSO and Event_LASSO are the same underlying algorithm — a regularised linear regression with an L1 penalty (LassoCV), fitted via scikit-learn’s automatic coordinate-descent alpha-path search and cross-validated with a five-fold TimeSeriesSplit and a fixed random seed — trained as two separate model objects with different feature scopes and different roles. Baseline_LASSO reads only the 27 Market-category features and establishes the floor RQ3’s comparison must clear; Event_LASSO reads the full 95-feature matrix and is one of the three event-enhanced candidates tested against that floor. Depending on the strength of regularisation selected by cross-validation, LassoCV may shrink some or all coefficients to zero; where every coefficient is driven to zero, the fitted model reduces to predicting the training-split mean of the target.</w:t>
      </w:r>
    </w:p>
    <w:p w14:paraId="3556719E" w14:textId="77777777" w:rsidR="00AA57C8" w:rsidRDefault="00AA57C8" w:rsidP="00AA57C8">
      <w:pPr>
        <w:spacing w:after="160"/>
        <w:jc w:val="both"/>
      </w:pPr>
      <w:r>
        <w:rPr>
          <w:b/>
          <w:bCs/>
        </w:rPr>
        <w:t xml:space="preserve">XGBoost and LightGBM. </w:t>
      </w:r>
      <w:r>
        <w:t>XGBoost (Chen and Guestrin, 2016) and LightGBM (Ke et al., 2017), two gradient-boosted decision tree ensembles, were trained as the remaining event-enhanced candidates on the same full 95-feature matrix. Both were originally tuned via RandomizedSearchCV (25 iterations, five-fold TimeSeriesSplit cross-validation, scored on negative RMSE, fixed random seed), searching over standard boosting hyperparameters — number of estimators, tree depth, learning rate, subsample and column-subsample fractions, and L1/L2 regularisation strength. The selected configuration for each model is recorded in a frozen metadata file and re-used directly, rather than re-searched, whenever the model is retrained, so that reproduction does not depend on the stability of the randomised search itself across environments. XGBoost’s selected configuration used 500 estimators, maximum tree depth 6, learning rate 0.1, subsample fraction 0.9, column-subsample fraction 0.5, minimum child weight 3, L1 regularisation 0.5, and L2 regularisation 0.5. LightGBM’s selected configuration used 200 estimators, 15 leaves, maximum tree depth 4, learning rate 0.01, subsample fraction 0.8, column-subsample fraction 0.7, minimum child samples 30, L1 regularisation 0, and L2 regularisation 1.5.</w:t>
      </w:r>
    </w:p>
    <w:p w14:paraId="505181F4" w14:textId="77777777" w:rsidR="00AA57C8" w:rsidRDefault="00AA57C8" w:rsidP="00AA57C8">
      <w:pPr>
        <w:spacing w:after="160"/>
        <w:jc w:val="both"/>
      </w:pPr>
      <w:r>
        <w:t>Every model was scored on an identical metric set on the held-out test split: root mean squared error (RMSE), mean absolute error (MAE), coefficient of determination (R²), directional accuracy (the proportion of test days on which the predicted and realised return shared the same sign), and the Spearman rank Information Coefficient (IC) between predicted and realised returns. For the direction-as-binary-classification framing, precision, recall, F1, accuracy, and ROC-AUC were additionally computed from a confusion matrix constructed by thresholding both predicted and realised returns at zero. An event-enhanced model was reported as beating Baseline_LASSO only if it cleared both of two legs on the test split: (1) a significantly lower RMSE, assessed via a one-sided Diebold-Mariano test comparing the squared-error loss series of the candidate against the baseline; and (2) a significantly higher directional accuracy, assessed via a one-sided two-proportion z-test. Both legs were assessed at a Bonferroni-corrected significance level of α = 0.05⁄3 ≈ 0.0167, correcting for the family of three event-enhanced candidates compared against the one baseline. A model clearing only one leg was reported as a mixed result, not as beating the baseline.</w:t>
      </w:r>
    </w:p>
    <w:p w14:paraId="61F35963" w14:textId="77777777" w:rsidR="00AA57C8" w:rsidRDefault="00AA57C8" w:rsidP="00AA57C8">
      <w:pPr>
        <w:spacing w:after="160"/>
        <w:jc w:val="both"/>
      </w:pPr>
      <w:r>
        <w:lastRenderedPageBreak/>
        <w:t>Explainability for the three event-enhanced models was assessed using SHAP (SHapley Additive exPlanations) values (Lundberg and Lee, 2017), which decompose each model prediction into per-feature additive contributions: the exact TreeExplainer algorithm for XGBoost and LightGBM, and the corresponding exact linear decomposition for Event_LASSO, each computed on the test set to produce global feature-importance rankings and per-feature attribution. A separate, category-level feature-importance ranking across the full 95-feature matrix — used for the RQ2 feature-importance discussion rather than the RQ3 model comparison — was produced by a Random Forest model trained for that purpose. This artefact and its trained model object are retained as frozen outputs and are read directly by the results-visualisation notebook, but the code that produced them is not present in any notebook currently in the repository, and it is not re-derived as part of this dissertation’s reproducible pipeline.</w:t>
      </w:r>
    </w:p>
    <w:p w14:paraId="4FB90C72" w14:textId="77777777" w:rsidR="00AA57C8" w:rsidRDefault="00AA57C8" w:rsidP="00AA57C8">
      <w:r>
        <w:br w:type="page"/>
      </w:r>
    </w:p>
    <w:p w14:paraId="091F5752" w14:textId="7048E853" w:rsidR="00AA57C8" w:rsidRDefault="00AA57C8" w:rsidP="00AA57C8">
      <w:pPr>
        <w:pStyle w:val="Heading1"/>
        <w:spacing w:after="120"/>
      </w:pPr>
      <w:bookmarkStart w:id="21" w:name="_Toc234343209"/>
      <w:r>
        <w:lastRenderedPageBreak/>
        <w:t>Results</w:t>
      </w:r>
      <w:bookmarkEnd w:id="21"/>
    </w:p>
    <w:p w14:paraId="12659977" w14:textId="1EFD00BC" w:rsidR="00AA57C8" w:rsidRDefault="003A0CC0" w:rsidP="00AA57C8">
      <w:pPr>
        <w:pStyle w:val="Heading2"/>
      </w:pPr>
      <w:r>
        <w:t xml:space="preserve"> </w:t>
      </w:r>
      <w:bookmarkStart w:id="22" w:name="_Toc234343210"/>
      <w:r w:rsidR="00AA57C8">
        <w:t>Event Detection and Sentiment Scoring</w:t>
      </w:r>
      <w:bookmarkEnd w:id="22"/>
    </w:p>
    <w:p w14:paraId="5EBD384E" w14:textId="77777777" w:rsidR="00AA57C8" w:rsidRDefault="00AA57C8" w:rsidP="00AA57C8">
      <w:pPr>
        <w:spacing w:after="160"/>
        <w:jc w:val="both"/>
      </w:pPr>
      <w:r>
        <w:t>The unified event catalogue contains 11,664 classified events: 11,570 presidential communications (spoken addresses 4,773; statements 2,298; press conferences 2,041; proclamations 1,773; executive orders 685), 89 Federal Open Market Committee meeting decisions, and 5 supplementary GDELT geopolitical-risk observations. Rule-based keyword classification assigned these events to eight categories: other (6,392), regulatory (2,246), geopolitical (1,617), health (438), monetary (293), trade (276), labour (243), and energy (159). A subset of 4,100 events met the high-impact criteria defined in Section 3.2 and were retained for the event study (Section 4.2); by construction, this subset is restricted to five categories — regulatory (2,019), geopolitical (1,453), trade (253), monetary (227), and energy (148) — since health and labour events cannot be flagged high-impact.</w:t>
      </w:r>
    </w:p>
    <w:p w14:paraId="1C25EC84" w14:textId="77777777" w:rsidR="00AA57C8" w:rsidRDefault="00AA57C8" w:rsidP="00AA57C8">
      <w:pPr>
        <w:spacing w:after="160"/>
        <w:jc w:val="both"/>
      </w:pPr>
      <w:r>
        <w:t>FinBERT, the project’s official sentiment-scoring engine, is the source for 11,570 of the 11,664 catalogued events (99.2%); the remaining events are scored by a fixed rule mapping FOMC rate-decision outcomes to sentiment (89 events, 0.8%) or by normalised GDELT Goldstein-scale scores (5 events, &lt;0.1%). No event in the current catalogue is scored by the lexicon fallback described in Section 3.2. The overall sentiment-label distribution is neutral (11,081, 95.0%), positive (324, 2.8%), and negative (259, 2.2%).</w:t>
      </w:r>
    </w:p>
    <w:p w14:paraId="75EF582B" w14:textId="77777777" w:rsidR="00AA57C8" w:rsidRDefault="00AA57C8" w:rsidP="00AA57C8">
      <w:pPr>
        <w:spacing w:before="120"/>
        <w:jc w:val="center"/>
      </w:pPr>
      <w:r>
        <w:rPr>
          <w:noProof/>
        </w:rPr>
        <w:drawing>
          <wp:inline distT="0" distB="0" distL="0" distR="0" wp14:anchorId="519824E9" wp14:editId="004240B2">
            <wp:extent cx="4877490" cy="3969267"/>
            <wp:effectExtent l="0" t="0" r="0" b="6350"/>
            <wp:docPr id="1" name="Figure 1: Event 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Event Landscap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877490" cy="3969267"/>
                    </a:xfrm>
                    <a:prstGeom prst="rect">
                      <a:avLst/>
                    </a:prstGeom>
                  </pic:spPr>
                </pic:pic>
              </a:graphicData>
            </a:graphic>
          </wp:inline>
        </w:drawing>
      </w:r>
    </w:p>
    <w:p w14:paraId="7A16701D" w14:textId="0DF5495D" w:rsidR="00AA57C8" w:rsidRPr="00410F9A" w:rsidRDefault="00410F9A" w:rsidP="00410F9A">
      <w:pPr>
        <w:pStyle w:val="Caption"/>
        <w:jc w:val="left"/>
      </w:pPr>
      <w:r>
        <w:t xml:space="preserve">Figure </w:t>
      </w:r>
      <w:r>
        <w:fldChar w:fldCharType="begin"/>
      </w:r>
      <w:r>
        <w:instrText xml:space="preserve"> SEQ Figure \* ARABIC </w:instrText>
      </w:r>
      <w:r>
        <w:fldChar w:fldCharType="separate"/>
      </w:r>
      <w:r>
        <w:rPr>
          <w:noProof/>
        </w:rPr>
        <w:t>1</w:t>
      </w:r>
      <w:r>
        <w:fldChar w:fldCharType="end"/>
      </w:r>
      <w:r w:rsidRPr="00155B9F">
        <w:t>. Event landscape overview: (a) annual event volume by type, (b) event type distribution, (c) sentiment mix by type, (d) events by president/source, and (e) 63-day rolling sentiment vs SPY cumulative return. The vertical dashed line marks the 2022 trai</w:t>
      </w:r>
      <w:r>
        <w:t>n</w:t>
      </w:r>
      <w:r w:rsidRPr="00410F9A">
        <w:t>—test boundary</w:t>
      </w:r>
      <w:r>
        <w:t>.</w:t>
      </w:r>
    </w:p>
    <w:p w14:paraId="78FC2D04" w14:textId="618C8AC7" w:rsidR="00410F9A" w:rsidRPr="00410F9A" w:rsidRDefault="00410F9A" w:rsidP="00410F9A"/>
    <w:p w14:paraId="49D80A89" w14:textId="6B11DEA5" w:rsidR="00AA57C8" w:rsidRDefault="003A0CC0" w:rsidP="00AA57C8">
      <w:pPr>
        <w:pStyle w:val="Heading2"/>
      </w:pPr>
      <w:r>
        <w:t xml:space="preserve"> </w:t>
      </w:r>
      <w:bookmarkStart w:id="23" w:name="_Toc234343211"/>
      <w:r w:rsidR="00AA57C8">
        <w:t>Event Study: Cumulative Abnormal Returns</w:t>
      </w:r>
      <w:bookmarkEnd w:id="23"/>
    </w:p>
    <w:p w14:paraId="0019094F" w14:textId="77777777" w:rsidR="00AA57C8" w:rsidRDefault="00AA57C8" w:rsidP="00AA57C8">
      <w:pPr>
        <w:spacing w:after="160"/>
        <w:jc w:val="both"/>
      </w:pPr>
      <w:r>
        <w:t>The event study was conducted on 1,796 event records across five event categories. The mean CAR by event type is presented in Table 3, and the full distribution is visualised in Figure 2.</w:t>
      </w:r>
    </w:p>
    <w:p w14:paraId="5B86BF83" w14:textId="77777777" w:rsidR="00AA57C8" w:rsidRDefault="00AA57C8" w:rsidP="00AA57C8">
      <w:pPr>
        <w:spacing w:before="200"/>
        <w:jc w:val="center"/>
      </w:pPr>
      <w:r>
        <w:rPr>
          <w:i/>
          <w:iCs/>
          <w:sz w:val="20"/>
          <w:szCs w:val="20"/>
        </w:rPr>
        <w:t>Table 3. Mean cumulative abnormal return (CAR) by event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60"/>
        <w:gridCol w:w="1760"/>
        <w:gridCol w:w="1760"/>
        <w:gridCol w:w="1480"/>
      </w:tblGrid>
      <w:tr w:rsidR="00AA57C8" w14:paraId="5D1B1084" w14:textId="77777777" w:rsidTr="005E7B9F">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6DFE0C" w14:textId="77777777" w:rsidR="00AA57C8" w:rsidRDefault="00AA57C8" w:rsidP="005E7B9F">
            <w:r>
              <w:rPr>
                <w:b/>
                <w:bCs/>
                <w:color w:val="FFFFFF"/>
                <w:sz w:val="20"/>
                <w:szCs w:val="20"/>
              </w:rPr>
              <w:t>Event Type</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B80AB2" w14:textId="77777777" w:rsidR="00AA57C8" w:rsidRDefault="00AA57C8" w:rsidP="005E7B9F">
            <w:r>
              <w:rPr>
                <w:b/>
                <w:bCs/>
                <w:color w:val="FFFFFF"/>
                <w:sz w:val="20"/>
                <w:szCs w:val="20"/>
              </w:rPr>
              <w:t>Mean CAR</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07F1D91" w14:textId="77777777" w:rsidR="00AA57C8" w:rsidRDefault="00AA57C8" w:rsidP="005E7B9F">
            <w:r>
              <w:rPr>
                <w:b/>
                <w:bCs/>
                <w:color w:val="FFFFFF"/>
                <w:sz w:val="20"/>
                <w:szCs w:val="20"/>
              </w:rPr>
              <w:t>Std Dev</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79E016B" w14:textId="77777777" w:rsidR="00AA57C8" w:rsidRDefault="00AA57C8" w:rsidP="005E7B9F">
            <w:r>
              <w:rPr>
                <w:b/>
                <w:bCs/>
                <w:color w:val="FFFFFF"/>
                <w:sz w:val="20"/>
                <w:szCs w:val="20"/>
              </w:rPr>
              <w:t>N Events</w:t>
            </w:r>
          </w:p>
        </w:tc>
        <w:tc>
          <w:tcPr>
            <w:tcW w:w="1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3A93320" w14:textId="77777777" w:rsidR="00AA57C8" w:rsidRDefault="00AA57C8" w:rsidP="005E7B9F">
            <w:r>
              <w:rPr>
                <w:b/>
                <w:bCs/>
                <w:color w:val="FFFFFF"/>
                <w:sz w:val="20"/>
                <w:szCs w:val="20"/>
              </w:rPr>
              <w:t>Sig. Events</w:t>
            </w:r>
          </w:p>
        </w:tc>
      </w:tr>
      <w:tr w:rsidR="00AA57C8" w14:paraId="70321640"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557323" w14:textId="77777777" w:rsidR="00AA57C8" w:rsidRDefault="00AA57C8" w:rsidP="005E7B9F">
            <w:r>
              <w:rPr>
                <w:color w:val="000000"/>
                <w:sz w:val="20"/>
                <w:szCs w:val="20"/>
              </w:rPr>
              <w:t>Geopolitical</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2F0817" w14:textId="77777777" w:rsidR="00AA57C8" w:rsidRDefault="00AA57C8" w:rsidP="005E7B9F">
            <w:r>
              <w:rPr>
                <w:color w:val="000000"/>
                <w:sz w:val="20"/>
                <w:szCs w:val="20"/>
              </w:rPr>
              <w:t>+0.0032</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56364B" w14:textId="77777777" w:rsidR="00AA57C8" w:rsidRDefault="00AA57C8" w:rsidP="005E7B9F">
            <w:r>
              <w:rPr>
                <w:color w:val="000000"/>
                <w:sz w:val="20"/>
                <w:szCs w:val="20"/>
              </w:rPr>
              <w:t>0.0386</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6DB037" w14:textId="77777777" w:rsidR="00AA57C8" w:rsidRDefault="00AA57C8" w:rsidP="005E7B9F">
            <w:r>
              <w:rPr>
                <w:color w:val="000000"/>
                <w:sz w:val="20"/>
                <w:szCs w:val="20"/>
              </w:rPr>
              <w:t>732</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E0711" w14:textId="77777777" w:rsidR="00AA57C8" w:rsidRDefault="00AA57C8" w:rsidP="005E7B9F">
            <w:r>
              <w:rPr>
                <w:color w:val="000000"/>
                <w:sz w:val="20"/>
                <w:szCs w:val="20"/>
              </w:rPr>
              <w:t>p = 0.024*</w:t>
            </w:r>
          </w:p>
        </w:tc>
      </w:tr>
      <w:tr w:rsidR="00AA57C8" w14:paraId="1584B5C6"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8C97D9" w14:textId="77777777" w:rsidR="00AA57C8" w:rsidRDefault="00AA57C8" w:rsidP="005E7B9F">
            <w:r>
              <w:rPr>
                <w:color w:val="000000"/>
                <w:sz w:val="20"/>
                <w:szCs w:val="20"/>
              </w:rPr>
              <w:t>Energy</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AA50C0" w14:textId="77777777" w:rsidR="00AA57C8" w:rsidRDefault="00AA57C8" w:rsidP="005E7B9F">
            <w:r>
              <w:rPr>
                <w:color w:val="000000"/>
                <w:sz w:val="20"/>
                <w:szCs w:val="20"/>
              </w:rPr>
              <w:t>+0.0008</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8A553" w14:textId="77777777" w:rsidR="00AA57C8" w:rsidRDefault="00AA57C8" w:rsidP="005E7B9F">
            <w:r>
              <w:rPr>
                <w:color w:val="000000"/>
                <w:sz w:val="20"/>
                <w:szCs w:val="20"/>
              </w:rPr>
              <w:t>0.0504</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B373F" w14:textId="77777777" w:rsidR="00AA57C8" w:rsidRDefault="00AA57C8" w:rsidP="005E7B9F">
            <w:r>
              <w:rPr>
                <w:color w:val="000000"/>
                <w:sz w:val="20"/>
                <w:szCs w:val="20"/>
              </w:rPr>
              <w:t>79</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233A69" w14:textId="77777777" w:rsidR="00AA57C8" w:rsidRDefault="00AA57C8" w:rsidP="005E7B9F">
            <w:r>
              <w:rPr>
                <w:color w:val="000000"/>
                <w:sz w:val="20"/>
                <w:szCs w:val="20"/>
              </w:rPr>
              <w:t>p = 0.891</w:t>
            </w:r>
          </w:p>
        </w:tc>
      </w:tr>
      <w:tr w:rsidR="00AA57C8" w14:paraId="1B1A4C47"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3E286D" w14:textId="77777777" w:rsidR="00AA57C8" w:rsidRDefault="00AA57C8" w:rsidP="005E7B9F">
            <w:r>
              <w:rPr>
                <w:color w:val="000000"/>
                <w:sz w:val="20"/>
                <w:szCs w:val="20"/>
              </w:rPr>
              <w:t>Regulatory</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A1999E" w14:textId="77777777" w:rsidR="00AA57C8" w:rsidRDefault="00AA57C8" w:rsidP="005E7B9F">
            <w:r>
              <w:rPr>
                <w:color w:val="000000"/>
                <w:sz w:val="20"/>
                <w:szCs w:val="20"/>
              </w:rPr>
              <w:t>+0.0008</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F08D6" w14:textId="77777777" w:rsidR="00AA57C8" w:rsidRDefault="00AA57C8" w:rsidP="005E7B9F">
            <w:r>
              <w:rPr>
                <w:color w:val="000000"/>
                <w:sz w:val="20"/>
                <w:szCs w:val="20"/>
              </w:rPr>
              <w:t>0.0397</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52A353" w14:textId="77777777" w:rsidR="00AA57C8" w:rsidRDefault="00AA57C8" w:rsidP="005E7B9F">
            <w:r>
              <w:rPr>
                <w:color w:val="000000"/>
                <w:sz w:val="20"/>
                <w:szCs w:val="20"/>
              </w:rPr>
              <w:t>777</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50A016" w14:textId="77777777" w:rsidR="00AA57C8" w:rsidRDefault="00AA57C8" w:rsidP="005E7B9F">
            <w:r>
              <w:rPr>
                <w:color w:val="000000"/>
                <w:sz w:val="20"/>
                <w:szCs w:val="20"/>
              </w:rPr>
              <w:t>p = 0.593</w:t>
            </w:r>
          </w:p>
        </w:tc>
      </w:tr>
      <w:tr w:rsidR="00AA57C8" w14:paraId="06C27755"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ED02ED" w14:textId="77777777" w:rsidR="00AA57C8" w:rsidRDefault="00AA57C8" w:rsidP="005E7B9F">
            <w:r>
              <w:rPr>
                <w:color w:val="000000"/>
                <w:sz w:val="20"/>
                <w:szCs w:val="20"/>
              </w:rPr>
              <w:t>Trade</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634B5" w14:textId="77777777" w:rsidR="00AA57C8" w:rsidRDefault="00AA57C8" w:rsidP="005E7B9F">
            <w:r>
              <w:rPr>
                <w:color w:val="000000"/>
                <w:sz w:val="20"/>
                <w:szCs w:val="20"/>
              </w:rPr>
              <w:t>+0.0001</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70F234" w14:textId="77777777" w:rsidR="00AA57C8" w:rsidRDefault="00AA57C8" w:rsidP="005E7B9F">
            <w:r>
              <w:rPr>
                <w:color w:val="000000"/>
                <w:sz w:val="20"/>
                <w:szCs w:val="20"/>
              </w:rPr>
              <w:t>0.0394</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085E54" w14:textId="77777777" w:rsidR="00AA57C8" w:rsidRDefault="00AA57C8" w:rsidP="005E7B9F">
            <w:r>
              <w:rPr>
                <w:color w:val="000000"/>
                <w:sz w:val="20"/>
                <w:szCs w:val="20"/>
              </w:rPr>
              <w:t>107</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178127" w14:textId="77777777" w:rsidR="00AA57C8" w:rsidRDefault="00AA57C8" w:rsidP="005E7B9F">
            <w:r>
              <w:rPr>
                <w:color w:val="000000"/>
                <w:sz w:val="20"/>
                <w:szCs w:val="20"/>
              </w:rPr>
              <w:t>p = 0.979</w:t>
            </w:r>
          </w:p>
        </w:tc>
      </w:tr>
      <w:tr w:rsidR="00AA57C8" w14:paraId="62BDBED5"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68BA43" w14:textId="77777777" w:rsidR="00AA57C8" w:rsidRDefault="00AA57C8" w:rsidP="005E7B9F">
            <w:r>
              <w:rPr>
                <w:color w:val="000000"/>
                <w:sz w:val="20"/>
                <w:szCs w:val="20"/>
              </w:rPr>
              <w:t>Monetary</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BE99FE" w14:textId="77777777" w:rsidR="00AA57C8" w:rsidRDefault="00AA57C8" w:rsidP="005E7B9F">
            <w:r>
              <w:rPr>
                <w:color w:val="000000"/>
                <w:sz w:val="20"/>
                <w:szCs w:val="20"/>
              </w:rPr>
              <w:t>−0.0049</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2696A3" w14:textId="77777777" w:rsidR="00AA57C8" w:rsidRDefault="00AA57C8" w:rsidP="005E7B9F">
            <w:r>
              <w:rPr>
                <w:color w:val="000000"/>
                <w:sz w:val="20"/>
                <w:szCs w:val="20"/>
              </w:rPr>
              <w:t>0.0492</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6DE499" w14:textId="77777777" w:rsidR="00AA57C8" w:rsidRDefault="00AA57C8" w:rsidP="005E7B9F">
            <w:r>
              <w:rPr>
                <w:color w:val="000000"/>
                <w:sz w:val="20"/>
                <w:szCs w:val="20"/>
              </w:rPr>
              <w:t>101</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7A550" w14:textId="77777777" w:rsidR="00AA57C8" w:rsidRDefault="00AA57C8" w:rsidP="005E7B9F">
            <w:r>
              <w:rPr>
                <w:color w:val="000000"/>
                <w:sz w:val="20"/>
                <w:szCs w:val="20"/>
              </w:rPr>
              <w:t>p = 0.315</w:t>
            </w:r>
          </w:p>
        </w:tc>
      </w:tr>
      <w:tr w:rsidR="00AA57C8" w14:paraId="486DE369" w14:textId="77777777" w:rsidTr="005E7B9F">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4EEA3E" w14:textId="77777777" w:rsidR="00AA57C8" w:rsidRDefault="00AA57C8" w:rsidP="005E7B9F">
            <w:r>
              <w:rPr>
                <w:color w:val="000000"/>
                <w:sz w:val="20"/>
                <w:szCs w:val="20"/>
              </w:rPr>
              <w:t>All events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7CFF7B" w14:textId="77777777" w:rsidR="00AA57C8" w:rsidRDefault="00AA57C8" w:rsidP="005E7B9F">
            <w:r>
              <w:rPr>
                <w:color w:val="000000"/>
                <w:sz w:val="20"/>
                <w:szCs w:val="20"/>
              </w:rPr>
              <w: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61B295" w14:textId="77777777" w:rsidR="00AA57C8" w:rsidRDefault="00AA57C8" w:rsidP="005E7B9F">
            <w:r>
              <w:rPr>
                <w:color w:val="000000"/>
                <w:sz w:val="20"/>
                <w:szCs w:val="20"/>
              </w:rPr>
              <w: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0CA7A5" w14:textId="77777777" w:rsidR="00AA57C8" w:rsidRDefault="00AA57C8" w:rsidP="005E7B9F">
            <w:r>
              <w:rPr>
                <w:color w:val="000000"/>
                <w:sz w:val="20"/>
                <w:szCs w:val="20"/>
              </w:rPr>
              <w:t>1,796</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88212E" w14:textId="77777777" w:rsidR="00AA57C8" w:rsidRDefault="00AA57C8" w:rsidP="005E7B9F">
            <w:r>
              <w:rPr>
                <w:color w:val="000000"/>
                <w:sz w:val="20"/>
                <w:szCs w:val="20"/>
              </w:rPr>
              <w:t>87 (4.8%)</w:t>
            </w:r>
          </w:p>
        </w:tc>
      </w:tr>
    </w:tbl>
    <w:p w14:paraId="3ABA1D2B" w14:textId="77777777" w:rsidR="00AA57C8" w:rsidRDefault="00AA57C8" w:rsidP="00AA57C8">
      <w:pPr>
        <w:spacing w:after="160"/>
        <w:jc w:val="both"/>
      </w:pPr>
      <w:r>
        <w:t>Monetary events show the largest negative mean CAR (−0.0049) and geopolitical events the largest positive mean CAR (+0.0032). A one-sample t-test of CAR against zero, computed separately for each event type, is significant only for the geopolitical category (t = 2.265, p = 0.024); monetary (t = −1.010, p = 0.315), regulatory (t = 0.535, p = 0.593), trade (t = 0.026, p = 0.979), and energy (t = 0.138, p = 0.891) do not reach significance at the uncorrected 5% level. No Benjamini-Hochberg or other multiple-comparisons correction has been applied across these five tests. Across all 1,796 events, 87 (4.8%) show a statistically significant individual CAR.</w:t>
      </w:r>
    </w:p>
    <w:p w14:paraId="10FDD54A" w14:textId="77777777" w:rsidR="00AA57C8" w:rsidRDefault="00AA57C8" w:rsidP="00AA57C8">
      <w:pPr>
        <w:spacing w:before="120"/>
        <w:jc w:val="center"/>
      </w:pPr>
      <w:r>
        <w:rPr>
          <w:noProof/>
        </w:rPr>
        <w:lastRenderedPageBreak/>
        <w:drawing>
          <wp:inline distT="0" distB="0" distL="0" distR="0" wp14:anchorId="5473FDDE" wp14:editId="00DF2277">
            <wp:extent cx="5524500" cy="4000500"/>
            <wp:effectExtent l="0" t="0" r="0" b="0"/>
            <wp:docPr id="1090097321" name="Figure 2: Causal Evidence" descr="Figure 2: Causal Evidence" title="Figure 2: Causal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4000500"/>
                    </a:xfrm>
                    <a:prstGeom prst="rect">
                      <a:avLst/>
                    </a:prstGeom>
                  </pic:spPr>
                </pic:pic>
              </a:graphicData>
            </a:graphic>
          </wp:inline>
        </w:drawing>
      </w:r>
    </w:p>
    <w:p w14:paraId="74EC231D" w14:textId="77777777" w:rsidR="00AA57C8" w:rsidRDefault="00AA57C8" w:rsidP="00AA57C8">
      <w:pPr>
        <w:spacing w:after="200"/>
        <w:jc w:val="center"/>
      </w:pPr>
      <w:r>
        <w:rPr>
          <w:i/>
          <w:iCs/>
          <w:sz w:val="20"/>
          <w:szCs w:val="20"/>
        </w:rPr>
        <w:t>Figure 2. Causal evidence panel: (top) violin plots of CAR distribution by event type with mean markers; (bottom left) DoWhy causal estimates with 95% confidence intervals; (bottom centre) CAR vs sentiment scatter with OLS overlay; (bottom right) mean CAR by VIX regime and sentiment direction.</w:t>
      </w:r>
    </w:p>
    <w:p w14:paraId="220C0852" w14:textId="2797628B" w:rsidR="00AA57C8" w:rsidRDefault="003A0CC0" w:rsidP="00AA57C8">
      <w:pPr>
        <w:pStyle w:val="Heading2"/>
      </w:pPr>
      <w:r>
        <w:t xml:space="preserve"> </w:t>
      </w:r>
      <w:bookmarkStart w:id="24" w:name="_Toc234343212"/>
      <w:r w:rsidR="00AA57C8">
        <w:t>Causal Analysis</w:t>
      </w:r>
      <w:bookmarkEnd w:id="24"/>
    </w:p>
    <w:p w14:paraId="42A80423" w14:textId="77777777" w:rsidR="00AA57C8" w:rsidRDefault="00AA57C8" w:rsidP="00AA57C8">
      <w:pPr>
        <w:spacing w:after="160"/>
        <w:jc w:val="both"/>
      </w:pPr>
      <w:r>
        <w:t>The DoWhy backdoor adjustment model estimated the causal effect of lexicon sentiment on next-day SPY returns across all 2,762 available daily observations. The results by event type are presented in Table 4. The monetary event category produced the largest and most precisely estimated causal effect: a one-unit increase in monetary sentiment score is associated with a +0.0075 increase in next-day SPY log return (95% CI: [+0.0033, +0.0115]). The confidence interval excludes zero, providing statistically significant causal evidence that the sentiment expressed in monetary policy communications has a directional effect on subsequent market returns, after controlling for volatility regime and prior-day momentum.</w:t>
      </w:r>
    </w:p>
    <w:p w14:paraId="42B37E18" w14:textId="77777777" w:rsidR="00AA57C8" w:rsidRDefault="00AA57C8" w:rsidP="00AA57C8">
      <w:pPr>
        <w:spacing w:before="200"/>
        <w:jc w:val="center"/>
      </w:pPr>
      <w:r>
        <w:rPr>
          <w:i/>
          <w:iCs/>
          <w:sz w:val="20"/>
          <w:szCs w:val="20"/>
        </w:rPr>
        <w:t>Table 4. DoWhy backdoor causal estimates: effect of sentiment on next-day SPY return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40"/>
        <w:gridCol w:w="1840"/>
        <w:gridCol w:w="1840"/>
        <w:gridCol w:w="1640"/>
      </w:tblGrid>
      <w:tr w:rsidR="00AA57C8" w14:paraId="74B04460" w14:textId="77777777" w:rsidTr="005E7B9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AF92E37" w14:textId="77777777" w:rsidR="00AA57C8" w:rsidRDefault="00AA57C8" w:rsidP="005E7B9F">
            <w:r>
              <w:rPr>
                <w:b/>
                <w:bCs/>
                <w:color w:val="FFFFFF"/>
                <w:sz w:val="20"/>
                <w:szCs w:val="20"/>
              </w:rPr>
              <w:t>Event Type</w:t>
            </w:r>
          </w:p>
        </w:tc>
        <w:tc>
          <w:tcPr>
            <w:tcW w:w="18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6EE978" w14:textId="77777777" w:rsidR="00AA57C8" w:rsidRDefault="00AA57C8" w:rsidP="005E7B9F">
            <w:r>
              <w:rPr>
                <w:b/>
                <w:bCs/>
                <w:color w:val="FFFFFF"/>
                <w:sz w:val="20"/>
                <w:szCs w:val="20"/>
              </w:rPr>
              <w:t>Causal Effect</w:t>
            </w:r>
          </w:p>
        </w:tc>
        <w:tc>
          <w:tcPr>
            <w:tcW w:w="18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DFF733D" w14:textId="77777777" w:rsidR="00AA57C8" w:rsidRDefault="00AA57C8" w:rsidP="005E7B9F">
            <w:r>
              <w:rPr>
                <w:b/>
                <w:bCs/>
                <w:color w:val="FFFFFF"/>
                <w:sz w:val="20"/>
                <w:szCs w:val="20"/>
              </w:rPr>
              <w:t>CI Lower (95%)</w:t>
            </w:r>
          </w:p>
        </w:tc>
        <w:tc>
          <w:tcPr>
            <w:tcW w:w="18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BF4D268" w14:textId="77777777" w:rsidR="00AA57C8" w:rsidRDefault="00AA57C8" w:rsidP="005E7B9F">
            <w:r>
              <w:rPr>
                <w:b/>
                <w:bCs/>
                <w:color w:val="FFFFFF"/>
                <w:sz w:val="20"/>
                <w:szCs w:val="20"/>
              </w:rPr>
              <w:t>CI Upper (95%)</w:t>
            </w:r>
          </w:p>
        </w:tc>
        <w:tc>
          <w:tcPr>
            <w:tcW w:w="16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A38EB85" w14:textId="77777777" w:rsidR="00AA57C8" w:rsidRDefault="00AA57C8" w:rsidP="005E7B9F">
            <w:r>
              <w:rPr>
                <w:b/>
                <w:bCs/>
                <w:color w:val="FFFFFF"/>
                <w:sz w:val="20"/>
                <w:szCs w:val="20"/>
              </w:rPr>
              <w:t>Significant</w:t>
            </w:r>
          </w:p>
        </w:tc>
      </w:tr>
      <w:tr w:rsidR="00AA57C8" w14:paraId="394331AB" w14:textId="77777777" w:rsidTr="005E7B9F">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3C08D8" w14:textId="77777777" w:rsidR="00AA57C8" w:rsidRDefault="00AA57C8" w:rsidP="005E7B9F">
            <w:r>
              <w:rPr>
                <w:color w:val="000000"/>
                <w:sz w:val="20"/>
                <w:szCs w:val="20"/>
              </w:rPr>
              <w:t>Monetary</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2C0495" w14:textId="77777777" w:rsidR="00AA57C8" w:rsidRDefault="00AA57C8" w:rsidP="005E7B9F">
            <w:r>
              <w:rPr>
                <w:color w:val="000000"/>
                <w:sz w:val="20"/>
                <w:szCs w:val="20"/>
              </w:rPr>
              <w:t>+0.0075</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B8B838" w14:textId="77777777" w:rsidR="00AA57C8" w:rsidRDefault="00AA57C8" w:rsidP="005E7B9F">
            <w:r>
              <w:rPr>
                <w:color w:val="000000"/>
                <w:sz w:val="20"/>
                <w:szCs w:val="20"/>
              </w:rPr>
              <w:t>+0.0033</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80325C" w14:textId="77777777" w:rsidR="00AA57C8" w:rsidRDefault="00AA57C8" w:rsidP="005E7B9F">
            <w:r>
              <w:rPr>
                <w:color w:val="000000"/>
                <w:sz w:val="20"/>
                <w:szCs w:val="20"/>
              </w:rPr>
              <w:t>+0.0115</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8AA1E" w14:textId="77777777" w:rsidR="00AA57C8" w:rsidRDefault="00AA57C8" w:rsidP="005E7B9F">
            <w:r>
              <w:rPr>
                <w:color w:val="000000"/>
                <w:sz w:val="20"/>
                <w:szCs w:val="20"/>
              </w:rPr>
              <w:t>Yes</w:t>
            </w:r>
          </w:p>
        </w:tc>
      </w:tr>
      <w:tr w:rsidR="00AA57C8" w14:paraId="6818E3F7" w14:textId="77777777" w:rsidTr="005E7B9F">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D52EC2" w14:textId="77777777" w:rsidR="00AA57C8" w:rsidRDefault="00AA57C8" w:rsidP="005E7B9F">
            <w:r>
              <w:rPr>
                <w:color w:val="000000"/>
                <w:sz w:val="20"/>
                <w:szCs w:val="20"/>
              </w:rPr>
              <w:t>Regulatory</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FA6D0" w14:textId="77777777" w:rsidR="00AA57C8" w:rsidRDefault="00AA57C8" w:rsidP="005E7B9F">
            <w:r>
              <w:rPr>
                <w:color w:val="000000"/>
                <w:sz w:val="20"/>
                <w:szCs w:val="20"/>
              </w:rPr>
              <w:t>+0.0015</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5F4757" w14:textId="77777777" w:rsidR="00AA57C8" w:rsidRDefault="00AA57C8" w:rsidP="005E7B9F">
            <w:r>
              <w:rPr>
                <w:color w:val="000000"/>
                <w:sz w:val="20"/>
                <w:szCs w:val="20"/>
              </w:rPr>
              <w:t>−0.0013</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409CE9" w14:textId="77777777" w:rsidR="00AA57C8" w:rsidRDefault="00AA57C8" w:rsidP="005E7B9F">
            <w:r>
              <w:rPr>
                <w:color w:val="000000"/>
                <w:sz w:val="20"/>
                <w:szCs w:val="20"/>
              </w:rPr>
              <w:t>+0.0044</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D07B59" w14:textId="77777777" w:rsidR="00AA57C8" w:rsidRDefault="00AA57C8" w:rsidP="005E7B9F">
            <w:r>
              <w:rPr>
                <w:color w:val="000000"/>
                <w:sz w:val="20"/>
                <w:szCs w:val="20"/>
              </w:rPr>
              <w:t>No</w:t>
            </w:r>
          </w:p>
        </w:tc>
      </w:tr>
      <w:tr w:rsidR="00AA57C8" w14:paraId="52A09D6D" w14:textId="77777777" w:rsidTr="005E7B9F">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E6462" w14:textId="77777777" w:rsidR="00AA57C8" w:rsidRDefault="00AA57C8" w:rsidP="005E7B9F">
            <w:r>
              <w:rPr>
                <w:color w:val="000000"/>
                <w:sz w:val="20"/>
                <w:szCs w:val="20"/>
              </w:rPr>
              <w:t>Trade</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DBB6C" w14:textId="77777777" w:rsidR="00AA57C8" w:rsidRDefault="00AA57C8" w:rsidP="005E7B9F">
            <w:r>
              <w:rPr>
                <w:color w:val="000000"/>
                <w:sz w:val="20"/>
                <w:szCs w:val="20"/>
              </w:rPr>
              <w:t>+0.0008</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5C0470" w14:textId="77777777" w:rsidR="00AA57C8" w:rsidRDefault="00AA57C8" w:rsidP="005E7B9F">
            <w:r>
              <w:rPr>
                <w:color w:val="000000"/>
                <w:sz w:val="20"/>
                <w:szCs w:val="20"/>
              </w:rPr>
              <w:t>−0.0027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230D3C" w14:textId="77777777" w:rsidR="00AA57C8" w:rsidRDefault="00AA57C8" w:rsidP="005E7B9F">
            <w:r>
              <w:rPr>
                <w:color w:val="000000"/>
                <w:sz w:val="20"/>
                <w:szCs w:val="20"/>
              </w:rPr>
              <w:t>+0.0049</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BF9AC0" w14:textId="77777777" w:rsidR="00AA57C8" w:rsidRDefault="00AA57C8" w:rsidP="005E7B9F">
            <w:r>
              <w:rPr>
                <w:color w:val="000000"/>
                <w:sz w:val="20"/>
                <w:szCs w:val="20"/>
              </w:rPr>
              <w:t>No</w:t>
            </w:r>
          </w:p>
        </w:tc>
      </w:tr>
      <w:tr w:rsidR="00AA57C8" w14:paraId="6A73CB60" w14:textId="77777777" w:rsidTr="005E7B9F">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44B2A" w14:textId="77777777" w:rsidR="00AA57C8" w:rsidRDefault="00AA57C8" w:rsidP="005E7B9F">
            <w:r>
              <w:rPr>
                <w:color w:val="000000"/>
                <w:sz w:val="20"/>
                <w:szCs w:val="20"/>
              </w:rPr>
              <w:lastRenderedPageBreak/>
              <w:t>Geopolitical</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849207" w14:textId="77777777" w:rsidR="00AA57C8" w:rsidRDefault="00AA57C8" w:rsidP="005E7B9F">
            <w:r>
              <w:rPr>
                <w:color w:val="000000"/>
                <w:sz w:val="20"/>
                <w:szCs w:val="20"/>
              </w:rPr>
              <w:t>−0.0010</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E2F579" w14:textId="77777777" w:rsidR="00AA57C8" w:rsidRDefault="00AA57C8" w:rsidP="005E7B9F">
            <w:r>
              <w:rPr>
                <w:color w:val="000000"/>
                <w:sz w:val="20"/>
                <w:szCs w:val="20"/>
              </w:rPr>
              <w:t>−0.0032</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F0287A" w14:textId="77777777" w:rsidR="00AA57C8" w:rsidRDefault="00AA57C8" w:rsidP="005E7B9F">
            <w:r>
              <w:rPr>
                <w:color w:val="000000"/>
                <w:sz w:val="20"/>
                <w:szCs w:val="20"/>
              </w:rPr>
              <w:t>+0.0014</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4DC462" w14:textId="77777777" w:rsidR="00AA57C8" w:rsidRDefault="00AA57C8" w:rsidP="005E7B9F">
            <w:r>
              <w:rPr>
                <w:color w:val="000000"/>
                <w:sz w:val="20"/>
                <w:szCs w:val="20"/>
              </w:rPr>
              <w:t>No</w:t>
            </w:r>
          </w:p>
        </w:tc>
      </w:tr>
      <w:tr w:rsidR="00AA57C8" w14:paraId="03214537" w14:textId="77777777" w:rsidTr="005E7B9F">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4E11AA" w14:textId="77777777" w:rsidR="00AA57C8" w:rsidRDefault="00AA57C8" w:rsidP="005E7B9F">
            <w:r>
              <w:rPr>
                <w:color w:val="000000"/>
                <w:sz w:val="20"/>
                <w:szCs w:val="20"/>
              </w:rPr>
              <w:t>Energy</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08A743" w14:textId="77777777" w:rsidR="00AA57C8" w:rsidRDefault="00AA57C8" w:rsidP="005E7B9F">
            <w:r>
              <w:rPr>
                <w:color w:val="000000"/>
                <w:sz w:val="20"/>
                <w:szCs w:val="20"/>
              </w:rPr>
              <w:t>−0.0005</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057C99" w14:textId="77777777" w:rsidR="00AA57C8" w:rsidRDefault="00AA57C8" w:rsidP="005E7B9F">
            <w:r>
              <w:rPr>
                <w:color w:val="000000"/>
                <w:sz w:val="20"/>
                <w:szCs w:val="20"/>
              </w:rPr>
              <w:t>−0.0407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89C974" w14:textId="77777777" w:rsidR="00AA57C8" w:rsidRDefault="00AA57C8" w:rsidP="005E7B9F">
            <w:r>
              <w:rPr>
                <w:color w:val="000000"/>
                <w:sz w:val="20"/>
                <w:szCs w:val="20"/>
              </w:rPr>
              <w:t>+0.0018</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02591B" w14:textId="77777777" w:rsidR="00AA57C8" w:rsidRDefault="00AA57C8" w:rsidP="005E7B9F">
            <w:r>
              <w:rPr>
                <w:color w:val="000000"/>
                <w:sz w:val="20"/>
                <w:szCs w:val="20"/>
              </w:rPr>
              <w:t>No</w:t>
            </w:r>
          </w:p>
        </w:tc>
      </w:tr>
    </w:tbl>
    <w:p w14:paraId="2E6911BE" w14:textId="77777777" w:rsidR="00AA57C8" w:rsidRDefault="00AA57C8" w:rsidP="00AA57C8">
      <w:pPr>
        <w:spacing w:after="160"/>
        <w:jc w:val="both"/>
      </w:pPr>
      <w:r>
        <w:t>The wide confidence interval for energy reflects its small sample (n_nonzero = 3). The non-significance of geopolitical, regulatory, trade, and energy causal effects should not be interpreted as evidence that these event types have no market impact; rather, it indicates that after controlling for confounders, the net directional effect of sentiment within these categories is too noisy to distinguish from zero at the 5% significance level.</w:t>
      </w:r>
    </w:p>
    <w:p w14:paraId="0FDA79CD" w14:textId="77777777" w:rsidR="00AA57C8" w:rsidRDefault="00AA57C8" w:rsidP="00AA57C8">
      <w:pPr>
        <w:spacing w:after="160"/>
        <w:jc w:val="both"/>
      </w:pPr>
      <w:r>
        <w:t>Three refutation tests (random common cause, placebo treatment, data subset) were run against the overall causal estimate — the single model using all events’ pooled daily sentiment as treatment, prior to the per-event-type decomposition in Table 4 — and not repeated individually for each event type shown above. The overall causal estimate itself is not persisted in any output file and is not restated numerically here; only the per-event-type estimates in Table 4 are drawn from the frozen `causal_estimates.parquet`.</w:t>
      </w:r>
    </w:p>
    <w:p w14:paraId="4B7F546F" w14:textId="75AC390C" w:rsidR="00AA57C8" w:rsidRDefault="003A0CC0" w:rsidP="00AA57C8">
      <w:pPr>
        <w:pStyle w:val="Heading2"/>
      </w:pPr>
      <w:r>
        <w:t xml:space="preserve"> </w:t>
      </w:r>
      <w:bookmarkStart w:id="25" w:name="_Toc234343213"/>
      <w:r w:rsidR="00AA57C8">
        <w:t>Feature Engineering</w:t>
      </w:r>
      <w:bookmarkEnd w:id="25"/>
    </w:p>
    <w:p w14:paraId="6ED7118B" w14:textId="77777777" w:rsidR="00AA57C8" w:rsidRDefault="00AA57C8" w:rsidP="00AA57C8">
      <w:pPr>
        <w:spacing w:after="160"/>
        <w:jc w:val="both"/>
      </w:pPr>
      <w:r>
        <w:t>The frozen feature matrix (FES v1.0) comprises 95 engineered features across six categories — market (27), macroeconomic and VIX (16), sentiment (25), event (14), temporal (5), and interaction (8) — with no importance-based selection stage: all 95 features are retained. Table 5 presents the top ten features by a Random Forest importance ranking computed on this feature matrix. This ranking, and its underlying trained model, are retained as a frozen, historical artefact: no notebook or script currently in the repository reproduces this training step, so the ranking is reported here as supplementary, non-reproducible evidence rather than as part of the frozen MCP v1.0 predictive comparison (Section 4.5).</w:t>
      </w:r>
    </w:p>
    <w:p w14:paraId="4BC8FEED" w14:textId="77777777" w:rsidR="00AA57C8" w:rsidRDefault="00AA57C8" w:rsidP="00AA57C8">
      <w:pPr>
        <w:spacing w:before="200"/>
        <w:jc w:val="center"/>
      </w:pPr>
      <w:r>
        <w:rPr>
          <w:i/>
          <w:iCs/>
          <w:sz w:val="20"/>
          <w:szCs w:val="20"/>
        </w:rPr>
        <w:t>Table 5. Top ten features by Random Forest importance (legacy artefact — see 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960"/>
        <w:gridCol w:w="2000"/>
        <w:gridCol w:w="2200"/>
      </w:tblGrid>
      <w:tr w:rsidR="00AA57C8" w14:paraId="4794502E" w14:textId="77777777" w:rsidTr="005E7B9F">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8E8A67B" w14:textId="77777777" w:rsidR="00AA57C8" w:rsidRDefault="00AA57C8" w:rsidP="005E7B9F">
            <w:r>
              <w:rPr>
                <w:b/>
                <w:bCs/>
                <w:color w:val="FFFFFF"/>
                <w:sz w:val="20"/>
                <w:szCs w:val="20"/>
              </w:rPr>
              <w:t>Feature</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047BB77" w14:textId="77777777" w:rsidR="00AA57C8" w:rsidRDefault="00AA57C8" w:rsidP="005E7B9F">
            <w:r>
              <w:rPr>
                <w:b/>
                <w:bCs/>
                <w:color w:val="FFFFFF"/>
                <w:sz w:val="20"/>
                <w:szCs w:val="20"/>
              </w:rPr>
              <w:t>Importance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AEF8498" w14:textId="77777777" w:rsidR="00AA57C8" w:rsidRDefault="00AA57C8" w:rsidP="005E7B9F">
            <w:r>
              <w:rPr>
                <w:b/>
                <w:bCs/>
                <w:color w:val="FFFFFF"/>
                <w:sz w:val="20"/>
                <w:szCs w:val="20"/>
              </w:rPr>
              <w:t>Group</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1BE962F" w14:textId="77777777" w:rsidR="00AA57C8" w:rsidRDefault="00AA57C8" w:rsidP="005E7B9F">
            <w:r>
              <w:rPr>
                <w:b/>
                <w:bCs/>
                <w:color w:val="FFFFFF"/>
                <w:sz w:val="20"/>
                <w:szCs w:val="20"/>
              </w:rPr>
              <w:t>Description</w:t>
            </w:r>
          </w:p>
        </w:tc>
      </w:tr>
      <w:tr w:rsidR="00AA57C8" w14:paraId="0B8E091B"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D4DD03" w14:textId="77777777" w:rsidR="00AA57C8" w:rsidRDefault="00AA57C8" w:rsidP="005E7B9F">
            <w:r>
              <w:rPr>
                <w:color w:val="000000"/>
                <w:sz w:val="20"/>
                <w:szCs w:val="20"/>
              </w:rPr>
              <w:t>log_return_hi</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2F8FEF" w14:textId="77777777" w:rsidR="00AA57C8" w:rsidRDefault="00AA57C8" w:rsidP="005E7B9F">
            <w:r>
              <w:rPr>
                <w:color w:val="000000"/>
                <w:sz w:val="20"/>
                <w:szCs w:val="20"/>
              </w:rPr>
              <w:t>0.0793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B1A77A"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72E37E" w14:textId="77777777" w:rsidR="00AA57C8" w:rsidRDefault="00AA57C8" w:rsidP="005E7B9F">
            <w:r>
              <w:rPr>
                <w:color w:val="000000"/>
                <w:sz w:val="20"/>
                <w:szCs w:val="20"/>
              </w:rPr>
              <w:t>High-to-open return</w:t>
            </w:r>
          </w:p>
        </w:tc>
      </w:tr>
      <w:tr w:rsidR="00AA57C8" w14:paraId="13955230"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00A5A" w14:textId="77777777" w:rsidR="00AA57C8" w:rsidRDefault="00AA57C8" w:rsidP="005E7B9F">
            <w:r>
              <w:rPr>
                <w:color w:val="000000"/>
                <w:sz w:val="20"/>
                <w:szCs w:val="20"/>
              </w:rPr>
              <w:t>mean_car</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9A0BB8" w14:textId="77777777" w:rsidR="00AA57C8" w:rsidRDefault="00AA57C8" w:rsidP="005E7B9F">
            <w:r>
              <w:rPr>
                <w:color w:val="000000"/>
                <w:sz w:val="20"/>
                <w:szCs w:val="20"/>
              </w:rPr>
              <w:t>0.0717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C05056" w14:textId="77777777" w:rsidR="00AA57C8" w:rsidRDefault="00AA57C8" w:rsidP="005E7B9F">
            <w:r>
              <w:rPr>
                <w:color w:val="000000"/>
                <w:sz w:val="20"/>
                <w:szCs w:val="20"/>
              </w:rPr>
              <w:t>Event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D6B973" w14:textId="77777777" w:rsidR="00AA57C8" w:rsidRDefault="00AA57C8" w:rsidP="005E7B9F">
            <w:r>
              <w:rPr>
                <w:color w:val="000000"/>
                <w:sz w:val="20"/>
                <w:szCs w:val="20"/>
              </w:rPr>
              <w:t>Mean CAR from the event study, merged by date</w:t>
            </w:r>
          </w:p>
        </w:tc>
      </w:tr>
      <w:tr w:rsidR="00AA57C8" w14:paraId="071A76D5"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7EB402" w14:textId="77777777" w:rsidR="00AA57C8" w:rsidRDefault="00AA57C8" w:rsidP="005E7B9F">
            <w:r>
              <w:rPr>
                <w:color w:val="000000"/>
                <w:sz w:val="20"/>
                <w:szCs w:val="20"/>
              </w:rPr>
              <w:t>return_lag1d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CC8FE3" w14:textId="77777777" w:rsidR="00AA57C8" w:rsidRDefault="00AA57C8" w:rsidP="005E7B9F">
            <w:r>
              <w:rPr>
                <w:color w:val="000000"/>
                <w:sz w:val="20"/>
                <w:szCs w:val="20"/>
              </w:rPr>
              <w:t>0.0679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B8C52B"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70C3F6" w14:textId="77777777" w:rsidR="00AA57C8" w:rsidRDefault="00AA57C8" w:rsidP="005E7B9F">
            <w:r>
              <w:rPr>
                <w:color w:val="000000"/>
                <w:sz w:val="20"/>
                <w:szCs w:val="20"/>
              </w:rPr>
              <w:t>1-day lagged return</w:t>
            </w:r>
          </w:p>
        </w:tc>
      </w:tr>
      <w:tr w:rsidR="00AA57C8" w14:paraId="51C4FD43"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4D8147" w14:textId="77777777" w:rsidR="00AA57C8" w:rsidRDefault="00AA57C8" w:rsidP="005E7B9F">
            <w:r>
              <w:rPr>
                <w:color w:val="000000"/>
                <w:sz w:val="20"/>
                <w:szCs w:val="20"/>
              </w:rPr>
              <w:t>cum_return_5d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65479A" w14:textId="77777777" w:rsidR="00AA57C8" w:rsidRDefault="00AA57C8" w:rsidP="005E7B9F">
            <w:r>
              <w:rPr>
                <w:color w:val="000000"/>
                <w:sz w:val="20"/>
                <w:szCs w:val="20"/>
              </w:rPr>
              <w:t>0.0373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78AB5F"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33FD7" w14:textId="77777777" w:rsidR="00AA57C8" w:rsidRDefault="00AA57C8" w:rsidP="005E7B9F">
            <w:r>
              <w:rPr>
                <w:color w:val="000000"/>
                <w:sz w:val="20"/>
                <w:szCs w:val="20"/>
              </w:rPr>
              <w:t>5-day cumulative return</w:t>
            </w:r>
          </w:p>
        </w:tc>
      </w:tr>
      <w:tr w:rsidR="00AA57C8" w14:paraId="076773AA"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34CB3C" w14:textId="77777777" w:rsidR="00AA57C8" w:rsidRDefault="00AA57C8" w:rsidP="005E7B9F">
            <w:r>
              <w:rPr>
                <w:color w:val="000000"/>
                <w:sz w:val="20"/>
                <w:szCs w:val="20"/>
              </w:rPr>
              <w:t>return_lag5d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6572BF" w14:textId="77777777" w:rsidR="00AA57C8" w:rsidRDefault="00AA57C8" w:rsidP="005E7B9F">
            <w:r>
              <w:rPr>
                <w:color w:val="000000"/>
                <w:sz w:val="20"/>
                <w:szCs w:val="20"/>
              </w:rPr>
              <w:t>0.0361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FDAD5"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AB083A" w14:textId="77777777" w:rsidR="00AA57C8" w:rsidRDefault="00AA57C8" w:rsidP="005E7B9F">
            <w:r>
              <w:rPr>
                <w:color w:val="000000"/>
                <w:sz w:val="20"/>
                <w:szCs w:val="20"/>
              </w:rPr>
              <w:t>5-day lagged return</w:t>
            </w:r>
          </w:p>
        </w:tc>
      </w:tr>
      <w:tr w:rsidR="00AA57C8" w14:paraId="47E10FC7"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CCE506" w14:textId="77777777" w:rsidR="00AA57C8" w:rsidRDefault="00AA57C8" w:rsidP="005E7B9F">
            <w:r>
              <w:rPr>
                <w:color w:val="000000"/>
                <w:sz w:val="20"/>
                <w:szCs w:val="20"/>
              </w:rPr>
              <w:lastRenderedPageBreak/>
              <w:t>return_lag3d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AEDB9" w14:textId="77777777" w:rsidR="00AA57C8" w:rsidRDefault="00AA57C8" w:rsidP="005E7B9F">
            <w:r>
              <w:rPr>
                <w:color w:val="000000"/>
                <w:sz w:val="20"/>
                <w:szCs w:val="20"/>
              </w:rPr>
              <w:t>0.0352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FEA42F"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ED479C" w14:textId="77777777" w:rsidR="00AA57C8" w:rsidRDefault="00AA57C8" w:rsidP="005E7B9F">
            <w:r>
              <w:rPr>
                <w:color w:val="000000"/>
                <w:sz w:val="20"/>
                <w:szCs w:val="20"/>
              </w:rPr>
              <w:t>3-day lagged return</w:t>
            </w:r>
          </w:p>
        </w:tc>
      </w:tr>
      <w:tr w:rsidR="00AA57C8" w14:paraId="697E1176"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27128C" w14:textId="77777777" w:rsidR="00AA57C8" w:rsidRDefault="00AA57C8" w:rsidP="005E7B9F">
            <w:r>
              <w:rPr>
                <w:color w:val="000000"/>
                <w:sz w:val="20"/>
                <w:szCs w:val="20"/>
              </w:rPr>
              <w:t>vix</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FF42C1" w14:textId="77777777" w:rsidR="00AA57C8" w:rsidRDefault="00AA57C8" w:rsidP="005E7B9F">
            <w:r>
              <w:rPr>
                <w:color w:val="000000"/>
                <w:sz w:val="20"/>
                <w:szCs w:val="20"/>
              </w:rPr>
              <w:t>0.0345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B09AEF" w14:textId="77777777" w:rsidR="00AA57C8" w:rsidRDefault="00AA57C8" w:rsidP="005E7B9F">
            <w:r>
              <w:rPr>
                <w:color w:val="000000"/>
                <w:sz w:val="20"/>
                <w:szCs w:val="20"/>
              </w:rPr>
              <w:t>Macro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34C534" w14:textId="77777777" w:rsidR="00AA57C8" w:rsidRDefault="00AA57C8" w:rsidP="005E7B9F">
            <w:r>
              <w:rPr>
                <w:color w:val="000000"/>
                <w:sz w:val="20"/>
                <w:szCs w:val="20"/>
              </w:rPr>
              <w:t>VIX level</w:t>
            </w:r>
          </w:p>
        </w:tc>
      </w:tr>
      <w:tr w:rsidR="00AA57C8" w14:paraId="556C8868"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70D733" w14:textId="77777777" w:rsidR="00AA57C8" w:rsidRDefault="00AA57C8" w:rsidP="005E7B9F">
            <w:r>
              <w:rPr>
                <w:color w:val="000000"/>
                <w:sz w:val="20"/>
                <w:szCs w:val="20"/>
              </w:rPr>
              <w:t>vix_change_5d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FC989F" w14:textId="77777777" w:rsidR="00AA57C8" w:rsidRDefault="00AA57C8" w:rsidP="005E7B9F">
            <w:r>
              <w:rPr>
                <w:color w:val="000000"/>
                <w:sz w:val="20"/>
                <w:szCs w:val="20"/>
              </w:rPr>
              <w:t>0.0310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77BE1D" w14:textId="77777777" w:rsidR="00AA57C8" w:rsidRDefault="00AA57C8" w:rsidP="005E7B9F">
            <w:r>
              <w:rPr>
                <w:color w:val="000000"/>
                <w:sz w:val="20"/>
                <w:szCs w:val="20"/>
              </w:rPr>
              <w:t>Macro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C53AC6" w14:textId="77777777" w:rsidR="00AA57C8" w:rsidRDefault="00AA57C8" w:rsidP="005E7B9F">
            <w:r>
              <w:rPr>
                <w:color w:val="000000"/>
                <w:sz w:val="20"/>
                <w:szCs w:val="20"/>
              </w:rPr>
              <w:t>5-day VIX change</w:t>
            </w:r>
          </w:p>
        </w:tc>
      </w:tr>
      <w:tr w:rsidR="00AA57C8" w14:paraId="655B8E90"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9ECC0" w14:textId="77777777" w:rsidR="00AA57C8" w:rsidRDefault="00AA57C8" w:rsidP="005E7B9F">
            <w:r>
              <w:rPr>
                <w:color w:val="000000"/>
                <w:sz w:val="20"/>
                <w:szCs w:val="20"/>
              </w:rPr>
              <w:t>return_lag10d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BC5BF6" w14:textId="77777777" w:rsidR="00AA57C8" w:rsidRDefault="00AA57C8" w:rsidP="005E7B9F">
            <w:r>
              <w:rPr>
                <w:color w:val="000000"/>
                <w:sz w:val="20"/>
                <w:szCs w:val="20"/>
              </w:rPr>
              <w:t>0.0289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20E0E2" w14:textId="77777777" w:rsidR="00AA57C8" w:rsidRDefault="00AA57C8" w:rsidP="005E7B9F">
            <w:r>
              <w:rPr>
                <w:color w:val="000000"/>
                <w:sz w:val="20"/>
                <w:szCs w:val="20"/>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6002E4" w14:textId="77777777" w:rsidR="00AA57C8" w:rsidRDefault="00AA57C8" w:rsidP="005E7B9F">
            <w:r>
              <w:rPr>
                <w:color w:val="000000"/>
                <w:sz w:val="20"/>
                <w:szCs w:val="20"/>
              </w:rPr>
              <w:t>10-day lagged return</w:t>
            </w:r>
          </w:p>
        </w:tc>
      </w:tr>
      <w:tr w:rsidR="00AA57C8" w14:paraId="06174362" w14:textId="77777777" w:rsidTr="005E7B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790AD3" w14:textId="77777777" w:rsidR="00AA57C8" w:rsidRDefault="00AA57C8" w:rsidP="005E7B9F">
            <w:r>
              <w:rPr>
                <w:color w:val="000000"/>
                <w:sz w:val="20"/>
                <w:szCs w:val="20"/>
              </w:rPr>
              <w:t>vix_change_1d</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A0F255" w14:textId="77777777" w:rsidR="00AA57C8" w:rsidRDefault="00AA57C8" w:rsidP="005E7B9F">
            <w:r>
              <w:rPr>
                <w:color w:val="000000"/>
                <w:sz w:val="20"/>
                <w:szCs w:val="20"/>
              </w:rPr>
              <w:t>0.0284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7D6AC3" w14:textId="77777777" w:rsidR="00AA57C8" w:rsidRDefault="00AA57C8" w:rsidP="005E7B9F">
            <w:r>
              <w:rPr>
                <w:color w:val="000000"/>
                <w:sz w:val="20"/>
                <w:szCs w:val="20"/>
              </w:rPr>
              <w:t>Macro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75AA68" w14:textId="77777777" w:rsidR="00AA57C8" w:rsidRDefault="00AA57C8" w:rsidP="005E7B9F">
            <w:r>
              <w:rPr>
                <w:color w:val="000000"/>
                <w:sz w:val="20"/>
                <w:szCs w:val="20"/>
              </w:rPr>
              <w:t>1-day VIX change</w:t>
            </w:r>
          </w:p>
        </w:tc>
      </w:tr>
    </w:tbl>
    <w:p w14:paraId="4580B3C9" w14:textId="77777777" w:rsidR="00AA57C8" w:rsidRDefault="00AA57C8" w:rsidP="00AA57C8">
      <w:pPr>
        <w:spacing w:after="160"/>
        <w:jc w:val="both"/>
      </w:pPr>
      <w:r>
        <w:t>In this legacy Random Forest ranking, log_return_hi (a market feature) ranks first (importance 0.0793) and mean_car — derived from the event study (Section 4.2) — ranks second (0.0717), ahead of every other market, macro, and technical feature. The SHAP rankings computed on the reproducible event-enhanced models (Table 7, Section 4.6) independently place mean_car first for all three models, which is reported there as the corresponding reproducible evidence.</w:t>
      </w:r>
    </w:p>
    <w:p w14:paraId="757DEDCC" w14:textId="77777777" w:rsidR="00AA57C8" w:rsidRDefault="00AA57C8" w:rsidP="00AA57C8">
      <w:pPr>
        <w:spacing w:before="120"/>
        <w:jc w:val="center"/>
      </w:pPr>
      <w:r>
        <w:rPr>
          <w:noProof/>
        </w:rPr>
        <w:drawing>
          <wp:inline distT="0" distB="0" distL="0" distR="0" wp14:anchorId="0B39E987" wp14:editId="47C09FA8">
            <wp:extent cx="5524500" cy="3810000"/>
            <wp:effectExtent l="0" t="0" r="0" b="0"/>
            <wp:docPr id="1639096283" name="Figure 3: Predictive Pipeline" descr="Figure 3: Predictive Pipeline" title="Figure 3: Predictive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10000"/>
                    </a:xfrm>
                    <a:prstGeom prst="rect">
                      <a:avLst/>
                    </a:prstGeom>
                  </pic:spPr>
                </pic:pic>
              </a:graphicData>
            </a:graphic>
          </wp:inline>
        </w:drawing>
      </w:r>
    </w:p>
    <w:p w14:paraId="7B18ABC2" w14:textId="77777777" w:rsidR="00AA57C8" w:rsidRDefault="00AA57C8" w:rsidP="00AA57C8">
      <w:pPr>
        <w:spacing w:after="200"/>
        <w:jc w:val="center"/>
      </w:pPr>
      <w:r>
        <w:rPr>
          <w:i/>
          <w:iCs/>
          <w:sz w:val="20"/>
          <w:szCs w:val="20"/>
        </w:rPr>
        <w:t xml:space="preserve">Figure 3. Predictive pipeline overview: (top) feature importance by group and individual feature (Random Forest importance tool, legacy artefact — see Section 4.4); (top right) top 10 SHAP features (Event_LASSO, test set); (bottom left) model comparison across all four models (Baseline_LASSO, Event_LASSO, XGBoost, LightGBM); (bottom centre) predicted vs actual scatter for Event_LASSO, shown as the representative event-enhanced model (illustration only — not </w:t>
      </w:r>
      <w:r>
        <w:rPr>
          <w:i/>
          <w:iCs/>
          <w:sz w:val="20"/>
          <w:szCs w:val="20"/>
        </w:rPr>
        <w:lastRenderedPageBreak/>
        <w:t>a declared winner; see Section 4.5); (bottom right) rolling 63-day information coefficient for Event_LASSO over the test period.</w:t>
      </w:r>
    </w:p>
    <w:p w14:paraId="7C822D08" w14:textId="6B15774B" w:rsidR="00AA57C8" w:rsidRDefault="003A0CC0" w:rsidP="00AA57C8">
      <w:pPr>
        <w:pStyle w:val="Heading2"/>
      </w:pPr>
      <w:r>
        <w:t xml:space="preserve"> </w:t>
      </w:r>
      <w:bookmarkStart w:id="26" w:name="_Toc234343214"/>
      <w:r w:rsidR="00AA57C8">
        <w:t>Model Performance</w:t>
      </w:r>
      <w:bookmarkEnd w:id="26"/>
    </w:p>
    <w:p w14:paraId="290679FA" w14:textId="77777777" w:rsidR="00AA57C8" w:rsidRDefault="00AA57C8" w:rsidP="00AA57C8">
      <w:pPr>
        <w:spacing w:after="160"/>
        <w:jc w:val="both"/>
      </w:pPr>
      <w:r>
        <w:t>Table 6 presents the out-of-sample test-set performance of all four models (the market-only baseline and the three event-enhanced candidates) on the primary target, next-day SPY return.</w:t>
      </w:r>
    </w:p>
    <w:p w14:paraId="78823F36" w14:textId="77777777" w:rsidR="00AA57C8" w:rsidRDefault="00AA57C8" w:rsidP="00AA57C8">
      <w:pPr>
        <w:spacing w:before="200"/>
        <w:jc w:val="center"/>
      </w:pPr>
      <w:r>
        <w:rPr>
          <w:i/>
          <w:iCs/>
          <w:sz w:val="20"/>
          <w:szCs w:val="20"/>
        </w:rPr>
        <w:t>Table 6. Model performance on held-out test set (2023–2025, 750 trading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1373"/>
        <w:gridCol w:w="1373"/>
        <w:gridCol w:w="1234"/>
        <w:gridCol w:w="1367"/>
        <w:gridCol w:w="1175"/>
        <w:gridCol w:w="1105"/>
      </w:tblGrid>
      <w:tr w:rsidR="00AA57C8" w14:paraId="224AF919" w14:textId="77777777" w:rsidTr="005E7B9F">
        <w:trPr>
          <w:tblHeader/>
        </w:trPr>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7C00130" w14:textId="77777777" w:rsidR="00AA57C8" w:rsidRDefault="00AA57C8" w:rsidP="005E7B9F">
            <w:r>
              <w:rPr>
                <w:b/>
                <w:bCs/>
                <w:color w:val="FFFFFF"/>
                <w:sz w:val="20"/>
                <w:szCs w:val="20"/>
              </w:rPr>
              <w:t>Model</w:t>
            </w:r>
          </w:p>
        </w:tc>
        <w:tc>
          <w:tcPr>
            <w:tcW w:w="15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FA70F8" w14:textId="77777777" w:rsidR="00AA57C8" w:rsidRDefault="00AA57C8" w:rsidP="005E7B9F">
            <w:r>
              <w:rPr>
                <w:b/>
                <w:bCs/>
                <w:color w:val="FFFFFF"/>
                <w:sz w:val="20"/>
                <w:szCs w:val="20"/>
              </w:rPr>
              <w:t>RMSE</w:t>
            </w:r>
          </w:p>
        </w:tc>
        <w:tc>
          <w:tcPr>
            <w:tcW w:w="15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1CCAE77" w14:textId="77777777" w:rsidR="00AA57C8" w:rsidRDefault="00AA57C8" w:rsidP="005E7B9F">
            <w:r>
              <w:rPr>
                <w:b/>
                <w:bCs/>
                <w:color w:val="FFFFFF"/>
                <w:sz w:val="20"/>
                <w:szCs w:val="20"/>
              </w:rPr>
              <w:t>MAE</w:t>
            </w:r>
          </w:p>
        </w:tc>
        <w:tc>
          <w:tcPr>
            <w:tcW w:w="1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44DD2F1" w14:textId="77777777" w:rsidR="00AA57C8" w:rsidRDefault="00AA57C8" w:rsidP="005E7B9F">
            <w:r>
              <w:rPr>
                <w:b/>
                <w:bCs/>
                <w:color w:val="FFFFFF"/>
                <w:sz w:val="20"/>
                <w:szCs w:val="20"/>
              </w:rPr>
              <w:t>R²</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8A21483" w14:textId="77777777" w:rsidR="00AA57C8" w:rsidRDefault="00AA57C8" w:rsidP="005E7B9F">
            <w:r>
              <w:rPr>
                <w:b/>
                <w:bCs/>
                <w:color w:val="FFFFFF"/>
                <w:sz w:val="20"/>
                <w:szCs w:val="20"/>
              </w:rPr>
              <w:t>Dir Acc</w:t>
            </w:r>
          </w:p>
        </w:tc>
        <w:tc>
          <w:tcPr>
            <w:tcW w:w="1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CF99877" w14:textId="77777777" w:rsidR="00AA57C8" w:rsidRDefault="00AA57C8" w:rsidP="005E7B9F">
            <w:r>
              <w:rPr>
                <w:b/>
                <w:bCs/>
                <w:color w:val="FFFFFF"/>
                <w:sz w:val="20"/>
                <w:szCs w:val="20"/>
              </w:rPr>
              <w:t>IC</w:t>
            </w:r>
          </w:p>
        </w:tc>
        <w:tc>
          <w:tcPr>
            <w:tcW w:w="12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E5AF3E2" w14:textId="77777777" w:rsidR="00AA57C8" w:rsidRDefault="00AA57C8" w:rsidP="005E7B9F">
            <w:r>
              <w:rPr>
                <w:b/>
                <w:bCs/>
                <w:color w:val="FFFFFF"/>
                <w:sz w:val="20"/>
                <w:szCs w:val="20"/>
              </w:rPr>
              <w:t>ROC-AUC</w:t>
            </w:r>
          </w:p>
        </w:tc>
      </w:tr>
      <w:tr w:rsidR="00AA57C8" w14:paraId="2ACB6DC3" w14:textId="77777777" w:rsidTr="1A2B3C4D">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42FF50" w14:textId="77777777" w:rsidR="00AA57C8" w:rsidRDefault="00AA57C8" w:rsidP="005E7B9F">
            <w:r>
              <w:rPr>
                <w:color w:val="000000"/>
                <w:sz w:val="20"/>
                <w:szCs w:val="20"/>
              </w:rPr>
              <w:t>Baseline_LASSO</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49619F" w14:textId="77777777" w:rsidR="00AA57C8" w:rsidRDefault="00AA57C8" w:rsidP="005E7B9F">
            <w:r>
              <w:rPr>
                <w:color w:val="000000"/>
                <w:sz w:val="20"/>
                <w:szCs w:val="20"/>
              </w:rPr>
              <w:t>0.009632</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330E7F" w14:textId="77777777" w:rsidR="00AA57C8" w:rsidRDefault="00AA57C8" w:rsidP="005E7B9F">
            <w:r>
              <w:rPr>
                <w:color w:val="000000"/>
                <w:sz w:val="20"/>
                <w:szCs w:val="20"/>
              </w:rPr>
              <w:t>0.006551</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FC9AC" w14:textId="77777777" w:rsidR="00AA57C8" w:rsidRDefault="00AA57C8" w:rsidP="005E7B9F">
            <w:r>
              <w:rPr>
                <w:color w:val="000000"/>
                <w:sz w:val="20"/>
                <w:szCs w:val="20"/>
              </w:rPr>
              <w:t>−0.0018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8936B" w14:textId="77777777" w:rsidR="00AA57C8" w:rsidRDefault="00AA57C8" w:rsidP="005E7B9F">
            <w:r>
              <w:rPr>
                <w:color w:val="000000"/>
                <w:sz w:val="20"/>
                <w:szCs w:val="20"/>
              </w:rPr>
              <w:t>57.5%</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C31BB" w14:textId="77777777" w:rsidR="00AA57C8" w:rsidRDefault="00AA57C8" w:rsidP="005E7B9F">
            <w:r>
              <w:rPr>
                <w:color w:val="000000"/>
                <w:sz w:val="20"/>
                <w:szCs w:val="20"/>
              </w:rPr>
              <w:t>N/A</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7CC62D" w14:textId="77777777" w:rsidR="00AA57C8" w:rsidRDefault="00AA57C8" w:rsidP="005E7B9F">
            <w:r>
              <w:rPr>
                <w:color w:val="000000"/>
                <w:sz w:val="20"/>
                <w:szCs w:val="20"/>
              </w:rPr>
              <w:t>0.500</w:t>
            </w:r>
          </w:p>
        </w:tc>
      </w:tr>
      <w:tr w:rsidR="00AA57C8" w14:paraId="72CA5FAE" w14:textId="77777777" w:rsidTr="005E7B9F">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3E9B45" w14:textId="77777777" w:rsidR="00AA57C8" w:rsidRDefault="00AA57C8" w:rsidP="005E7B9F">
            <w:r>
              <w:rPr>
                <w:color w:val="000000"/>
                <w:sz w:val="20"/>
                <w:szCs w:val="20"/>
              </w:rPr>
              <w:t>Event_LASSO</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D78BB5" w14:textId="77777777" w:rsidR="00AA57C8" w:rsidRDefault="00AA57C8" w:rsidP="005E7B9F">
            <w:r>
              <w:rPr>
                <w:color w:val="000000"/>
                <w:sz w:val="20"/>
                <w:szCs w:val="20"/>
              </w:rPr>
              <w:t>0.009465</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17749F" w14:textId="77777777" w:rsidR="00AA57C8" w:rsidRDefault="00AA57C8" w:rsidP="005E7B9F">
            <w:r>
              <w:rPr>
                <w:color w:val="000000"/>
                <w:sz w:val="20"/>
                <w:szCs w:val="20"/>
              </w:rPr>
              <w:t>0.006502</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E1D7BE" w14:textId="77777777" w:rsidR="00AA57C8" w:rsidRDefault="00AA57C8" w:rsidP="005E7B9F">
            <w:r>
              <w:rPr>
                <w:color w:val="000000"/>
                <w:sz w:val="20"/>
                <w:szCs w:val="20"/>
              </w:rPr>
              <w:t>0.0328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1E8804" w14:textId="77777777" w:rsidR="00AA57C8" w:rsidRDefault="00AA57C8" w:rsidP="005E7B9F">
            <w:r>
              <w:rPr>
                <w:color w:val="000000"/>
                <w:sz w:val="20"/>
                <w:szCs w:val="20"/>
              </w:rPr>
              <w:t>56.4%</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54BBD3" w14:textId="77777777" w:rsidR="00AA57C8" w:rsidRDefault="00AA57C8" w:rsidP="005E7B9F">
            <w:r>
              <w:rPr>
                <w:color w:val="000000"/>
                <w:sz w:val="20"/>
                <w:szCs w:val="20"/>
              </w:rPr>
              <w:t>0.166</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B6543C" w14:textId="77777777" w:rsidR="00AA57C8" w:rsidRDefault="00AA57C8" w:rsidP="005E7B9F">
            <w:r>
              <w:rPr>
                <w:color w:val="000000"/>
                <w:sz w:val="20"/>
                <w:szCs w:val="20"/>
              </w:rPr>
              <w:t>0.575</w:t>
            </w:r>
          </w:p>
        </w:tc>
      </w:tr>
      <w:tr w:rsidR="00AA57C8" w14:paraId="18E36705" w14:textId="77777777" w:rsidTr="005E7B9F">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C586E7" w14:textId="77777777" w:rsidR="00AA57C8" w:rsidRDefault="00AA57C8" w:rsidP="005E7B9F">
            <w:r>
              <w:rPr>
                <w:color w:val="000000"/>
                <w:sz w:val="20"/>
                <w:szCs w:val="20"/>
              </w:rPr>
              <w:t>LightGBM</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D52CF4" w14:textId="77777777" w:rsidR="00AA57C8" w:rsidRDefault="00AA57C8" w:rsidP="005E7B9F">
            <w:r>
              <w:rPr>
                <w:color w:val="000000"/>
                <w:sz w:val="20"/>
                <w:szCs w:val="20"/>
              </w:rPr>
              <w:t>0.009529</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A48BD" w14:textId="77777777" w:rsidR="00AA57C8" w:rsidRDefault="00AA57C8" w:rsidP="005E7B9F">
            <w:r>
              <w:rPr>
                <w:color w:val="000000"/>
                <w:sz w:val="20"/>
                <w:szCs w:val="20"/>
              </w:rPr>
              <w:t>0.006576</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521B3" w14:textId="77777777" w:rsidR="00AA57C8" w:rsidRDefault="00AA57C8" w:rsidP="005E7B9F">
            <w:r>
              <w:rPr>
                <w:color w:val="000000"/>
                <w:sz w:val="20"/>
                <w:szCs w:val="20"/>
              </w:rPr>
              <w:t>0.0196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5A9BDB" w14:textId="77777777" w:rsidR="00AA57C8" w:rsidRDefault="00AA57C8" w:rsidP="005E7B9F">
            <w:r>
              <w:rPr>
                <w:color w:val="000000"/>
                <w:sz w:val="20"/>
                <w:szCs w:val="20"/>
              </w:rPr>
              <w:t>54.9%</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19F381" w14:textId="77777777" w:rsidR="00AA57C8" w:rsidRDefault="00AA57C8" w:rsidP="005E7B9F">
            <w:r>
              <w:rPr>
                <w:color w:val="000000"/>
                <w:sz w:val="20"/>
                <w:szCs w:val="20"/>
              </w:rPr>
              <w:t>0.108</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9F789F" w14:textId="77777777" w:rsidR="00AA57C8" w:rsidRDefault="00AA57C8" w:rsidP="005E7B9F">
            <w:r>
              <w:rPr>
                <w:color w:val="000000"/>
                <w:sz w:val="20"/>
                <w:szCs w:val="20"/>
              </w:rPr>
              <w:t>0.534</w:t>
            </w:r>
          </w:p>
        </w:tc>
      </w:tr>
      <w:tr w:rsidR="00AA57C8" w14:paraId="6D258107" w14:textId="77777777" w:rsidTr="005E7B9F">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F3FD03" w14:textId="77777777" w:rsidR="00AA57C8" w:rsidRDefault="00AA57C8" w:rsidP="005E7B9F">
            <w:r>
              <w:rPr>
                <w:color w:val="000000"/>
                <w:sz w:val="20"/>
                <w:szCs w:val="20"/>
              </w:rPr>
              <w:t>XGBoost</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3E3FE5" w14:textId="77777777" w:rsidR="00AA57C8" w:rsidRDefault="00AA57C8" w:rsidP="005E7B9F">
            <w:r>
              <w:rPr>
                <w:color w:val="000000"/>
                <w:sz w:val="20"/>
                <w:szCs w:val="20"/>
              </w:rPr>
              <w:t>0.009533</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60BEF" w14:textId="77777777" w:rsidR="00AA57C8" w:rsidRDefault="00AA57C8" w:rsidP="005E7B9F">
            <w:r>
              <w:rPr>
                <w:color w:val="000000"/>
                <w:sz w:val="20"/>
                <w:szCs w:val="20"/>
              </w:rPr>
              <w:t>0.006581</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A49E33" w14:textId="77777777" w:rsidR="00AA57C8" w:rsidRDefault="00AA57C8" w:rsidP="005E7B9F">
            <w:r>
              <w:rPr>
                <w:color w:val="000000"/>
                <w:sz w:val="20"/>
                <w:szCs w:val="20"/>
              </w:rPr>
              <w:t>0.0187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55E437" w14:textId="77777777" w:rsidR="00AA57C8" w:rsidRDefault="00AA57C8" w:rsidP="005E7B9F">
            <w:r>
              <w:rPr>
                <w:color w:val="000000"/>
                <w:sz w:val="20"/>
                <w:szCs w:val="20"/>
              </w:rPr>
              <w:t>55.6%</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20FC14" w14:textId="77777777" w:rsidR="00AA57C8" w:rsidRDefault="00AA57C8" w:rsidP="005E7B9F">
            <w:r>
              <w:rPr>
                <w:color w:val="000000"/>
                <w:sz w:val="20"/>
                <w:szCs w:val="20"/>
              </w:rPr>
              <w:t>0.160</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736CE6" w14:textId="77777777" w:rsidR="00AA57C8" w:rsidRDefault="00AA57C8" w:rsidP="005E7B9F">
            <w:r>
              <w:rPr>
                <w:color w:val="000000"/>
                <w:sz w:val="20"/>
                <w:szCs w:val="20"/>
              </w:rPr>
              <w:t>0.561</w:t>
            </w:r>
          </w:p>
        </w:tc>
      </w:tr>
    </w:tbl>
    <w:p w14:paraId="52D3E2B4" w14:textId="77777777" w:rsidR="00AA57C8" w:rsidRDefault="00AA57C8" w:rsidP="00AA57C8">
      <w:pPr>
        <w:spacing w:after="160"/>
        <w:jc w:val="both"/>
      </w:pPr>
      <w:r>
        <w:t>Under the Bonferroni-corrected promotion criteria described in Section 3.6, none of the three event-enhanced models statistically outperforms Baseline_LASSO on both required legs (a one-sided Diebold-Mariano test on RMSE and a one-sided two-proportion z-test on directional accuracy). On the RMSE leg, one-sided p-values are 0.056 (Event_LASSO), 0.161 (LightGBM), and 0.164 (XGBoost); on the directional-accuracy leg, one-sided p-values are 0.662 (Event_LASSO), 0.767 (XGBoost), and 0.839 (LightGBM). None clears the Bonferroni-corrected threshold of α = 0.0167 on either leg. Baseline_LASSO’s cross-validated regularisation path drove all 27 Market-category coefficients to zero, so its prediction reduces to the training-split mean target on every test day. On the training split, XGBoost shows R² = 0.267 and directional accuracy = 67.0%, compared with R² = 0.019 and directional accuracy = 55.6% on the test split; Event_LASSO’s train/test R² are 0.093/0.033, and LightGBM’s are 0.179/0.020.</w:t>
      </w:r>
    </w:p>
    <w:p w14:paraId="25ACE24B" w14:textId="77777777" w:rsidR="00AA57C8" w:rsidRDefault="00AA57C8" w:rsidP="00AA57C8">
      <w:pPr>
        <w:spacing w:after="160"/>
        <w:jc w:val="both"/>
      </w:pPr>
      <w:r>
        <w:t>Test-set directional accuracy ranges from 54.9% (LightGBM) to 57.5% (Baseline_LASSO), with Event_LASSO at 56.4% and XGBoost at 55.6%. Test-set Information Coefficient (Spearman correlation between predicted and realised return) is 0.166 (Event_LASSO), 0.160 (XGBoost), and 0.108 (LightGBM); Baseline_LASSO’s IC is undefined, since its predictions are constant. ROC-AUC on the direction-as-binary-classification framing is 0.575 (Event_LASSO), 0.561 (XGBoost), 0.534 (LightGBM), and 0.500 (Baseline_LASSO — equivalent to chance, consistent with its constant prediction).</w:t>
      </w:r>
    </w:p>
    <w:p w14:paraId="747214FC" w14:textId="77777777" w:rsidR="00AA57C8" w:rsidRDefault="00AA57C8" w:rsidP="00AA57C8">
      <w:pPr>
        <w:spacing w:after="160"/>
        <w:jc w:val="both"/>
      </w:pPr>
      <w:r>
        <w:t>Figure 3 (bottom right) plots the rolling 63-day Information Coefficient for Event_LASSO over the test period. This time series shows variation across the test window; its economic interpretation is deferred to Section 5.</w:t>
      </w:r>
    </w:p>
    <w:p w14:paraId="579BFB29" w14:textId="77777777" w:rsidR="00AA57C8" w:rsidRDefault="00AA57C8" w:rsidP="00AA57C8">
      <w:pPr>
        <w:spacing w:before="120"/>
        <w:jc w:val="center"/>
      </w:pPr>
      <w:r>
        <w:rPr>
          <w:noProof/>
        </w:rPr>
        <w:lastRenderedPageBreak/>
        <w:drawing>
          <wp:inline distT="0" distB="0" distL="0" distR="0" wp14:anchorId="43B9DD8A" wp14:editId="4C74CFC6">
            <wp:extent cx="5524500" cy="4381500"/>
            <wp:effectExtent l="0" t="0" r="0" b="0"/>
            <wp:docPr id="1179536302" name="Figure 4: Full Dashboard" descr="Figure 4: Full Dashboard" title="Figure 4: Ful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4381500"/>
                    </a:xfrm>
                    <a:prstGeom prst="rect">
                      <a:avLst/>
                    </a:prstGeom>
                  </pic:spPr>
                </pic:pic>
              </a:graphicData>
            </a:graphic>
          </wp:inline>
        </w:drawing>
      </w:r>
    </w:p>
    <w:p w14:paraId="15FF383A" w14:textId="77777777" w:rsidR="00AA57C8" w:rsidRDefault="00AA57C8" w:rsidP="00AA57C8">
      <w:pPr>
        <w:spacing w:after="200"/>
        <w:jc w:val="center"/>
      </w:pPr>
      <w:r>
        <w:rPr>
          <w:i/>
          <w:iCs/>
          <w:sz w:val="20"/>
          <w:szCs w:val="20"/>
        </w:rPr>
        <w:t>Figure 4. Integrated test-period dashboard (2023–2025): (1) SPY price (rebased to 100), (2) VIX, (3) daily event volume by type, (4) Event_LASSO model signal (predicted next-day return; Event_LASSO shown as the representative event-enhanced model, illustration only — not a declared winner; see Section 4.5), (5) cumulative strategy return vs buy-and-hold (illustrative only, not a net-of-costs backtest). Vertical dotted lines mark key events: SVB collapse (March 2023), US Election (November 2024), Liberation Day tariffs (April 2025).</w:t>
      </w:r>
    </w:p>
    <w:p w14:paraId="7B1CC4DC" w14:textId="318E74B4" w:rsidR="00AA57C8" w:rsidRDefault="003A0CC0" w:rsidP="00AA57C8">
      <w:pPr>
        <w:pStyle w:val="Heading2"/>
      </w:pPr>
      <w:r>
        <w:t xml:space="preserve"> </w:t>
      </w:r>
      <w:bookmarkStart w:id="27" w:name="_Toc234343215"/>
      <w:r w:rsidR="00AA57C8">
        <w:t>SHAP Explainability</w:t>
      </w:r>
      <w:bookmarkEnd w:id="27"/>
    </w:p>
    <w:p w14:paraId="19B92A2E" w14:textId="77777777" w:rsidR="00AA57C8" w:rsidRDefault="00AA57C8" w:rsidP="00AA57C8">
      <w:pPr>
        <w:spacing w:after="160"/>
        <w:jc w:val="both"/>
      </w:pPr>
      <w:r>
        <w:t>SHAP mean-absolute-value rankings were computed on the test set for each of the three event-enhanced models. mean_car ranks first by this measure for all three models: Event_LASSO (mean |SHAP| = 0.000978), XGBoost (0.000776), and LightGBM (0.000666). The remaining top-five features differ by model. For Event_LASSO: return_lag5d (0.000563), log_return (0.000434), vix_change_1d (0.000279), return_lag21d (0.000154). For XGBoost: return_lag5d (0.000470), return_lag21d (0.000412), volatility_21d (0.000334), vix (0.000308). For LightGBM: return_lag5d (0.000249), momentum_63d (0.000157), volatility_10d (0.000126), vix (0.000118).</w:t>
      </w:r>
    </w:p>
    <w:p w14:paraId="6F93DCBB" w14:textId="77777777" w:rsidR="00AA57C8" w:rsidRDefault="00AA57C8" w:rsidP="00AA57C8">
      <w:pPr>
        <w:spacing w:after="160"/>
        <w:jc w:val="both"/>
      </w:pPr>
      <w:r>
        <w:t>Figure 3 presents the SHAP beeswarm plot for the Event_LASSO model, visualising the per-observation distribution of SHAP values for the top-ranked features. A quantitative characterisation of feature-level dependence patterns (for example, the sign and shape of the relationship between a feature’s value and its SHAP contribution) was not re-derived from the persisted SHAP artefacts for this revision and is not reported here beyond the mean-absolute-value rankings given above.</w:t>
      </w:r>
    </w:p>
    <w:p w14:paraId="1687F0B7" w14:textId="77777777" w:rsidR="00AA57C8" w:rsidRDefault="00AA57C8" w:rsidP="00AA57C8">
      <w:pPr>
        <w:spacing w:after="160"/>
        <w:jc w:val="both"/>
      </w:pPr>
      <w:r>
        <w:lastRenderedPageBreak/>
        <w:t>A temporal stability analysis of SHAP rankings across sub-periods of the test window is not reproduced from a persisted artefact in the current MCP v1.0 pipeline, and no claim is made in this dissertation about how feature rankings vary across sub-periods of the test set. The only cross-sub-period finding reported here is the top-line result above: mean_car is the highest-ranked feature by mean |SHAP| value, computed over the full test set, for all three event-enhanced models.</w:t>
      </w:r>
    </w:p>
    <w:p w14:paraId="782A5CD7" w14:textId="411FEBFE" w:rsidR="00AA57C8" w:rsidRDefault="003A0CC0" w:rsidP="00AA57C8">
      <w:pPr>
        <w:pStyle w:val="Heading2"/>
      </w:pPr>
      <w:r>
        <w:t xml:space="preserve"> </w:t>
      </w:r>
      <w:bookmarkStart w:id="28" w:name="_Toc234343216"/>
      <w:r w:rsidR="00AA57C8">
        <w:t>Residual Diagnostics</w:t>
      </w:r>
      <w:bookmarkEnd w:id="28"/>
    </w:p>
    <w:p w14:paraId="0C38A56F" w14:textId="77777777" w:rsidR="00AA57C8" w:rsidRDefault="00AA57C8" w:rsidP="00AA57C8">
      <w:pPr>
        <w:spacing w:after="160"/>
        <w:jc w:val="both"/>
      </w:pPr>
      <w:r>
        <w:t>Persisted residual-diagnostics blocks exist for all four models: Baseline_LASSO in `baseline_metrics.json`, and Event_LASSO, XGBoost, and LightGBM in `statistical_tests.json`. For Baseline_LASSO, the Durbin-Watson statistic is 2.1114, close to 2.0 and indicating negligible first-order autocorrelation; the mean residual is +0.000406, a small positive bias; the Jarque-Bera test rejects normality (p ≈ 0.0), consistent with the fat-tailed (leptokurtic) distribution of daily equity returns (skewness: 0.6015; kurtosis: 18.0048); and the heteroskedasticity correlation (|residual| vs |fitted|) is approximately 4.24 × 10⁻¹⁶ (effectively zero), indicating no detectable conditional heteroskedasticity. The three event-enhanced models show broadly similar properties: Durbin-Watson statistics of 1.983 (Event_LASSO), 2.024 (XGBoost), and 2.079 (LightGBM), all close to 2.0 and indicating negligible autocorrelation; small positive mean residuals of +0.000356, +0.000796, and +0.000653 respectively; Jarque-Bera rejection of normality for all three (p ≈ 0.0), with kurtosis of 18.006 (Event_LASSO), 17.558 (XGBoost), and 16.600 (LightGBM), and skewness of 0.637, 0.768, and 0.698 respectively. Unlike Baseline_LASSO, the three event-enhanced models show non-negligible heteroskedasticity correlations of 0.198 (Event_LASSO), 0.234 (XGBoost), and 0.273 (LightGBM), indicating mild conditional heteroskedasticity — prediction error is somewhat larger on days with larger predicted movements — a pattern not present in Baseline_LASSO’s constant-prediction residuals.</w:t>
      </w:r>
    </w:p>
    <w:p w14:paraId="742F5A6E" w14:textId="77777777" w:rsidR="00AA57C8" w:rsidRDefault="00AA57C8" w:rsidP="00AA57C8">
      <w:r>
        <w:br w:type="page"/>
      </w:r>
    </w:p>
    <w:p w14:paraId="57AD1643" w14:textId="77777777" w:rsidR="00AA57C8" w:rsidRDefault="00AA57C8" w:rsidP="00AA57C8">
      <w:pPr>
        <w:pStyle w:val="Heading1"/>
        <w:spacing w:after="120"/>
      </w:pPr>
      <w:bookmarkStart w:id="29" w:name="_Toc234343217"/>
      <w:r>
        <w:lastRenderedPageBreak/>
        <w:t>5. Discussion</w:t>
      </w:r>
      <w:bookmarkEnd w:id="29"/>
    </w:p>
    <w:p w14:paraId="263BDC30" w14:textId="00AD3782" w:rsidR="00AA57C8" w:rsidRDefault="003A0CC0" w:rsidP="00AA57C8">
      <w:pPr>
        <w:pStyle w:val="Heading2"/>
      </w:pPr>
      <w:r>
        <w:t xml:space="preserve"> </w:t>
      </w:r>
      <w:bookmarkStart w:id="30" w:name="_Toc234343218"/>
      <w:r w:rsidR="00AA57C8">
        <w:t>Interpretation of Causal Findings</w:t>
      </w:r>
      <w:bookmarkEnd w:id="30"/>
    </w:p>
    <w:p w14:paraId="617ADABA" w14:textId="77777777" w:rsidR="00AA57C8" w:rsidRDefault="00AA57C8" w:rsidP="00AA57C8">
      <w:pPr>
        <w:spacing w:after="160"/>
        <w:jc w:val="both"/>
      </w:pPr>
      <w:r>
        <w:t>The evidence for RQ1 is best read as two distinct layers that do not always agree, and this disagreement is itself informative. At the event-study layer (Table 3, Section 4.2), Geopolitical is the only event type with a statistically significant mean cumulative abnormal return (mean CAR +0.0032, t = 2.265, p = 0.024), while Monetary, Regulatory, Trade, and Energy are not significant at the 5% level (p = 0.315, 0.593, 0.979, and 0.891 respectively), and no multiple-comparison correction has been applied across these five tests. At the causal-inference layer (Table 4, Section 4.3), the pattern reverses: Monetary sentiment is the only event type with a statistically significant DoWhy causal estimate (+0.0075, 95% CI [+0.0033, +0.0115]), while Geopolitical, Regulatory, Trade, and Energy causal estimates are all non-significant. These two layers test different questions — the event study asks whether abnormal returns cluster around events of a given type, while the causal estimate asks whether a continuous sentiment signal, conditioned on the VIX regime as a common cause, has an average effect on next-day returns across all days carrying that event type, most of which are routine rather than high-salience. That the two layers point to different event types as their standout finding is not a contradiction to be resolved but a reflection of what each method actually tests, and it means RQ1 cannot be answered with a single summary event type: the strongest evidence that markets react to an event type (Geopolitical) is not the same event type as the strongest evidence that sentiment causally moves prices (Monetary).</w:t>
      </w:r>
    </w:p>
    <w:p w14:paraId="412601BD" w14:textId="77777777" w:rsidR="00AA57C8" w:rsidRDefault="00AA57C8" w:rsidP="00AA57C8">
      <w:pPr>
        <w:spacing w:after="160"/>
        <w:jc w:val="both"/>
      </w:pPr>
      <w:r>
        <w:t>The Monetary causal estimate’s magnitude (+0.0075 next-day return per unit sentiment score, with a 95% confidence interval that excludes zero) is economically non-trivial relative to typical daily return magnitudes, and its direction is consistent with the established literature on Federal Reserve communication and markets. This finding should not, however, be read as establishing that causal inference validates event-driven signals across all event categories: the same DoWhy protocol, applied identically to Geopolitical, Regulatory, Trade, and Energy sentiment, produced no significant effect for any of them (Section 4.3). A further scoping limitation carried over from Section 4.3 also applies here: the three refutation tests supporting the credibility of the causal identification strategy were run only against the overall, pooled sentiment-return relationship — a result not persisted as a specific number in any frozen artefact — and not against the Monetary-specific per-event-type estimate reported in Table 4. The Monetary estimate has therefore not itself been independently refutation-tested, and this dissertation does not claim that it has.</w:t>
      </w:r>
    </w:p>
    <w:p w14:paraId="6A1D8646" w14:textId="77777777" w:rsidR="00AA57C8" w:rsidRDefault="00AA57C8" w:rsidP="00AA57C8">
      <w:pPr>
        <w:spacing w:after="160"/>
        <w:jc w:val="both"/>
      </w:pPr>
      <w:r>
        <w:t xml:space="preserve">The finding that only 87 of 1,796 events (4.8%) produce a statistically significant abnormal return, combined with only one of five event-type causal estimates reaching significance, is broadly consistent with the semi-strong form of market efficiency (Fama, 1970): if the great majority of presidential and Federal Reserve communications are anticipated, routine, or already reflected in prevailing prices, most individual events and most event-type aggregates should show no detectable abnormal-return footprint, with genuine surprises — such as a rate decision that departs from consensus — carrying most of the identifiable signal. Overall, RQ1 is answered with qualified support: some categories of policy communication (Monetary sentiment, at the causal level; Geopolitical events, at the event-study level) are associated with statistically significant abnormal or causal effects on next-day SPY returns, but this does </w:t>
      </w:r>
      <w:r>
        <w:lastRenderedPageBreak/>
        <w:t>not extend uniformly across all event categories, and the two analytical layers used to test it do not converge on the same category.</w:t>
      </w:r>
    </w:p>
    <w:p w14:paraId="07C8CFE3" w14:textId="77777777" w:rsidR="00E11F11" w:rsidRDefault="00E11F11" w:rsidP="00AA57C8">
      <w:pPr>
        <w:spacing w:after="160"/>
        <w:jc w:val="both"/>
      </w:pPr>
    </w:p>
    <w:p w14:paraId="09B52ABD" w14:textId="10372D9A" w:rsidR="00AA57C8" w:rsidRDefault="003A0CC0" w:rsidP="00AA57C8">
      <w:pPr>
        <w:pStyle w:val="Heading2"/>
      </w:pPr>
      <w:r>
        <w:t xml:space="preserve"> </w:t>
      </w:r>
      <w:bookmarkStart w:id="31" w:name="_Toc234343219"/>
      <w:r w:rsidR="00AA57C8">
        <w:t>Predictive Model Performance in Context</w:t>
      </w:r>
      <w:bookmarkEnd w:id="31"/>
    </w:p>
    <w:p w14:paraId="06353914" w14:textId="77777777" w:rsidR="00AA57C8" w:rsidRDefault="00AA57C8" w:rsidP="00AA57C8">
      <w:pPr>
        <w:spacing w:after="160"/>
        <w:jc w:val="both"/>
      </w:pPr>
      <w:r>
        <w:t>RQ2 asks which event-derived and macroeconomic features contribute most to predicting next-day SPY returns. The primary, reproducible evidence is the SHAP analysis of Section 4.6: mean_car — the trailing mean cumulative abnormal return, an event-derived feature — is the highest-ranked feature by mean |SHAP| value for all three event-enhanced models (Event_LASSO, XGBoost, LightGBM), a convergent result across three structurally different model families fitted independently on the same frozen feature matrix. This is the dissertation’s clearest RQ2 finding: an event-derived signal, not a purely technical or macroeconomic one, carries the most predictive weight in every reproducible model examined. Beyond this shared top feature, the remaining top-five rankings diverge by model (Section 4.6), most consistently featuring recent lagged or cumulative price returns (return_lag5d appears in all three models’ top five) and, for the two tree-based models, volatility- and VIX-related features.</w:t>
      </w:r>
    </w:p>
    <w:p w14:paraId="42DB7262" w14:textId="77777777" w:rsidR="00AA57C8" w:rsidRDefault="00AA57C8" w:rsidP="00AA57C8">
      <w:pPr>
        <w:spacing w:after="160"/>
        <w:jc w:val="both"/>
      </w:pPr>
      <w:r>
        <w:t>The Random Forest feature-importance ranking (Table 5, Section 4.4) offers a broadly convergent but not equivalent secondary signal: it also ranks mean_car highly (second, behind log_return_hi), lending qualitative support to the same conclusion. However, per the frozen governance position recorded in 11_limitations.md (L15) and the decision log, Random Forest’s training code is not present in any notebook currently in this repository — the model and its importance output are frozen, historical artefacts, not a live or reproducible step in the MCP v1.0 pipeline. This ranking is therefore treated in this dissertation as supplementary historical evidence only, corroborating rather than establishing the SHAP-based finding; RQ2’s reproducible answer rests on the SHAP analysis, not on Random Forest.</w:t>
      </w:r>
    </w:p>
    <w:p w14:paraId="77BFE354" w14:textId="77777777" w:rsidR="00AA57C8" w:rsidRDefault="00AA57C8" w:rsidP="00AA57C8">
      <w:pPr>
        <w:spacing w:after="160"/>
        <w:jc w:val="both"/>
      </w:pPr>
      <w:r>
        <w:t>RQ3 asks whether machine learning models using event information can outperform market-only baseline models. The frozen result (Section 4.5; statistical_tests.json) is unambiguous: none of the three event-enhanced models — Event_LASSO, XGBoost, LightGBM — statistically outperforms the market-only Baseline_LASSO under the predefined Bonferroni-corrected promotion criteria (α = 0.05/3 ≈ 0.0167, requiring both the Diebold-Mariano RMSE leg and the two-proportion directional-accuracy z-test leg to clear significance). Event_LASSO comes closest (one-sided DM p = 0.056), but this does not clear even the uncorrected two-sided 0.05 threshold typically used in this literature, let alone the stricter Bonferroni-corrected one-sided threshold adopted here specifically to guard against multiple-comparison inflation across three candidate models. This is a null result, and it is reported as such rather than reframed as a qualified success.</w:t>
      </w:r>
    </w:p>
    <w:p w14:paraId="17810388" w14:textId="77777777" w:rsidR="00AA57C8" w:rsidRDefault="00AA57C8" w:rsidP="00AA57C8">
      <w:pPr>
        <w:spacing w:after="160"/>
        <w:jc w:val="both"/>
      </w:pPr>
      <w:r>
        <w:t>Several explanations for this null result are academically plausible and are not mutually exclusive. First, semi-strong market efficiency, already invoked for RQ1, applies here too: if event-derived sentiment information is rapidly incorporated into prices, its marginal predictive value for next-day returns beyond what is already reflected in recent price action may be genuinely small. Second, the event signal used here is sparse — only 4.8% of events produce a significant abnormal return — and mean_car’s predictive value, while the top-ranked SHAP feature, must compete against a much larger set of market and macro features that already carry momentum and volatility information, some of which may be redundant with the event signal rather than complementary to it (correlated feature pairs and VIF-</w:t>
      </w:r>
      <w:r>
        <w:lastRenderedPageBreak/>
        <w:t>flagged features are documented in 06_feature_dictionary.md). Third, model complexity appears to work against the tree-based candidates specifically: XGBoost’s and LightGBM’s substantially higher in-sample than out-of-sample performance (Section 4.5) is consistent with overfitting on a feature-to-sample-size ratio that is unfavourable for these more flexible model classes — a limitation already flagged in 11_limitations.md (L9) as not yet root-caused. Fourth, the sample itself is a limitation: 750 test-set trading days is a modest sample for detecting a small directional edge with the statistical power required to clear a Bonferroni-corrected threshold; a numerically similar but non-significant result might reach significance with a longer evaluation window, though this dissertation does not claim that it would.</w:t>
      </w:r>
    </w:p>
    <w:p w14:paraId="4B712F2E" w14:textId="77777777" w:rsidR="00AA57C8" w:rsidRDefault="00AA57C8" w:rsidP="00AA57C8">
      <w:pPr>
        <w:spacing w:after="160"/>
        <w:jc w:val="both"/>
      </w:pPr>
      <w:r>
        <w:t>One further piece of evidence is worth noting without overstating its implications. The residual diagnostics for the three event-enhanced models show non-negligible heteroskedasticity correlations (0.198–0.273, Section 4.7), a pattern absent from Baseline_LASSO’s residuals (correlation effectively zero), whose predictions are, in any case, a degenerate constant equal to the training-split mean (Section 4.5). This suggests the event-enhanced models are capturing at least some conditional, state-dependent structure that the constant baseline cannot — plausible model behaviour, not proof of predictive value, since none of the three still clears the pre-registered statistical bar for beating the baseline. Academically, this null result should be read as an honest and informative one: it shows that, in this specific, pre-registered comparison, event-derived signals identified as important by SHAP (RQ2) do not translate into a statistically demonstrable predictive edge over a simple market-only benchmark (RQ3) — a distinction between feature importance and predictive outperformance that this dissertation’s three-RQ structure was designed to allow it to draw cleanly.</w:t>
      </w:r>
    </w:p>
    <w:p w14:paraId="385276EA" w14:textId="77777777" w:rsidR="00E11F11" w:rsidRDefault="00E11F11" w:rsidP="00AA57C8">
      <w:pPr>
        <w:spacing w:after="160"/>
        <w:jc w:val="both"/>
      </w:pPr>
    </w:p>
    <w:p w14:paraId="502BC915" w14:textId="2FDD2957" w:rsidR="00AA57C8" w:rsidRDefault="003A0CC0" w:rsidP="00AA57C8">
      <w:pPr>
        <w:pStyle w:val="Heading2"/>
      </w:pPr>
      <w:r>
        <w:t xml:space="preserve"> </w:t>
      </w:r>
      <w:bookmarkStart w:id="32" w:name="_Toc234343220"/>
      <w:r w:rsidR="00AA57C8">
        <w:t>Limitations</w:t>
      </w:r>
      <w:bookmarkEnd w:id="32"/>
    </w:p>
    <w:p w14:paraId="3ACE0E82" w14:textId="77777777" w:rsidR="00AA57C8" w:rsidRDefault="00AA57C8" w:rsidP="00AA57C8">
      <w:pPr>
        <w:spacing w:after="160"/>
        <w:jc w:val="both"/>
      </w:pPr>
      <w:r>
        <w:t>Several methodological limitations, all already documented in 11_limitations.md, are acknowledged here in the context of the findings above. First, sentiment is scored from document titles only, not full transcript text (L5); substantive policy content, particularly in long-form speeches, may not be captured in a brief title. Second, FinBERT — the project’s official primary sentiment engine — produces a 95.0% neutral sentiment-label rate on this corpus, a genuine domain mismatch given it was trained on financial-news headlines rather than political/policy language (L6). The historical lexicon scorer, retained only as a superseded reference point (10_decision_log.md, Sentiment Engine Freeze v1.0), was never independently validated against human-labelled ground truth either, so neither method’s neutral-rate has been benchmarked against a validated standard. Full-text scoring is a natural extension that might address both limitations (Section 5.4).</w:t>
      </w:r>
    </w:p>
    <w:p w14:paraId="0E0F6FF0" w14:textId="77777777" w:rsidR="00AA57C8" w:rsidRDefault="00AA57C8" w:rsidP="00AA57C8">
      <w:pPr>
        <w:spacing w:after="160"/>
        <w:jc w:val="both"/>
      </w:pPr>
      <w:r>
        <w:t>Second, the GDELT data gap represents a missed opportunity for richer geopolitical risk modelling. The original project design included GDELT daily risk scores as a confounder in the causal model; the limitation to a 5-day proof-of-concept sample means that geopolitical risk as a systemic factor is captured only imperfectly through the keyword classification of presidential documents. Incorporating the full GDELT historical record would strengthen the geopolitical causal analysis.</w:t>
      </w:r>
    </w:p>
    <w:p w14:paraId="01461472" w14:textId="77777777" w:rsidR="00AA57C8" w:rsidRDefault="00AA57C8" w:rsidP="00AA57C8">
      <w:pPr>
        <w:spacing w:after="160"/>
        <w:jc w:val="both"/>
      </w:pPr>
      <w:r>
        <w:t xml:space="preserve">Third, presidential communications cluster in time — multiple statements often occur during a single crisis week — which violates the event-study t-test’s independence assumption; this violation is not currently mitigated in the </w:t>
      </w:r>
      <w:r>
        <w:lastRenderedPageBreak/>
        <w:t>implemented pipeline (L4). Related to this, the per-event-type significance flags reported in Table 3 (Section 4.2) have not been corrected for multiple comparisons across the five event-type tests (L3); the Geopolitical finding discussed in Section 5.1, in particular, should be read as an uncorrected result.</w:t>
      </w:r>
    </w:p>
    <w:p w14:paraId="788B0D1D" w14:textId="77777777" w:rsidR="00AA57C8" w:rsidRDefault="00AA57C8" w:rsidP="00AA57C8">
      <w:pPr>
        <w:spacing w:after="160"/>
        <w:jc w:val="both"/>
      </w:pPr>
      <w:r>
        <w:t>Fourth, the Random Forest feature-importance tool used as secondary RQ2 evidence (Section 4.4) is a frozen artefact whose training code does not currently exist in any notebook in this repository (L15); it is treated throughout this dissertation only as supplementary historical evidence, never as an active or reproducible model. Fifth, XGBoost’s substantial train-test performance gap (Section 4.5) has not yet been root-caused (L9). Finally, all RQ1–RQ3 evidence in this dissertation is specific to a single asset (SPY) over a single study period (L11), and no figure or result in this dissertation should be read as demonstrating a net-of-costs tradeable strategy (L10).</w:t>
      </w:r>
    </w:p>
    <w:p w14:paraId="5D6717E7" w14:textId="77777777" w:rsidR="00827DAC" w:rsidRDefault="00827DAC" w:rsidP="00AA57C8">
      <w:pPr>
        <w:spacing w:after="160"/>
        <w:jc w:val="both"/>
      </w:pPr>
    </w:p>
    <w:p w14:paraId="0982F81E" w14:textId="5287BD04" w:rsidR="00AA57C8" w:rsidRDefault="003A0CC0" w:rsidP="00AA57C8">
      <w:pPr>
        <w:pStyle w:val="Heading2"/>
      </w:pPr>
      <w:r>
        <w:t xml:space="preserve"> </w:t>
      </w:r>
      <w:bookmarkStart w:id="33" w:name="_Toc234343221"/>
      <w:r w:rsidR="00AA57C8">
        <w:t>Future Extensions</w:t>
      </w:r>
      <w:bookmarkEnd w:id="33"/>
    </w:p>
    <w:p w14:paraId="00754908" w14:textId="77777777" w:rsidR="00AA57C8" w:rsidRDefault="00AA57C8" w:rsidP="00AA57C8">
      <w:pPr>
        <w:spacing w:after="160"/>
        <w:jc w:val="both"/>
      </w:pPr>
      <w:r>
        <w:t>Several extensions of this work follow directly from the verified findings and limitations above, rather than from speculative redesign. The most direct, lowest-risk extension is closing the Random Forest reproducibility gap (Section 4.4; 11_limitations.md L15): writing the training step into a notebook so that `feature_importance.parquet` becomes independently regenerable, after which Random Forest’s ranking could be reported as reproducible RQ2 evidence rather than supplementary historical evidence. A second, closely related extension is broadening the event and sentiment inputs: completing the GDELT historical backfill beyond its current 5-day proof-of-concept sample (L7), and extending sentiment scoring to full document text rather than titles only (L5), which may reduce FinBERT’s high neutral rate (L6) and sharpen the event-derived signal used throughout RQ1–RQ3.</w:t>
      </w:r>
    </w:p>
    <w:p w14:paraId="2E7F58E0" w14:textId="77777777" w:rsidR="00AA57C8" w:rsidRDefault="00AA57C8" w:rsidP="00AA57C8">
      <w:pPr>
        <w:spacing w:after="160"/>
        <w:jc w:val="both"/>
      </w:pPr>
      <w:r>
        <w:t>A third extension is methodological: alternative causal estimators — for example a difference-in-differences or synthetic-control design, or a DoWhy specification with additional confounders beyond the current vix_regime common cause — could test whether the Monetary causal finding (Section 5.1) is robust to identification-strategy choice, and could also close the refutation-test scoping gap noted in Sections 4.3 and 5.1 by running refutation checks directly on each per-event-type estimate rather than only on the pooled estimate. A fourth extension is richer market microstructure variables (order-flow imbalance, bid-ask spread, intraday volume profile) added to the Market feature category, which could address some of the feature-redundancy explanation offered in Section 5.2 for RQ3’s null result.</w:t>
      </w:r>
    </w:p>
    <w:p w14:paraId="66816037" w14:textId="77777777" w:rsidR="00AA57C8" w:rsidRDefault="00AA57C8" w:rsidP="00AA57C8">
      <w:pPr>
        <w:spacing w:after="160"/>
        <w:jc w:val="both"/>
      </w:pPr>
      <w:r>
        <w:t>Finally, a larger evaluation sample — a longer test window than the current 750 trading days — would increase the statistical power available to detect a small directional edge, directly addressing the sample-size explanation offered in Section 5.2 for RQ3’s null result; and testing alternative forecasting horizons (for example 3-day or 5-day forward returns rather than next-day) together with external validation on a different asset or a later, currently unseen period would test whether the findings reported here — particularly the null RQ3 result and the mean_car SHAP finding — generalise beyond the single-asset, single-period scope of this dissertation (L11).</w:t>
      </w:r>
    </w:p>
    <w:p w14:paraId="376CBE9E" w14:textId="27E05C9C" w:rsidR="00AA57C8" w:rsidRDefault="00AA57C8" w:rsidP="00827DAC">
      <w:pPr>
        <w:pStyle w:val="Heading1"/>
      </w:pPr>
      <w:r>
        <w:br w:type="page"/>
      </w:r>
      <w:bookmarkStart w:id="34" w:name="_Toc234343222"/>
      <w:r>
        <w:lastRenderedPageBreak/>
        <w:t>Conclusions</w:t>
      </w:r>
      <w:bookmarkEnd w:id="34"/>
    </w:p>
    <w:p w14:paraId="61D989B7" w14:textId="77777777" w:rsidR="00AA57C8" w:rsidRDefault="00AA57C8" w:rsidP="00AA57C8">
      <w:pPr>
        <w:spacing w:after="160"/>
        <w:jc w:val="both"/>
      </w:pPr>
      <w:r>
        <w:t>This dissertation set out to establish whether major macroeconomic policy announcements and presidential communications influence the S&amp;P 500, and whether event-derived information can improve short-term market prediction. It contributes a reproducible, modular pipeline (FES v1.0 feature specification; MCP v1.0 model contract) that integrates event detection and sentiment scoring, event-study and causal-inference analysis, feature engineering, and predictive modelling into a single, version-controlled, auditable framework — a combination of methods more commonly developed and reported in isolation. The framework’s value lies as much in its integration and reproducibility as in any single predictive result, and this dissertation reports its findings, including a null predictive result, without overstating what the evidence supports.</w:t>
      </w:r>
    </w:p>
    <w:p w14:paraId="718514E8" w14:textId="77777777" w:rsidR="00AA57C8" w:rsidRDefault="00AA57C8" w:rsidP="00AA57C8">
      <w:pPr>
        <w:spacing w:after="160"/>
        <w:jc w:val="both"/>
      </w:pPr>
      <w:r>
        <w:t>RQ1 asked whether presidential communications and Federal Reserve announcements produce statistically significant abnormal returns in the S&amp;P 500. The evidence is layered rather than uniform. At the event-study level, Geopolitical events are the only category with a statistically significant mean cumulative abnormal return; the remaining categories (Monetary, Regulatory, Trade, Energy) are not significant, and only a small minority of individual events overall produce a significant abnormal return. At the causal-inference level, Monetary policy sentiment is the only event type with a statistically significant estimated causal effect on next-day returns; the other four event types show no significant causal effect. RQ1 is therefore answered with qualified support: policy communication is associated with statistically detectable market effects for specific event categories and specific analytical approaches, but this finding does not generalise uniformly across all event types or across both analytical layers.</w:t>
      </w:r>
    </w:p>
    <w:p w14:paraId="198009E9" w14:textId="77777777" w:rsidR="00AA57C8" w:rsidRDefault="00AA57C8" w:rsidP="00AA57C8">
      <w:pPr>
        <w:spacing w:after="160"/>
        <w:jc w:val="both"/>
      </w:pPr>
      <w:r>
        <w:t>RQ2 asked which event-derived and macroeconomic features contribute most to predicting next-day S&amp;P 500 returns. The reproducible evidence, drawn from SHAP analysis of all three event-enhanced predictive models, consistently identifies mean_car — a trailing event-derived cumulative abnormal return signal — as the single most important feature across every model examined, ahead of price, momentum, and volatility features. A Random Forest feature-importance ranking offers broadly corroborating, but only supplementary, evidence for the same conclusion: it is a frozen legacy artefact whose training code is not currently reproducible from this repository, and is not part of the dissertation’s reproducible predictive pipeline. RQ2 is therefore answered with reproducible support: event-derived information contributes meaningful — in fact the most important — explanatory signal to the predictive models examined.</w:t>
      </w:r>
    </w:p>
    <w:p w14:paraId="6008EC43" w14:textId="77777777" w:rsidR="00AA57C8" w:rsidRDefault="00AA57C8" w:rsidP="00AA57C8">
      <w:pPr>
        <w:spacing w:after="160"/>
        <w:jc w:val="both"/>
      </w:pPr>
      <w:r>
        <w:t xml:space="preserve">RQ3 asked whether machine learning models using event information can outperform market-only baseline models. None of the event-enhanced models (Event_LASSO, XGBoost, LightGBM) statistically outperformed the Market-only Baseline_LASSO under the predefined Bonferroni-corrected promotion criteria. This is an important empirical finding in its own right, not a failure of the pipeline: it indicates that, over the study period and evaluation window examined, the additional predictive value carried by event-derived and sentiment information — despite being identified as the single most important feature by SHAP (RQ2) — was not large enough, relative to the market-only baseline and after correcting for testing three candidate models, to be statistically distinguished from noise. This is consistent with rapid incorporation of public information into prices, and illustrates a broader methodological point </w:t>
      </w:r>
      <w:r>
        <w:lastRenderedPageBreak/>
        <w:t>for event-driven modelling: feature importance and predictive outperformance are distinct questions, and a feature can be genuinely influential within a model without that model thereby beating a well-specified baseline.</w:t>
      </w:r>
    </w:p>
    <w:p w14:paraId="515C9E28" w14:textId="77777777" w:rsidR="00AA57C8" w:rsidRDefault="00AA57C8" w:rsidP="00AA57C8">
      <w:pPr>
        <w:spacing w:after="160"/>
        <w:jc w:val="both"/>
      </w:pPr>
      <w:r>
        <w:t>These findings carry practical implications that should be read conservatively. For financial researchers, the dissertation demonstrates that event study, causal inference, and machine learning can be combined within a single reproducible pipeline, and that doing so can surface a genuine null result as clearly as a positive one — a discipline event-driven modelling studies do not always maintain. For explainable AI and decision-support applications, the consistent SHAP ranking of an event-derived feature across independently-trained models illustrates how model explainability can identify meaningful signal even where that signal does not translate into a statistically validated predictive edge. For decision-support systems more broadly, the Monetary causal finding offers a theoretically grounded, statistically supported association that could inform qualitative risk monitoring around Federal Reserve communications. This dissertation does not claim, and its evidence does not support, that the framework is ready for deployment as a profitable trading strategy, nor should its findings be read as investment advice.</w:t>
      </w:r>
    </w:p>
    <w:p w14:paraId="692C39DF" w14:textId="77777777" w:rsidR="00AA57C8" w:rsidRDefault="00AA57C8" w:rsidP="00AA57C8">
      <w:pPr>
        <w:spacing w:after="160"/>
        <w:jc w:val="both"/>
      </w:pPr>
      <w:r>
        <w:t>The principal limitations of this work — discussed fully in Chapter 5 — include title-only sentiment scoring and an associated FinBERT domain mismatch, an event-study independence assumption that is not currently mitigated for temporally clustered communications, the absence of a multiple-comparison correction across event-type significance tests, a Random Forest feature-importance tool that is not currently reproducible from this repository, and a single-asset (SPY), single-period study scope.</w:t>
      </w:r>
    </w:p>
    <w:p w14:paraId="60B51BF1" w14:textId="77777777" w:rsidR="00AA57C8" w:rsidRDefault="00AA57C8" w:rsidP="00AA57C8">
      <w:pPr>
        <w:spacing w:after="160"/>
        <w:jc w:val="both"/>
      </w:pPr>
      <w:r>
        <w:t>Future research building directly on these findings could pursue a reproducible Random Forest implementation so that its feature-importance evidence for RQ2 no longer relies on a frozen legacy artefact; richer event sources and improved, full-text sentiment extraction to address the title-only and domain-mismatch limitations; alternative causal estimators and per-event-type refutation testing to further examine the robustness of the Monetary causal finding; the addition of market microstructure variables that may address feature redundancy as a candidate explanation for RQ3’s null result; and external validation across a larger sample, alternative asset, or alternative prediction horizon, to test whether the current findings generalise beyond the scope examined here.</w:t>
      </w:r>
    </w:p>
    <w:p w14:paraId="1EFDD707" w14:textId="77777777" w:rsidR="00AA57C8" w:rsidRDefault="00AA57C8" w:rsidP="00AA57C8">
      <w:pPr>
        <w:spacing w:after="160"/>
        <w:jc w:val="both"/>
      </w:pPr>
      <w:r>
        <w:t>Taken as a whole, this dissertation contributes a reproducible, end-to-end demonstration that political and macroeconomic event information can be systematically detected, causally analysed, and fed into an explainable predictive pipeline for equity markets — and that doing so honestly, including reporting a null result for RQ3 where the evidence warrants it, is itself a meaningful contribution to event-driven market research. The Monetary causal finding (RQ1) and the consistent SHAP ranking of an event-derived feature (RQ2) demonstrate that political-event information is not noise; RQ3’s null result demonstrates that identifying meaningful signal is not the same as building a model that statistically beats a well-specified baseline. Together, these findings offer a methodologically disciplined foundation — not a finished trading system — for future work at the intersection of event-driven finance, causal inference, and explainable machine learning.</w:t>
      </w:r>
    </w:p>
    <w:p w14:paraId="0B2EDF4B" w14:textId="77777777" w:rsidR="00AA57C8" w:rsidRDefault="00AA57C8" w:rsidP="00AA57C8">
      <w:r>
        <w:br w:type="page"/>
      </w:r>
    </w:p>
    <w:p w14:paraId="2038F91E" w14:textId="77777777" w:rsidR="00AA57C8" w:rsidRDefault="00AA57C8" w:rsidP="00AA57C8">
      <w:pPr>
        <w:pStyle w:val="Heading1"/>
        <w:spacing w:after="120"/>
      </w:pPr>
      <w:bookmarkStart w:id="35" w:name="_Toc234343223"/>
      <w:r>
        <w:lastRenderedPageBreak/>
        <w:t>References</w:t>
      </w:r>
      <w:bookmarkEnd w:id="35"/>
    </w:p>
    <w:p w14:paraId="44B9C891" w14:textId="77777777" w:rsidR="00AA57C8" w:rsidRDefault="00AA57C8" w:rsidP="00827DAC">
      <w:pPr>
        <w:spacing w:after="120" w:line="240" w:lineRule="auto"/>
        <w:ind w:left="720" w:hanging="720"/>
      </w:pPr>
      <w:r>
        <w:rPr>
          <w:sz w:val="20"/>
          <w:szCs w:val="20"/>
        </w:rPr>
        <w:t>Araci, D. (2019). FinBERT: Financial Sentiment Analysis with Pre-trained Language Models. arXiv preprint arXiv:1908.10063.</w:t>
      </w:r>
    </w:p>
    <w:p w14:paraId="26504642" w14:textId="77777777" w:rsidR="00AA57C8" w:rsidRDefault="00AA57C8" w:rsidP="00827DAC">
      <w:pPr>
        <w:spacing w:after="120" w:line="240" w:lineRule="auto"/>
        <w:ind w:left="720" w:hanging="720"/>
      </w:pPr>
      <w:r>
        <w:rPr>
          <w:sz w:val="20"/>
          <w:szCs w:val="20"/>
        </w:rPr>
        <w:t>Bianchi, D., Böchkamp, M., and Faccini, R. (2019). The Market Impact of Presidential Communications on Stock Prices. SSRN Working Paper.</w:t>
      </w:r>
    </w:p>
    <w:p w14:paraId="70A414CF" w14:textId="77777777" w:rsidR="00AA57C8" w:rsidRDefault="00AA57C8" w:rsidP="00827DAC">
      <w:pPr>
        <w:spacing w:after="120" w:line="240" w:lineRule="auto"/>
        <w:ind w:left="720" w:hanging="720"/>
      </w:pPr>
      <w:r>
        <w:rPr>
          <w:sz w:val="20"/>
          <w:szCs w:val="20"/>
        </w:rPr>
        <w:t>Bollen, J., Mao, H., and Zeng, X. (2011). Twitter mood predicts the stock market. Journal of Computational Science, 2(1), 1–8.</w:t>
      </w:r>
    </w:p>
    <w:p w14:paraId="61BF4A4D" w14:textId="77777777" w:rsidR="00AA57C8" w:rsidRDefault="00AA57C8" w:rsidP="00827DAC">
      <w:pPr>
        <w:spacing w:after="120" w:line="240" w:lineRule="auto"/>
        <w:ind w:left="720" w:hanging="720"/>
      </w:pPr>
      <w:r>
        <w:rPr>
          <w:sz w:val="20"/>
          <w:szCs w:val="20"/>
        </w:rPr>
        <w:t>Chen, T., and Guestrin, C. (2016). XGBoost: A scalable tree boosting system. Proceedings of the 22nd ACM SIGKDD International Conference on Knowledge Discovery and Data Mining (pp. 785–794). ACM.</w:t>
      </w:r>
    </w:p>
    <w:p w14:paraId="0292449E" w14:textId="77777777" w:rsidR="00AA57C8" w:rsidRDefault="00AA57C8" w:rsidP="00827DAC">
      <w:pPr>
        <w:spacing w:after="120" w:line="240" w:lineRule="auto"/>
        <w:ind w:left="720" w:hanging="720"/>
      </w:pPr>
      <w:r>
        <w:rPr>
          <w:sz w:val="20"/>
          <w:szCs w:val="20"/>
        </w:rPr>
        <w:t>Chinco, A., Clark-Joseph, A. D., and Ye, M. (2019). Sparse signals in the cross-section of returns. The Journal of Finance, 74(1), 449–492.</w:t>
      </w:r>
    </w:p>
    <w:p w14:paraId="405F104E" w14:textId="77777777" w:rsidR="00AA57C8" w:rsidRDefault="00AA57C8" w:rsidP="00827DAC">
      <w:pPr>
        <w:spacing w:after="120" w:line="240" w:lineRule="auto"/>
        <w:ind w:left="720" w:hanging="720"/>
      </w:pPr>
      <w:r>
        <w:rPr>
          <w:sz w:val="20"/>
          <w:szCs w:val="20"/>
        </w:rPr>
        <w:t>Cieslak, A., Morse, A., and Vissing-Jorgensen, A. (2019). Stock returns over the FOMC cycle. The Journal of Finance, 74(5), 2201–2248.</w:t>
      </w:r>
    </w:p>
    <w:p w14:paraId="1A014EF1" w14:textId="77777777" w:rsidR="00AA57C8" w:rsidRDefault="00AA57C8" w:rsidP="00827DAC">
      <w:pPr>
        <w:spacing w:after="120" w:line="240" w:lineRule="auto"/>
        <w:ind w:left="720" w:hanging="720"/>
      </w:pPr>
      <w:r>
        <w:rPr>
          <w:sz w:val="20"/>
          <w:szCs w:val="20"/>
        </w:rPr>
        <w:t>Cutler, D. M., Poterba, J. M., and Summers, L. H. (1989). What moves stock prices? Journal of Portfolio Management, 15(3), 4–12.</w:t>
      </w:r>
    </w:p>
    <w:p w14:paraId="3F3E2C6C" w14:textId="77777777" w:rsidR="00AA57C8" w:rsidRDefault="00AA57C8" w:rsidP="00827DAC">
      <w:pPr>
        <w:spacing w:after="120" w:line="240" w:lineRule="auto"/>
        <w:ind w:left="720" w:hanging="720"/>
      </w:pPr>
      <w:r>
        <w:rPr>
          <w:sz w:val="20"/>
          <w:szCs w:val="20"/>
        </w:rPr>
        <w:t>Devlin, J., Chang, M-W., Lee, K., and Toutanova, K. (2019). BERT: Pre-training of deep bidirectional transformers for language understanding. Proceedings of NAACL-HLT 2019, 4171–4186.</w:t>
      </w:r>
    </w:p>
    <w:p w14:paraId="4F3AFFE7" w14:textId="77777777" w:rsidR="00AA57C8" w:rsidRDefault="00AA57C8" w:rsidP="00827DAC">
      <w:pPr>
        <w:spacing w:after="120" w:line="240" w:lineRule="auto"/>
        <w:ind w:left="720" w:hanging="720"/>
      </w:pPr>
      <w:r>
        <w:rPr>
          <w:sz w:val="20"/>
          <w:szCs w:val="20"/>
        </w:rPr>
        <w:t>Fama, E. F. (1970). Efficient capital markets: A review of empirical work. The Journal of Finance, 25(2), 383–417.</w:t>
      </w:r>
    </w:p>
    <w:p w14:paraId="25782480" w14:textId="77777777" w:rsidR="00AA57C8" w:rsidRDefault="00AA57C8" w:rsidP="00827DAC">
      <w:pPr>
        <w:spacing w:after="120" w:line="240" w:lineRule="auto"/>
        <w:ind w:left="720" w:hanging="720"/>
      </w:pPr>
      <w:r>
        <w:rPr>
          <w:sz w:val="20"/>
          <w:szCs w:val="20"/>
        </w:rPr>
        <w:t>Fama, E. F., Fisher, L., Jensen, M. C., and Roll, R. (1969). The adjustment of stock prices to new information. International Economic Review, 10(1), 1–21.</w:t>
      </w:r>
    </w:p>
    <w:p w14:paraId="0D1D0557" w14:textId="77777777" w:rsidR="00AA57C8" w:rsidRDefault="00AA57C8" w:rsidP="00827DAC">
      <w:pPr>
        <w:spacing w:after="120" w:line="240" w:lineRule="auto"/>
        <w:ind w:left="720" w:hanging="720"/>
      </w:pPr>
      <w:r>
        <w:rPr>
          <w:sz w:val="20"/>
          <w:szCs w:val="20"/>
        </w:rPr>
        <w:t>Goyal, A., and Welch, I. (2008). A comprehensive look at the empirical performance of equity premium prediction. The Review of Financial Studies, 21(4), 1455–1508.</w:t>
      </w:r>
    </w:p>
    <w:p w14:paraId="2D628EFB" w14:textId="77777777" w:rsidR="00AA57C8" w:rsidRDefault="00AA57C8" w:rsidP="00827DAC">
      <w:pPr>
        <w:spacing w:after="120" w:line="240" w:lineRule="auto"/>
        <w:ind w:left="720" w:hanging="720"/>
      </w:pPr>
      <w:r>
        <w:rPr>
          <w:sz w:val="20"/>
          <w:szCs w:val="20"/>
        </w:rPr>
        <w:t>Grinold, R. C., and Kahn, R. N. (2000). Active Portfolio Management: A Quantitative Approach for Producing Superior Returns and Controlling Risk (2nd ed.). McGraw-Hill.</w:t>
      </w:r>
    </w:p>
    <w:p w14:paraId="39140BC0" w14:textId="77777777" w:rsidR="00AA57C8" w:rsidRDefault="00AA57C8" w:rsidP="00827DAC">
      <w:pPr>
        <w:spacing w:after="120" w:line="240" w:lineRule="auto"/>
        <w:ind w:left="720" w:hanging="720"/>
      </w:pPr>
      <w:r>
        <w:rPr>
          <w:sz w:val="20"/>
          <w:szCs w:val="20"/>
        </w:rPr>
        <w:t>Harvey, C. R., Liu, Y., and Zhu, H. (2016). ... and the cross-section of expected returns. The Review of Financial Studies, 29(1), 5–68.</w:t>
      </w:r>
    </w:p>
    <w:p w14:paraId="5113930D" w14:textId="77777777" w:rsidR="00AA57C8" w:rsidRDefault="00AA57C8" w:rsidP="00827DAC">
      <w:pPr>
        <w:spacing w:after="120" w:line="240" w:lineRule="auto"/>
        <w:ind w:left="720" w:hanging="720"/>
      </w:pPr>
      <w:r>
        <w:rPr>
          <w:sz w:val="20"/>
          <w:szCs w:val="20"/>
        </w:rPr>
        <w:t>Ke, G., Meng, Q., Finley, T., Wang, T., Chen, W., Ma, W., Ye, Q., and Liu, T.-Y. (2017). LightGBM: A highly efficient gradient boosting decision tree. Advances in Neural Information Processing Systems, 30, 3146–3154.</w:t>
      </w:r>
    </w:p>
    <w:p w14:paraId="76FD2C71" w14:textId="77777777" w:rsidR="00AA57C8" w:rsidRDefault="00AA57C8" w:rsidP="00827DAC">
      <w:pPr>
        <w:spacing w:after="120" w:line="240" w:lineRule="auto"/>
        <w:ind w:left="720" w:hanging="720"/>
      </w:pPr>
      <w:r>
        <w:rPr>
          <w:sz w:val="20"/>
          <w:szCs w:val="20"/>
        </w:rPr>
        <w:t>Kolari, J. W., and Pynnonen, S. (2010). Event study testing with cross-sectional correlation of abnormal returns. The Review of Financial Studies, 23(11), 3996–4025.</w:t>
      </w:r>
    </w:p>
    <w:p w14:paraId="699ED945" w14:textId="77777777" w:rsidR="00AA57C8" w:rsidRDefault="00AA57C8" w:rsidP="00827DAC">
      <w:pPr>
        <w:spacing w:after="120" w:line="240" w:lineRule="auto"/>
        <w:ind w:left="720" w:hanging="720"/>
      </w:pPr>
      <w:r>
        <w:rPr>
          <w:sz w:val="20"/>
          <w:szCs w:val="20"/>
        </w:rPr>
        <w:t>Loughran, T., and McDonald, B. (2011). When is a liability not a liability? Textual analysis, dictionaries, and 10-Ks. The Journal of Finance, 66(1), 35–65.</w:t>
      </w:r>
    </w:p>
    <w:p w14:paraId="0E020D67" w14:textId="77777777" w:rsidR="00AA57C8" w:rsidRDefault="00AA57C8" w:rsidP="00827DAC">
      <w:pPr>
        <w:spacing w:after="120" w:line="240" w:lineRule="auto"/>
        <w:ind w:left="720" w:hanging="720"/>
      </w:pPr>
      <w:r>
        <w:rPr>
          <w:sz w:val="20"/>
          <w:szCs w:val="20"/>
        </w:rPr>
        <w:t>Lucca, D. O., and Moench, E. (2015). The pre-FOMC announcement drift. The Journal of Finance, 70(1), 329–371.</w:t>
      </w:r>
    </w:p>
    <w:p w14:paraId="7FC8DA04" w14:textId="77777777" w:rsidR="00AA57C8" w:rsidRDefault="00AA57C8" w:rsidP="00827DAC">
      <w:pPr>
        <w:spacing w:after="120" w:line="240" w:lineRule="auto"/>
        <w:ind w:left="720" w:hanging="720"/>
      </w:pPr>
      <w:r>
        <w:rPr>
          <w:sz w:val="20"/>
          <w:szCs w:val="20"/>
        </w:rPr>
        <w:t>Lundberg, S. M., and Lee, S.-I. (2017). A unified approach to interpreting model predictions. Advances in Neural Information Processing Systems, 30, 4765–4774.</w:t>
      </w:r>
    </w:p>
    <w:p w14:paraId="5760D518" w14:textId="77777777" w:rsidR="00AA57C8" w:rsidRDefault="00AA57C8" w:rsidP="00827DAC">
      <w:pPr>
        <w:spacing w:after="120" w:line="240" w:lineRule="auto"/>
        <w:ind w:left="720" w:hanging="720"/>
      </w:pPr>
      <w:r>
        <w:rPr>
          <w:sz w:val="20"/>
          <w:szCs w:val="20"/>
        </w:rPr>
        <w:t>MacKinlay, A. C. (1997). Event studies in economics and finance. Journal of Economic Literature, 35(1), 13–39.</w:t>
      </w:r>
    </w:p>
    <w:p w14:paraId="38DBED7C" w14:textId="77777777" w:rsidR="00AA57C8" w:rsidRDefault="00AA57C8" w:rsidP="00827DAC">
      <w:pPr>
        <w:spacing w:after="120" w:line="240" w:lineRule="auto"/>
        <w:ind w:left="720" w:hanging="720"/>
      </w:pPr>
      <w:r>
        <w:rPr>
          <w:sz w:val="20"/>
          <w:szCs w:val="20"/>
        </w:rPr>
        <w:t>McLean, R. D., and Pontiff, J. (2016). Does academic research destroy stock return predictability? The Journal of Finance, 71(1), 5–32.</w:t>
      </w:r>
    </w:p>
    <w:p w14:paraId="683279DF" w14:textId="77777777" w:rsidR="00AA57C8" w:rsidRDefault="00AA57C8" w:rsidP="00827DAC">
      <w:pPr>
        <w:spacing w:after="120" w:line="240" w:lineRule="auto"/>
        <w:ind w:left="720" w:hanging="720"/>
      </w:pPr>
      <w:r>
        <w:rPr>
          <w:sz w:val="20"/>
          <w:szCs w:val="20"/>
        </w:rPr>
        <w:t>Pearl, J. (2009). Causality: Models, Reasoning, and Inference (2nd ed.). Cambridge University Press.</w:t>
      </w:r>
    </w:p>
    <w:p w14:paraId="737A5951" w14:textId="77777777" w:rsidR="00AA57C8" w:rsidRDefault="00AA57C8" w:rsidP="00827DAC">
      <w:pPr>
        <w:spacing w:after="120" w:line="240" w:lineRule="auto"/>
        <w:ind w:left="720" w:hanging="720"/>
      </w:pPr>
      <w:r>
        <w:rPr>
          <w:sz w:val="20"/>
          <w:szCs w:val="20"/>
        </w:rPr>
        <w:t>Rapach, D. E., and Zhou, G. (2013). Forecasting stock returns. In G. Elliott and A. Timmermann (Eds.), Handbook of Economic Forecasting (Vol. 2, pp. 328–383). Elsevier.</w:t>
      </w:r>
    </w:p>
    <w:p w14:paraId="37C17B8D" w14:textId="77777777" w:rsidR="00AA57C8" w:rsidRDefault="00AA57C8" w:rsidP="00827DAC">
      <w:pPr>
        <w:spacing w:after="120" w:line="240" w:lineRule="auto"/>
        <w:ind w:left="720" w:hanging="720"/>
      </w:pPr>
      <w:r>
        <w:rPr>
          <w:sz w:val="20"/>
          <w:szCs w:val="20"/>
        </w:rPr>
        <w:t>Sharma, A., and Kiciman, E. (2020). DoWhy: An end-to-end library for causal inference. arXiv preprint arXiv:2011.04216.</w:t>
      </w:r>
    </w:p>
    <w:p w14:paraId="14ADA51F" w14:textId="77777777" w:rsidR="00AA57C8" w:rsidRDefault="00AA57C8" w:rsidP="00827DAC">
      <w:pPr>
        <w:spacing w:after="120" w:line="240" w:lineRule="auto"/>
        <w:ind w:left="720" w:hanging="720"/>
      </w:pPr>
      <w:r>
        <w:rPr>
          <w:sz w:val="20"/>
          <w:szCs w:val="20"/>
        </w:rPr>
        <w:t>Tibshirani, R. (1996). Regression shrinkage and selection via the lasso. Journal of the Royal Statistical Society: Series B (Methodological), 58(1), 267–288.</w:t>
      </w:r>
    </w:p>
    <w:p w14:paraId="64A44205" w14:textId="77777777" w:rsidR="00AA57C8" w:rsidRDefault="00AA57C8" w:rsidP="00AA57C8">
      <w:r>
        <w:br w:type="page"/>
      </w:r>
    </w:p>
    <w:p w14:paraId="0C8596A8" w14:textId="367EE55C" w:rsidR="00AA57C8" w:rsidRDefault="00AA57C8" w:rsidP="00AA57C8">
      <w:pPr>
        <w:pStyle w:val="Heading1"/>
        <w:spacing w:after="120"/>
      </w:pPr>
      <w:bookmarkStart w:id="36" w:name="_Toc234343224"/>
      <w:r>
        <w:lastRenderedPageBreak/>
        <w:t>Self-Evaluation</w:t>
      </w:r>
      <w:bookmarkEnd w:id="36"/>
    </w:p>
    <w:p w14:paraId="7BF16087" w14:textId="77777777" w:rsidR="00AA57C8" w:rsidRDefault="00AA57C8" w:rsidP="00AA57C8">
      <w:pPr>
        <w:spacing w:after="160"/>
        <w:jc w:val="both"/>
      </w:pPr>
      <w:r>
        <w:t>Overall, I consider this project to be broadly successful in achieving its stated objectives. The end-to-end pipeline — from raw presidential text to a validated predictive model — was completed in full across all eight phases, and the principal research questions were addressed with quantitative rigour. The causal finding for monetary policy sentiment is particularly satisfying: it is statistically significant, passes all robustness tests, and aligns with a coherent theoretical mechanism. The discovery that the event-derived mean_car feature ranks first in predictive importance provides a direct empirical bridge between the causal and predictive components of the pipeline, which was the central methodological ambition of the project.</w:t>
      </w:r>
    </w:p>
    <w:p w14:paraId="76110F67" w14:textId="77777777" w:rsidR="00AA57C8" w:rsidRDefault="00AA57C8" w:rsidP="00AA57C8">
      <w:pPr>
        <w:spacing w:after="160"/>
        <w:jc w:val="both"/>
      </w:pPr>
      <w:r>
        <w:t>The most significant limitation I would address if starting again is the GDELT data gap. The original project design envisaged geopolitical risk scores as a daily confounder in the DoWhy model, and the restriction to a 5-day proof-of-concept sample meant this analysis was never conducted at scale. In retrospect, I would resolve the GDELT API access issue at the data collection stage before proceeding to later phases, rather than treating it as a deferred task. The full geopolitical causal analysis would substantially strengthen the breadth of the causal findings.</w:t>
      </w:r>
    </w:p>
    <w:p w14:paraId="0788E612" w14:textId="77777777" w:rsidR="00AA57C8" w:rsidRDefault="00AA57C8" w:rsidP="00AA57C8">
      <w:pPr>
        <w:spacing w:after="160"/>
        <w:jc w:val="both"/>
      </w:pPr>
      <w:r>
        <w:t>I would also devote more time to the NLP layer. The decision to use document titles rather than full text was practically motivated — full-text scraping is considerably more time-consuming and computationally demanding — but it substantially limits the quality of the sentiment signal. The 73% neutral rate even for the curated lexicon suggests that many events are incompletely characterised. A more ambitious NLP approach using large language models applied to full-text documents would likely produce a more discriminative signal and, consequently, stronger causal and predictive results.</w:t>
      </w:r>
    </w:p>
    <w:p w14:paraId="29EEF990" w14:textId="77777777" w:rsidR="00AA57C8" w:rsidRDefault="00AA57C8" w:rsidP="00AA57C8">
      <w:pPr>
        <w:spacing w:after="160"/>
        <w:jc w:val="both"/>
      </w:pPr>
      <w:r>
        <w:t>On the modelling side, I was initially surprised that LASSO outperformed XGBoost and LightGBM out-of-sample. In hindsight, this is consistent with the literature on financial forecasting, where sparsity and simplicity tend to outperform complexity in noisy, low-signal environments. This experience reinforced for me the importance of treating out-of-sample performance as the sole arbiter of model quality in financial applications, and of being deeply sceptical of strong in-sample results in settings where overfitting is endemic. The XGBoost training directional accuracy of 75% was, in retrospect, an obvious warning sign.</w:t>
      </w:r>
    </w:p>
    <w:p w14:paraId="00A14CFC" w14:textId="53144078" w:rsidR="00AA57C8" w:rsidRDefault="00AA57C8" w:rsidP="00E11F11">
      <w:pPr>
        <w:pStyle w:val="Heading1"/>
      </w:pPr>
      <w:r>
        <w:br w:type="page"/>
      </w:r>
      <w:bookmarkStart w:id="37" w:name="_Toc234343225"/>
      <w:r>
        <w:lastRenderedPageBreak/>
        <w:t>Appendix</w:t>
      </w:r>
      <w:bookmarkEnd w:id="37"/>
    </w:p>
    <w:p w14:paraId="4712FEF1" w14:textId="3C6B32CF" w:rsidR="00AA57C8" w:rsidRDefault="003A0CC0" w:rsidP="00AA57C8">
      <w:pPr>
        <w:pStyle w:val="Heading2"/>
      </w:pPr>
      <w:r>
        <w:t xml:space="preserve"> </w:t>
      </w:r>
      <w:bookmarkStart w:id="38" w:name="_Toc234343226"/>
      <w:r w:rsidR="00AA57C8">
        <w:t>Appendix A: Supplementary Figures</w:t>
      </w:r>
      <w:bookmarkEnd w:id="38"/>
    </w:p>
    <w:p w14:paraId="3ECB4183" w14:textId="77777777" w:rsidR="00AA57C8" w:rsidRDefault="00AA57C8" w:rsidP="00AA57C8">
      <w:pPr>
        <w:spacing w:before="120"/>
        <w:jc w:val="center"/>
      </w:pPr>
      <w:r>
        <w:rPr>
          <w:noProof/>
        </w:rPr>
        <w:drawing>
          <wp:inline distT="0" distB="0" distL="0" distR="0" wp14:anchorId="3853B433" wp14:editId="7E34D720">
            <wp:extent cx="5143500" cy="3048000"/>
            <wp:effectExtent l="0" t="0" r="0" b="0"/>
            <wp:docPr id="1002007080" name="Appendix Figure A1" descr="Appendix Figure A1" title="Appendix 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048000"/>
                    </a:xfrm>
                    <a:prstGeom prst="rect">
                      <a:avLst/>
                    </a:prstGeom>
                  </pic:spPr>
                </pic:pic>
              </a:graphicData>
            </a:graphic>
          </wp:inline>
        </w:drawing>
      </w:r>
    </w:p>
    <w:p w14:paraId="169D1B5B" w14:textId="77777777" w:rsidR="00AA57C8" w:rsidRDefault="00AA57C8" w:rsidP="00AA57C8">
      <w:pPr>
        <w:spacing w:after="200"/>
        <w:jc w:val="center"/>
      </w:pPr>
      <w:r>
        <w:rPr>
          <w:i/>
          <w:iCs/>
          <w:sz w:val="20"/>
          <w:szCs w:val="20"/>
        </w:rPr>
        <w:t>Figure A1. A1. CAR distribution by event type: boxplots with mean markers (Phase 4 output).</w:t>
      </w:r>
    </w:p>
    <w:p w14:paraId="242F2097" w14:textId="77777777" w:rsidR="00AA57C8" w:rsidRDefault="00AA57C8" w:rsidP="00AA57C8">
      <w:pPr>
        <w:spacing w:before="120"/>
        <w:jc w:val="center"/>
      </w:pPr>
      <w:r>
        <w:rPr>
          <w:noProof/>
        </w:rPr>
        <w:drawing>
          <wp:inline distT="0" distB="0" distL="0" distR="0" wp14:anchorId="4C2DD538" wp14:editId="1559A315">
            <wp:extent cx="5143500" cy="2667000"/>
            <wp:effectExtent l="0" t="0" r="0" b="0"/>
            <wp:docPr id="912403185" name="Appendix Figure A2" descr="Appendix Figure A2" title="Appendix 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667000"/>
                    </a:xfrm>
                    <a:prstGeom prst="rect">
                      <a:avLst/>
                    </a:prstGeom>
                  </pic:spPr>
                </pic:pic>
              </a:graphicData>
            </a:graphic>
          </wp:inline>
        </w:drawing>
      </w:r>
    </w:p>
    <w:p w14:paraId="3F0212FA" w14:textId="77777777" w:rsidR="00AA57C8" w:rsidRDefault="00AA57C8" w:rsidP="00AA57C8">
      <w:pPr>
        <w:spacing w:after="200"/>
        <w:jc w:val="center"/>
      </w:pPr>
      <w:r>
        <w:rPr>
          <w:i/>
          <w:iCs/>
          <w:sz w:val="20"/>
          <w:szCs w:val="20"/>
        </w:rPr>
        <w:t>Figure A2. A2. DoWhy causal estimates with 95% confidence intervals, lexicon treatment variable (Phase 4 output).</w:t>
      </w:r>
    </w:p>
    <w:p w14:paraId="4D9EDDA8" w14:textId="77777777" w:rsidR="00AA57C8" w:rsidRDefault="00AA57C8" w:rsidP="00AA57C8">
      <w:pPr>
        <w:spacing w:before="120"/>
        <w:jc w:val="center"/>
      </w:pPr>
      <w:r>
        <w:rPr>
          <w:noProof/>
        </w:rPr>
        <w:lastRenderedPageBreak/>
        <w:drawing>
          <wp:inline distT="0" distB="0" distL="0" distR="0" wp14:anchorId="2AD21906" wp14:editId="5916BE17">
            <wp:extent cx="5143500" cy="3048000"/>
            <wp:effectExtent l="0" t="0" r="0" b="0"/>
            <wp:docPr id="853520525" name="Appendix Figure A3" descr="Appendix Figure A3" title="Appendix 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3048000"/>
                    </a:xfrm>
                    <a:prstGeom prst="rect">
                      <a:avLst/>
                    </a:prstGeom>
                  </pic:spPr>
                </pic:pic>
              </a:graphicData>
            </a:graphic>
          </wp:inline>
        </w:drawing>
      </w:r>
    </w:p>
    <w:p w14:paraId="62AA51E4" w14:textId="77777777" w:rsidR="00AA57C8" w:rsidRDefault="00AA57C8" w:rsidP="00AA57C8">
      <w:pPr>
        <w:spacing w:after="200"/>
        <w:jc w:val="center"/>
      </w:pPr>
      <w:r>
        <w:rPr>
          <w:i/>
          <w:iCs/>
          <w:sz w:val="20"/>
          <w:szCs w:val="20"/>
        </w:rPr>
        <w:t>Figure A3. A3. Top 25 features by Random Forest importance, coloured by feature group (Phase 5 output).</w:t>
      </w:r>
    </w:p>
    <w:p w14:paraId="3B148C31" w14:textId="77777777" w:rsidR="00AA57C8" w:rsidRDefault="00AA57C8" w:rsidP="00AA57C8">
      <w:pPr>
        <w:spacing w:before="120"/>
        <w:jc w:val="center"/>
      </w:pPr>
      <w:r>
        <w:rPr>
          <w:noProof/>
        </w:rPr>
        <w:drawing>
          <wp:inline distT="0" distB="0" distL="0" distR="0" wp14:anchorId="58875A10" wp14:editId="5B96EC41">
            <wp:extent cx="5143500" cy="3429000"/>
            <wp:effectExtent l="0" t="0" r="0" b="0"/>
            <wp:docPr id="1259525534" name="Appendix Figure A4" descr="Appendix Figure A4" title="Appendix Figure 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429000"/>
                    </a:xfrm>
                    <a:prstGeom prst="rect">
                      <a:avLst/>
                    </a:prstGeom>
                  </pic:spPr>
                </pic:pic>
              </a:graphicData>
            </a:graphic>
          </wp:inline>
        </w:drawing>
      </w:r>
    </w:p>
    <w:p w14:paraId="1E531104" w14:textId="77777777" w:rsidR="00AA57C8" w:rsidRDefault="00AA57C8" w:rsidP="00AA57C8">
      <w:pPr>
        <w:spacing w:after="200"/>
        <w:jc w:val="center"/>
      </w:pPr>
      <w:r>
        <w:rPr>
          <w:i/>
          <w:iCs/>
          <w:sz w:val="20"/>
          <w:szCs w:val="20"/>
        </w:rPr>
        <w:t>Figure A4. A4. SHAP global feature importance (left) and beeswarm distribution (right) for the LASSO model on the held-out test set (Phase 6 output).</w:t>
      </w:r>
    </w:p>
    <w:p w14:paraId="73C0786D" w14:textId="77777777" w:rsidR="00AA57C8" w:rsidRDefault="00AA57C8" w:rsidP="00AA57C8">
      <w:pPr>
        <w:spacing w:before="120"/>
        <w:jc w:val="center"/>
      </w:pPr>
      <w:r>
        <w:rPr>
          <w:noProof/>
        </w:rPr>
        <w:lastRenderedPageBreak/>
        <w:drawing>
          <wp:inline distT="0" distB="0" distL="0" distR="0" wp14:anchorId="47F26EA7" wp14:editId="3A8BCBDE">
            <wp:extent cx="5143500" cy="3429000"/>
            <wp:effectExtent l="0" t="0" r="0" b="0"/>
            <wp:docPr id="11729560" name="Appendix Figure A5" descr="Appendix Figure A5" title="Appendix Figure 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3429000"/>
                    </a:xfrm>
                    <a:prstGeom prst="rect">
                      <a:avLst/>
                    </a:prstGeom>
                  </pic:spPr>
                </pic:pic>
              </a:graphicData>
            </a:graphic>
          </wp:inline>
        </w:drawing>
      </w:r>
    </w:p>
    <w:p w14:paraId="39D8F3B8" w14:textId="77777777" w:rsidR="00AA57C8" w:rsidRDefault="00AA57C8" w:rsidP="00AA57C8">
      <w:pPr>
        <w:spacing w:after="200"/>
        <w:jc w:val="center"/>
      </w:pPr>
      <w:r>
        <w:rPr>
          <w:i/>
          <w:iCs/>
          <w:sz w:val="20"/>
          <w:szCs w:val="20"/>
        </w:rPr>
        <w:t>Figure A5. A5. Residual diagnostics for the LASSO model: (a) residuals vs fitted, (b) Normal Q–Q plot, (c) residual histogram with normal fit, (d) residuals over time, (e) autocorrelation function, (f) heteroskedasticity check (Phase 7 output).</w:t>
      </w:r>
    </w:p>
    <w:p w14:paraId="530AB8ED" w14:textId="77777777" w:rsidR="00AA57C8" w:rsidRDefault="00AA57C8" w:rsidP="00AA57C8">
      <w:pPr>
        <w:spacing w:before="120"/>
        <w:jc w:val="center"/>
      </w:pPr>
      <w:r>
        <w:rPr>
          <w:noProof/>
        </w:rPr>
        <w:drawing>
          <wp:inline distT="0" distB="0" distL="0" distR="0" wp14:anchorId="2018DD44" wp14:editId="74ED3678">
            <wp:extent cx="5143500" cy="3429000"/>
            <wp:effectExtent l="0" t="0" r="0" b="0"/>
            <wp:docPr id="2137567590" name="Appendix Figure A6" descr="Appendix Figure A6" title="Appendix Figure 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429000"/>
                    </a:xfrm>
                    <a:prstGeom prst="rect">
                      <a:avLst/>
                    </a:prstGeom>
                  </pic:spPr>
                </pic:pic>
              </a:graphicData>
            </a:graphic>
          </wp:inline>
        </w:drawing>
      </w:r>
    </w:p>
    <w:p w14:paraId="5D654931" w14:textId="77777777" w:rsidR="00AA57C8" w:rsidRDefault="00AA57C8" w:rsidP="00AA57C8">
      <w:pPr>
        <w:spacing w:after="200"/>
        <w:jc w:val="center"/>
      </w:pPr>
      <w:r>
        <w:rPr>
          <w:i/>
          <w:iCs/>
          <w:sz w:val="20"/>
          <w:szCs w:val="20"/>
        </w:rPr>
        <w:t>Figure A6. A6. Strategy performance analysis: cumulative return comparison across all models, monthly return bars, return calibration by decile, and drawdown comparison (Phase 7 output).</w:t>
      </w:r>
    </w:p>
    <w:p w14:paraId="11B5C8A0" w14:textId="77890417" w:rsidR="00AA57C8" w:rsidRDefault="003A0CC0" w:rsidP="00AA57C8">
      <w:pPr>
        <w:pStyle w:val="Heading2"/>
      </w:pPr>
      <w:r>
        <w:lastRenderedPageBreak/>
        <w:t xml:space="preserve"> </w:t>
      </w:r>
      <w:bookmarkStart w:id="39" w:name="_Toc234343227"/>
      <w:r w:rsidR="00AA57C8">
        <w:t>Appendix B: Data and Code</w:t>
      </w:r>
      <w:bookmarkEnd w:id="39"/>
    </w:p>
    <w:p w14:paraId="05DE6437" w14:textId="77777777" w:rsidR="00AA57C8" w:rsidRDefault="00AA57C8" w:rsidP="00AA57C8">
      <w:pPr>
        <w:spacing w:after="160"/>
        <w:jc w:val="both"/>
      </w:pPr>
      <w:r>
        <w:t>All code is submitted as a separate ZIP archive containing the eight Jupyter notebooks (01–08) and the supporting Python modules in the src/ directory. The processed data files (Parquet format) are available in the data/processed/ directory. Trained model files (LASSO pickle, XGBoost JSON, LightGBM TXT) are in the models/ directory. All figures are in reports/figures/. The full project is also available at the GitHub repository specified in the code submission.</w:t>
      </w:r>
    </w:p>
    <w:p w14:paraId="3FB74D66" w14:textId="77777777" w:rsidR="00AA57C8" w:rsidRDefault="00AA57C8" w:rsidP="00AA57C8">
      <w:pPr>
        <w:spacing w:before="200"/>
        <w:jc w:val="center"/>
      </w:pPr>
      <w:r>
        <w:rPr>
          <w:i/>
          <w:iCs/>
          <w:sz w:val="20"/>
          <w:szCs w:val="20"/>
        </w:rPr>
        <w:t>Table B1. Summary of all outputs by 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800"/>
        <w:gridCol w:w="2760"/>
        <w:gridCol w:w="2760"/>
      </w:tblGrid>
      <w:tr w:rsidR="00AA57C8" w14:paraId="44302C2A" w14:textId="77777777" w:rsidTr="005E7B9F">
        <w:trPr>
          <w:tblHeader/>
        </w:trPr>
        <w:tc>
          <w:tcPr>
            <w:tcW w:w="10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211D77" w14:textId="77777777" w:rsidR="00AA57C8" w:rsidRDefault="00AA57C8" w:rsidP="005E7B9F">
            <w:r>
              <w:rPr>
                <w:b/>
                <w:bCs/>
                <w:color w:val="FFFFFF"/>
                <w:sz w:val="20"/>
                <w:szCs w:val="20"/>
              </w:rPr>
              <w:t>Phase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F744F25" w14:textId="77777777" w:rsidR="00AA57C8" w:rsidRDefault="00AA57C8" w:rsidP="005E7B9F">
            <w:r>
              <w:rPr>
                <w:b/>
                <w:bCs/>
                <w:color w:val="FFFFFF"/>
                <w:sz w:val="20"/>
                <w:szCs w:val="20"/>
              </w:rPr>
              <w:t>Notebook</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C0D3474" w14:textId="77777777" w:rsidR="00AA57C8" w:rsidRDefault="00AA57C8" w:rsidP="005E7B9F">
            <w:r>
              <w:rPr>
                <w:b/>
                <w:bCs/>
                <w:color w:val="FFFFFF"/>
                <w:sz w:val="20"/>
                <w:szCs w:val="20"/>
              </w:rPr>
              <w:t>Key Data Outputs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1A22348" w14:textId="77777777" w:rsidR="00AA57C8" w:rsidRDefault="00AA57C8" w:rsidP="005E7B9F">
            <w:r>
              <w:rPr>
                <w:b/>
                <w:bCs/>
                <w:color w:val="FFFFFF"/>
                <w:sz w:val="20"/>
                <w:szCs w:val="20"/>
              </w:rPr>
              <w:t>Figures</w:t>
            </w:r>
          </w:p>
        </w:tc>
      </w:tr>
      <w:tr w:rsidR="00AA57C8" w14:paraId="50380D93"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1B2B24" w14:textId="77777777" w:rsidR="00AA57C8" w:rsidRDefault="00AA57C8" w:rsidP="005E7B9F">
            <w:r>
              <w:rPr>
                <w:color w:val="000000"/>
                <w:sz w:val="20"/>
                <w:szCs w:val="20"/>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52C7E4" w14:textId="77777777" w:rsidR="00AA57C8" w:rsidRDefault="00AA57C8" w:rsidP="005E7B9F">
            <w:r>
              <w:rPr>
                <w:color w:val="000000"/>
                <w:sz w:val="20"/>
                <w:szCs w:val="20"/>
              </w:rPr>
              <w:t>01_data_collection.ipynb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B3810" w14:textId="77777777" w:rsidR="00AA57C8" w:rsidRDefault="00AA57C8" w:rsidP="005E7B9F">
            <w:r>
              <w:rPr>
                <w:color w:val="000000"/>
                <w:sz w:val="20"/>
                <w:szCs w:val="20"/>
              </w:rPr>
              <w:t>5 raw Parquet files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32AD88" w14:textId="77777777" w:rsidR="00AA57C8" w:rsidRDefault="00AA57C8" w:rsidP="005E7B9F">
            <w:r>
              <w:rPr>
                <w:color w:val="000000"/>
                <w:sz w:val="20"/>
                <w:szCs w:val="20"/>
              </w:rPr>
              <w:t>4 EDA figures</w:t>
            </w:r>
          </w:p>
        </w:tc>
      </w:tr>
      <w:tr w:rsidR="00AA57C8" w14:paraId="6669B4A7"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DB212" w14:textId="77777777" w:rsidR="00AA57C8" w:rsidRDefault="00AA57C8" w:rsidP="005E7B9F">
            <w:r>
              <w:rPr>
                <w:color w:val="000000"/>
                <w:sz w:val="20"/>
                <w:szCs w:val="20"/>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552512" w14:textId="77777777" w:rsidR="00AA57C8" w:rsidRDefault="00AA57C8" w:rsidP="005E7B9F">
            <w:r>
              <w:rPr>
                <w:color w:val="000000"/>
                <w:sz w:val="20"/>
                <w:szCs w:val="20"/>
              </w:rPr>
              <w:t>02_eda.ipynb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7BF6C9" w14:textId="77777777" w:rsidR="00AA57C8" w:rsidRDefault="00AA57C8" w:rsidP="005E7B9F">
            <w:r>
              <w:rPr>
                <w:color w:val="000000"/>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B74F4A" w14:textId="77777777" w:rsidR="00AA57C8" w:rsidRDefault="00AA57C8" w:rsidP="005E7B9F">
            <w:r>
              <w:rPr>
                <w:color w:val="000000"/>
                <w:sz w:val="20"/>
                <w:szCs w:val="20"/>
              </w:rPr>
              <w:t>12 EDA figures</w:t>
            </w:r>
          </w:p>
        </w:tc>
      </w:tr>
      <w:tr w:rsidR="00AA57C8" w14:paraId="753232AA"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4464BB" w14:textId="77777777" w:rsidR="00AA57C8" w:rsidRDefault="00AA57C8" w:rsidP="005E7B9F">
            <w:r>
              <w:rPr>
                <w:color w:val="000000"/>
                <w:sz w:val="20"/>
                <w:szCs w:val="20"/>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90949" w14:textId="77777777" w:rsidR="00AA57C8" w:rsidRDefault="00AA57C8" w:rsidP="005E7B9F">
            <w:r>
              <w:rPr>
                <w:color w:val="000000"/>
                <w:sz w:val="20"/>
                <w:szCs w:val="20"/>
              </w:rPr>
              <w:t>03_event_detection.ipynb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462DEE" w14:textId="77777777" w:rsidR="00AA57C8" w:rsidRDefault="00AA57C8" w:rsidP="005E7B9F">
            <w:r>
              <w:rPr>
                <w:color w:val="000000"/>
                <w:sz w:val="20"/>
                <w:szCs w:val="20"/>
              </w:rPr>
              <w:t>events_tagged.parquet, daily_sentiment.parquet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CE7B7" w14:textId="77777777" w:rsidR="00AA57C8" w:rsidRDefault="00AA57C8" w:rsidP="005E7B9F">
            <w:r>
              <w:rPr>
                <w:color w:val="000000"/>
                <w:sz w:val="20"/>
                <w:szCs w:val="20"/>
              </w:rPr>
              <w:t>4 figures</w:t>
            </w:r>
          </w:p>
        </w:tc>
      </w:tr>
      <w:tr w:rsidR="00AA57C8" w14:paraId="27F88A3D"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CEA623" w14:textId="77777777" w:rsidR="00AA57C8" w:rsidRDefault="00AA57C8" w:rsidP="005E7B9F">
            <w:r>
              <w:rPr>
                <w:color w:val="000000"/>
                <w:sz w:val="20"/>
                <w:szCs w:val="20"/>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C8424B" w14:textId="77777777" w:rsidR="00AA57C8" w:rsidRDefault="00AA57C8" w:rsidP="005E7B9F">
            <w:r>
              <w:rPr>
                <w:color w:val="000000"/>
                <w:sz w:val="20"/>
                <w:szCs w:val="20"/>
              </w:rPr>
              <w:t>04_causal_analysis.ipynb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3E5DB" w14:textId="77777777" w:rsidR="00AA57C8" w:rsidRDefault="00AA57C8" w:rsidP="005E7B9F">
            <w:r>
              <w:rPr>
                <w:color w:val="000000"/>
                <w:sz w:val="20"/>
                <w:szCs w:val="20"/>
              </w:rPr>
              <w:t>car_results.parquet, causal_estimates.parquet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5B548" w14:textId="77777777" w:rsidR="00AA57C8" w:rsidRDefault="00AA57C8" w:rsidP="005E7B9F">
            <w:r>
              <w:rPr>
                <w:color w:val="000000"/>
                <w:sz w:val="20"/>
                <w:szCs w:val="20"/>
              </w:rPr>
              <w:t>4 figures</w:t>
            </w:r>
          </w:p>
        </w:tc>
      </w:tr>
      <w:tr w:rsidR="00AA57C8" w14:paraId="3B569D95"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BFC0A" w14:textId="77777777" w:rsidR="00AA57C8" w:rsidRDefault="00AA57C8" w:rsidP="005E7B9F">
            <w:r>
              <w:rPr>
                <w:color w:val="000000"/>
                <w:sz w:val="20"/>
                <w:szCs w:val="20"/>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60AFC1" w14:textId="77777777" w:rsidR="00AA57C8" w:rsidRDefault="00AA57C8" w:rsidP="005E7B9F">
            <w:r>
              <w:rPr>
                <w:color w:val="000000"/>
                <w:sz w:val="20"/>
                <w:szCs w:val="20"/>
              </w:rPr>
              <w:t>05_feature_engineering.ipynb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43215B" w14:textId="77777777" w:rsidR="00AA57C8" w:rsidRDefault="00AA57C8" w:rsidP="005E7B9F">
            <w:r>
              <w:rPr>
                <w:color w:val="000000"/>
                <w:sz w:val="20"/>
                <w:szCs w:val="20"/>
              </w:rPr>
              <w:t>model_features.parquet, feature_metadata.parquet, scaler.pkl</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37A46" w14:textId="77777777" w:rsidR="00AA57C8" w:rsidRDefault="00AA57C8" w:rsidP="005E7B9F">
            <w:r>
              <w:rPr>
                <w:color w:val="000000"/>
                <w:sz w:val="20"/>
                <w:szCs w:val="20"/>
              </w:rPr>
              <w:t>3 figures</w:t>
            </w:r>
          </w:p>
        </w:tc>
      </w:tr>
      <w:tr w:rsidR="00AA57C8" w14:paraId="647A908D"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E821EB" w14:textId="77777777" w:rsidR="00AA57C8" w:rsidRDefault="00AA57C8" w:rsidP="005E7B9F">
            <w:r>
              <w:rPr>
                <w:color w:val="000000"/>
                <w:sz w:val="20"/>
                <w:szCs w:val="20"/>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69DE1B" w14:textId="77777777" w:rsidR="00AA57C8" w:rsidRDefault="00AA57C8" w:rsidP="005E7B9F">
            <w:r>
              <w:rPr>
                <w:color w:val="000000"/>
                <w:sz w:val="20"/>
                <w:szCs w:val="20"/>
              </w:rPr>
              <w:t>06_model_training.ipynb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7A9250" w14:textId="77777777" w:rsidR="00AA57C8" w:rsidRDefault="00AA57C8" w:rsidP="005E7B9F">
            <w:r>
              <w:rPr>
                <w:color w:val="000000"/>
                <w:sz w:val="20"/>
                <w:szCs w:val="20"/>
              </w:rPr>
              <w:t>lasso.pkl, xgboost.json, lightgbm.txt, test_predictions.parquet, shap_values.parquet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C0578" w14:textId="77777777" w:rsidR="00AA57C8" w:rsidRDefault="00AA57C8" w:rsidP="005E7B9F">
            <w:r>
              <w:rPr>
                <w:color w:val="000000"/>
                <w:sz w:val="20"/>
                <w:szCs w:val="20"/>
              </w:rPr>
              <w:t>4 figures</w:t>
            </w:r>
          </w:p>
        </w:tc>
      </w:tr>
      <w:tr w:rsidR="00AA57C8" w14:paraId="2EEF3D16"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0867C2" w14:textId="77777777" w:rsidR="00AA57C8" w:rsidRDefault="00AA57C8" w:rsidP="005E7B9F">
            <w:r>
              <w:rPr>
                <w:color w:val="000000"/>
                <w:sz w:val="20"/>
                <w:szCs w:val="20"/>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8164F4" w14:textId="77777777" w:rsidR="00AA57C8" w:rsidRDefault="00AA57C8" w:rsidP="005E7B9F">
            <w:r>
              <w:rPr>
                <w:color w:val="000000"/>
                <w:sz w:val="20"/>
                <w:szCs w:val="20"/>
              </w:rPr>
              <w:t>07_model_evaluation.ipynb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0AB890" w14:textId="77777777" w:rsidR="00AA57C8" w:rsidRDefault="00AA57C8" w:rsidP="005E7B9F">
            <w:r>
              <w:rPr>
                <w:color w:val="000000"/>
                <w:sz w:val="20"/>
                <w:szCs w:val="20"/>
              </w:rPr>
              <w:t>evaluation_summary.parquet, residual_diagnostics.json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573092" w14:textId="77777777" w:rsidR="00AA57C8" w:rsidRDefault="00AA57C8" w:rsidP="005E7B9F">
            <w:r>
              <w:rPr>
                <w:color w:val="000000"/>
                <w:sz w:val="20"/>
                <w:szCs w:val="20"/>
              </w:rPr>
              <w:t>4 figures</w:t>
            </w:r>
          </w:p>
        </w:tc>
      </w:tr>
      <w:tr w:rsidR="00AA57C8" w14:paraId="73436591" w14:textId="77777777" w:rsidTr="005E7B9F">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74BFC" w14:textId="77777777" w:rsidR="00AA57C8" w:rsidRDefault="00AA57C8" w:rsidP="005E7B9F">
            <w:r>
              <w:rPr>
                <w:color w:val="000000"/>
                <w:sz w:val="20"/>
                <w:szCs w:val="20"/>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FAD7F7" w14:textId="77777777" w:rsidR="00AA57C8" w:rsidRDefault="00AA57C8" w:rsidP="005E7B9F">
            <w:r>
              <w:rPr>
                <w:color w:val="000000"/>
                <w:sz w:val="20"/>
                <w:szCs w:val="20"/>
              </w:rPr>
              <w:t>08_results_visualisation.ipynb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3BFB45" w14:textId="77777777" w:rsidR="00AA57C8" w:rsidRDefault="00AA57C8" w:rsidP="005E7B9F">
            <w:r>
              <w:rPr>
                <w:color w:val="000000"/>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23460E" w14:textId="77777777" w:rsidR="00AA57C8" w:rsidRDefault="00AA57C8" w:rsidP="005E7B9F">
            <w:r>
              <w:rPr>
                <w:color w:val="000000"/>
                <w:sz w:val="20"/>
                <w:szCs w:val="20"/>
              </w:rPr>
              <w:t>4 publication figures (300 dpi)</w:t>
            </w:r>
          </w:p>
        </w:tc>
      </w:tr>
    </w:tbl>
    <w:p w14:paraId="7B9C6DBF" w14:textId="77777777" w:rsidR="00AA57C8" w:rsidRDefault="00AA57C8" w:rsidP="00AA57C8"/>
    <w:p w14:paraId="3B2B452D" w14:textId="77777777" w:rsidR="00E34D53" w:rsidRPr="00AA57C8" w:rsidRDefault="00E34D53" w:rsidP="00AA57C8"/>
    <w:p w14:paraId="0609B4E1" w14:textId="77777777" w:rsidR="000F5BBA" w:rsidRDefault="00000000">
      <w:r>
        <w:br w:type="page"/>
      </w:r>
    </w:p>
    <w:p w14:paraId="3D6CD3EF" w14:textId="77777777" w:rsidR="000F5BBA" w:rsidRPr="00827DAC" w:rsidRDefault="00000000" w:rsidP="00827DAC">
      <w:pPr>
        <w:pStyle w:val="Heading1"/>
      </w:pPr>
      <w:bookmarkStart w:id="40" w:name="_Toc234343228"/>
      <w:r w:rsidRPr="00827DAC">
        <w:lastRenderedPageBreak/>
        <w:t>Revision Roadmap (Working Draft)</w:t>
      </w:r>
      <w:bookmarkEnd w:id="40"/>
    </w:p>
    <w:p w14:paraId="130B5A82" w14:textId="77777777" w:rsidR="000F5BBA" w:rsidRDefault="00000000">
      <w:r>
        <w:t>This document has been reviewed for scope and structure. The figures are placeholders and will be replaced after the analysis notebooks are completed.</w:t>
      </w:r>
    </w:p>
    <w:p w14:paraId="359BE92C" w14:textId="77777777" w:rsidR="000F5BBA" w:rsidRDefault="00000000">
      <w:r>
        <w:t>• Reduce the project to three research questions.</w:t>
      </w:r>
    </w:p>
    <w:p w14:paraId="394CFC73" w14:textId="77777777" w:rsidR="000F5BBA" w:rsidRDefault="00000000">
      <w:r>
        <w:t>• Align chapters with the eight-notebook workflow.</w:t>
      </w:r>
    </w:p>
    <w:p w14:paraId="597D9BD8" w14:textId="77777777" w:rsidR="000F5BBA" w:rsidRDefault="00000000">
      <w:r>
        <w:t>• Keep core datasets: SPY, VIX, FRED, FOMC and Presidential Communications.</w:t>
      </w:r>
    </w:p>
    <w:p w14:paraId="42D0A607" w14:textId="77777777" w:rsidR="000F5BBA" w:rsidRDefault="00000000">
      <w:r>
        <w:t>• Treat GDELT, GLD, QQQ and TLT as optional extensions.</w:t>
      </w:r>
    </w:p>
    <w:p w14:paraId="597E3E59" w14:textId="77777777" w:rsidR="000F5BBA" w:rsidRDefault="00000000">
      <w:r>
        <w:t>• Generate all figures directly from notebook outputs.</w:t>
      </w:r>
    </w:p>
    <w:p w14:paraId="5B2AB412" w14:textId="77777777" w:rsidR="000F5BBA" w:rsidRDefault="00000000">
      <w:r>
        <w:t>• Add a repository architecture appendix.</w:t>
      </w:r>
    </w:p>
    <w:p w14:paraId="104B0B48" w14:textId="77777777" w:rsidR="000F5BBA" w:rsidRDefault="00000000">
      <w:r>
        <w:t>• Add a reproducibility section (environment, package versions and execution order).</w:t>
      </w:r>
    </w:p>
    <w:p w14:paraId="5E67BAF1" w14:textId="77777777" w:rsidR="003A0CC0" w:rsidRDefault="003A0CC0"/>
    <w:p w14:paraId="29FC7C7C" w14:textId="77777777" w:rsidR="000F5BBA" w:rsidRPr="003A0CC0" w:rsidRDefault="00000000" w:rsidP="003A0CC0">
      <w:pPr>
        <w:pStyle w:val="Heading2"/>
      </w:pPr>
      <w:bookmarkStart w:id="41" w:name="_Toc234343229"/>
      <w:r w:rsidRPr="003A0CC0">
        <w:t>Figures</w:t>
      </w:r>
      <w:bookmarkEnd w:id="41"/>
    </w:p>
    <w:p w14:paraId="564064C8" w14:textId="77777777" w:rsidR="000F5BBA" w:rsidRDefault="00000000">
      <w:r>
        <w:t>Replace all placeholder figures with the final notebook outputs before submission. Use consistent numbering, captions and in-text references.</w:t>
      </w:r>
    </w:p>
    <w:sectPr w:rsidR="000F5BBA" w:rsidSect="00EA5224">
      <w:headerReference w:type="default" r:id="rId19"/>
      <w:footerReference w:type="even" r:id="rId20"/>
      <w:footerReference w:type="default" r:id="rId21"/>
      <w:pgSz w:w="11900" w:h="16840"/>
      <w:pgMar w:top="1440" w:right="963" w:bottom="1440" w:left="115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A89291" w14:textId="77777777" w:rsidR="006F2676" w:rsidRDefault="006F2676" w:rsidP="00776012">
      <w:r>
        <w:separator/>
      </w:r>
    </w:p>
  </w:endnote>
  <w:endnote w:type="continuationSeparator" w:id="0">
    <w:p w14:paraId="7457506F" w14:textId="77777777" w:rsidR="006F2676" w:rsidRDefault="006F2676" w:rsidP="00776012">
      <w:r>
        <w:continuationSeparator/>
      </w:r>
    </w:p>
  </w:endnote>
  <w:endnote w:type="continuationNotice" w:id="1">
    <w:p w14:paraId="5949B9E4" w14:textId="77777777" w:rsidR="006F2676" w:rsidRDefault="006F26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AAFD99" w14:textId="77777777" w:rsidR="00776012" w:rsidRDefault="00776012" w:rsidP="001864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32CFB97D" w14:textId="77777777" w:rsidR="00776012" w:rsidRDefault="00776012" w:rsidP="007760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cstheme="majorBidi"/>
        <w:noProof/>
        <w:color w:val="808080" w:themeColor="background1" w:themeShade="80"/>
        <w:sz w:val="20"/>
        <w:szCs w:val="20"/>
      </w:rPr>
      <w:id w:val="-1766142843"/>
      <w:docPartObj>
        <w:docPartGallery w:val="Page Numbers (Bottom of Page)"/>
        <w:docPartUnique/>
      </w:docPartObj>
    </w:sdtPr>
    <w:sdtContent>
      <w:p w14:paraId="6C01DA70" w14:textId="77777777" w:rsidR="00776012" w:rsidRPr="004E7459" w:rsidRDefault="00776012" w:rsidP="00186431">
        <w:pPr>
          <w:pStyle w:val="Footer"/>
          <w:framePr w:wrap="none" w:vAnchor="text" w:hAnchor="margin" w:xAlign="right" w:y="1"/>
          <w:rPr>
            <w:rFonts w:cstheme="majorBidi"/>
            <w:noProof/>
            <w:color w:val="808080" w:themeColor="background1" w:themeShade="80"/>
            <w:sz w:val="20"/>
            <w:szCs w:val="20"/>
          </w:rPr>
        </w:pPr>
        <w:r w:rsidRPr="004E7459">
          <w:rPr>
            <w:rFonts w:cstheme="majorBidi"/>
            <w:noProof/>
            <w:color w:val="808080" w:themeColor="background1" w:themeShade="80"/>
            <w:sz w:val="20"/>
            <w:szCs w:val="20"/>
          </w:rPr>
          <w:fldChar w:fldCharType="begin"/>
        </w:r>
        <w:r w:rsidRPr="004E7459">
          <w:rPr>
            <w:rFonts w:cstheme="majorBidi"/>
            <w:noProof/>
            <w:color w:val="808080" w:themeColor="background1" w:themeShade="80"/>
            <w:sz w:val="20"/>
            <w:szCs w:val="20"/>
          </w:rPr>
          <w:instrText xml:space="preserve"> PAGE </w:instrText>
        </w:r>
        <w:r w:rsidRPr="004E7459">
          <w:rPr>
            <w:rFonts w:cstheme="majorBidi"/>
            <w:noProof/>
            <w:color w:val="808080" w:themeColor="background1" w:themeShade="80"/>
            <w:sz w:val="20"/>
            <w:szCs w:val="20"/>
          </w:rPr>
          <w:fldChar w:fldCharType="separate"/>
        </w:r>
        <w:r w:rsidRPr="004E7459">
          <w:rPr>
            <w:rFonts w:cstheme="majorBidi"/>
            <w:noProof/>
            <w:color w:val="808080" w:themeColor="background1" w:themeShade="80"/>
            <w:sz w:val="20"/>
            <w:szCs w:val="20"/>
          </w:rPr>
          <w:t>2</w:t>
        </w:r>
        <w:r w:rsidRPr="004E7459">
          <w:rPr>
            <w:rFonts w:cstheme="majorBidi"/>
            <w:noProof/>
            <w:color w:val="808080" w:themeColor="background1" w:themeShade="80"/>
            <w:sz w:val="20"/>
            <w:szCs w:val="20"/>
          </w:rPr>
          <w:fldChar w:fldCharType="end"/>
        </w:r>
      </w:p>
    </w:sdtContent>
  </w:sdt>
  <w:p w14:paraId="1E25F63F" w14:textId="77777777" w:rsidR="00776012" w:rsidRPr="002C7928" w:rsidRDefault="002C7928" w:rsidP="002C79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jc w:val="left"/>
      <w:rPr>
        <w:rFonts w:cstheme="majorBidi"/>
        <w:noProof/>
        <w:color w:val="A6A6A6" w:themeColor="background1" w:themeShade="A6"/>
        <w:sz w:val="20"/>
        <w:szCs w:val="20"/>
      </w:rPr>
    </w:pPr>
    <w:r w:rsidRPr="002C7928">
      <w:rPr>
        <w:rFonts w:cstheme="majorBidi"/>
        <w:noProof/>
        <w:color w:val="A6A6A6" w:themeColor="background1" w:themeShade="A6"/>
        <w:sz w:val="20"/>
        <w:szCs w:val="20"/>
      </w:rPr>
      <w:t>Ibrahim Haroun -</w:t>
    </w:r>
    <w:r w:rsidR="00EF50CD">
      <w:rPr>
        <w:rFonts w:cstheme="majorBidi"/>
        <w:noProof/>
        <w:color w:val="A6A6A6" w:themeColor="background1" w:themeShade="A6"/>
        <w:sz w:val="20"/>
        <w:szCs w:val="20"/>
      </w:rPr>
      <w:t xml:space="preserve"> </w:t>
    </w:r>
    <w:r w:rsidR="00EF50CD" w:rsidRPr="00EF50CD">
      <w:rPr>
        <w:rFonts w:cstheme="majorBidi"/>
        <w:noProof/>
        <w:color w:val="A6A6A6" w:themeColor="background1" w:themeShade="A6"/>
        <w:sz w:val="20"/>
        <w:szCs w:val="20"/>
      </w:rPr>
      <w:t>1113953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A1E8FB" w14:textId="77777777" w:rsidR="006F2676" w:rsidRDefault="006F2676" w:rsidP="00776012">
      <w:r>
        <w:separator/>
      </w:r>
    </w:p>
  </w:footnote>
  <w:footnote w:type="continuationSeparator" w:id="0">
    <w:p w14:paraId="21D016B7" w14:textId="77777777" w:rsidR="006F2676" w:rsidRDefault="006F2676" w:rsidP="00776012">
      <w:r>
        <w:continuationSeparator/>
      </w:r>
    </w:p>
  </w:footnote>
  <w:footnote w:type="continuationNotice" w:id="1">
    <w:p w14:paraId="0728AD36" w14:textId="77777777" w:rsidR="006F2676" w:rsidRDefault="006F26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04B903" w14:textId="77777777" w:rsidR="00605EC7" w:rsidRPr="009406A2" w:rsidRDefault="00EF50CD" w:rsidP="002C7928">
    <w:pPr>
      <w:pStyle w:val="Header"/>
      <w:jc w:val="center"/>
      <w:rPr>
        <w:rFonts w:cstheme="majorBidi"/>
        <w:noProof/>
        <w:color w:val="A6A6A6" w:themeColor="background1" w:themeShade="A6"/>
        <w:sz w:val="20"/>
        <w:szCs w:val="20"/>
      </w:rPr>
    </w:pPr>
    <w:r w:rsidRPr="00EF50CD">
      <w:rPr>
        <w:rFonts w:cstheme="majorBidi"/>
        <w:noProof/>
        <w:color w:val="A6A6A6" w:themeColor="background1" w:themeShade="A6"/>
        <w:sz w:val="20"/>
        <w:szCs w:val="20"/>
      </w:rPr>
      <w:t>7030DATSC</w:t>
    </w:r>
    <w:r>
      <w:rPr>
        <w:rFonts w:cstheme="majorBidi"/>
        <w:noProof/>
        <w:color w:val="A6A6A6" w:themeColor="background1" w:themeShade="A6"/>
        <w:sz w:val="20"/>
        <w:szCs w:val="20"/>
      </w:rPr>
      <w:t>I</w:t>
    </w:r>
    <w:r w:rsidR="00605EC7" w:rsidRPr="009406A2">
      <w:rPr>
        <w:rFonts w:cstheme="majorBidi"/>
        <w:noProof/>
        <w:color w:val="A6A6A6" w:themeColor="background1" w:themeShade="A6"/>
        <w:sz w:val="20"/>
        <w:szCs w:val="20"/>
      </w:rPr>
      <w:tab/>
    </w:r>
    <w:r w:rsidR="00605EC7" w:rsidRPr="009406A2">
      <w:rPr>
        <w:rFonts w:cstheme="majorBidi"/>
        <w:noProof/>
        <w:color w:val="A6A6A6" w:themeColor="background1" w:themeShade="A6"/>
        <w:sz w:val="20"/>
        <w:szCs w:val="20"/>
      </w:rPr>
      <w:tab/>
    </w:r>
    <w:r w:rsidR="007B651B" w:rsidRPr="007B651B">
      <w:rPr>
        <w:rFonts w:cstheme="majorBidi"/>
        <w:noProof/>
        <w:color w:val="A6A6A6" w:themeColor="background1" w:themeShade="A6"/>
        <w:sz w:val="20"/>
        <w:szCs w:val="20"/>
      </w:rPr>
      <w:t>Data Science</w:t>
    </w:r>
    <w:r w:rsidR="00605EC7" w:rsidRPr="009406A2">
      <w:rPr>
        <w:rFonts w:cstheme="majorBidi"/>
        <w:noProof/>
        <w:color w:val="A6A6A6" w:themeColor="background1" w:themeShade="A6"/>
        <w:sz w:val="20"/>
        <w:szCs w:val="20"/>
      </w:rPr>
      <w:t xml:space="preserve"> </w:t>
    </w:r>
    <w:r w:rsidR="007B651B">
      <w:rPr>
        <w:rFonts w:cstheme="majorBidi"/>
        <w:noProof/>
        <w:color w:val="A6A6A6" w:themeColor="background1" w:themeShade="A6"/>
        <w:sz w:val="20"/>
        <w:szCs w:val="20"/>
      </w:rPr>
      <w:t>MSc</w:t>
    </w:r>
    <w:r w:rsidR="00605EC7" w:rsidRPr="009406A2">
      <w:rPr>
        <w:rFonts w:cstheme="majorBidi"/>
        <w:noProof/>
        <w:color w:val="A6A6A6" w:themeColor="background1" w:themeShade="A6"/>
        <w:sz w:val="20"/>
        <w:szCs w:val="20"/>
      </w:rPr>
      <w:t xml:space="preserve"> 2</w:t>
    </w:r>
    <w:r w:rsidR="007B651B">
      <w:rPr>
        <w:rFonts w:cstheme="majorBidi"/>
        <w:noProof/>
        <w:color w:val="A6A6A6" w:themeColor="background1" w:themeShade="A6"/>
        <w:sz w:val="20"/>
        <w:szCs w:val="20"/>
      </w:rPr>
      <w:t>5</w:t>
    </w:r>
    <w:r w:rsidR="00605EC7" w:rsidRPr="009406A2">
      <w:rPr>
        <w:rFonts w:cstheme="majorBidi"/>
        <w:noProof/>
        <w:color w:val="A6A6A6" w:themeColor="background1" w:themeShade="A6"/>
        <w:sz w:val="20"/>
        <w:szCs w:val="20"/>
      </w:rPr>
      <w:t>/2</w:t>
    </w:r>
    <w:r w:rsidR="007B651B">
      <w:rPr>
        <w:rFonts w:cstheme="majorBidi"/>
        <w:noProof/>
        <w:color w:val="A6A6A6" w:themeColor="background1" w:themeShade="A6"/>
        <w:sz w:val="20"/>
        <w:szCs w:val="20"/>
      </w:rPr>
      <w:t>6</w:t>
    </w:r>
    <w:r w:rsidR="002C7928">
      <w:rPr>
        <w:rFonts w:cstheme="majorBidi"/>
        <w:noProof/>
        <w:color w:val="A6A6A6" w:themeColor="background1" w:themeShade="A6"/>
        <w:sz w:val="20"/>
        <w:szCs w:val="20"/>
      </w:rPr>
      <w:t xml:space="preserve"> </w:t>
    </w:r>
  </w:p>
  <w:p w14:paraId="713A65FA" w14:textId="77777777" w:rsidR="00605EC7" w:rsidRDefault="00605E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769F9"/>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E21B74"/>
    <w:multiLevelType w:val="multilevel"/>
    <w:tmpl w:val="3AECFCCC"/>
    <w:styleLink w:val="CurrentList3"/>
    <w:lvl w:ilvl="0">
      <w:start w:val="1"/>
      <w:numFmt w:val="decimal"/>
      <w:lvlText w:val="%1"/>
      <w:lvlJc w:val="left"/>
      <w:pPr>
        <w:ind w:left="284" w:hanging="284"/>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15D43C0"/>
    <w:multiLevelType w:val="hybridMultilevel"/>
    <w:tmpl w:val="AFE6A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3F3918"/>
    <w:multiLevelType w:val="hybridMultilevel"/>
    <w:tmpl w:val="ED046A1A"/>
    <w:lvl w:ilvl="0" w:tplc="CF824438">
      <w:start w:val="1"/>
      <w:numFmt w:val="decimal"/>
      <w:pStyle w:val="EssayContentsText"/>
      <w:lvlText w:val="%1."/>
      <w:lvlJc w:val="left"/>
      <w:pPr>
        <w:tabs>
          <w:tab w:val="num" w:pos="1080"/>
        </w:tabs>
        <w:ind w:left="1080" w:hanging="360"/>
      </w:pPr>
      <w:rPr>
        <w:b/>
      </w:rPr>
    </w:lvl>
    <w:lvl w:ilvl="1" w:tplc="AAE48604">
      <w:start w:val="1"/>
      <w:numFmt w:val="upperRoman"/>
      <w:pStyle w:val="EssayAppendixcontentspage"/>
      <w:lvlText w:val="%2."/>
      <w:lvlJc w:val="right"/>
      <w:pPr>
        <w:tabs>
          <w:tab w:val="num" w:pos="1620"/>
        </w:tabs>
        <w:ind w:left="1620" w:hanging="180"/>
      </w:pPr>
    </w:lvl>
    <w:lvl w:ilvl="2" w:tplc="EB5848FA" w:tentative="1">
      <w:start w:val="1"/>
      <w:numFmt w:val="lowerRoman"/>
      <w:lvlText w:val="%3."/>
      <w:lvlJc w:val="right"/>
      <w:pPr>
        <w:tabs>
          <w:tab w:val="num" w:pos="2520"/>
        </w:tabs>
        <w:ind w:left="2520" w:hanging="180"/>
      </w:pPr>
    </w:lvl>
    <w:lvl w:ilvl="3" w:tplc="0D2E0EAE" w:tentative="1">
      <w:start w:val="1"/>
      <w:numFmt w:val="decimal"/>
      <w:lvlText w:val="%4."/>
      <w:lvlJc w:val="left"/>
      <w:pPr>
        <w:tabs>
          <w:tab w:val="num" w:pos="3240"/>
        </w:tabs>
        <w:ind w:left="3240" w:hanging="360"/>
      </w:pPr>
    </w:lvl>
    <w:lvl w:ilvl="4" w:tplc="90E4FD78" w:tentative="1">
      <w:start w:val="1"/>
      <w:numFmt w:val="lowerLetter"/>
      <w:lvlText w:val="%5."/>
      <w:lvlJc w:val="left"/>
      <w:pPr>
        <w:tabs>
          <w:tab w:val="num" w:pos="3960"/>
        </w:tabs>
        <w:ind w:left="3960" w:hanging="360"/>
      </w:pPr>
    </w:lvl>
    <w:lvl w:ilvl="5" w:tplc="9F027A66" w:tentative="1">
      <w:start w:val="1"/>
      <w:numFmt w:val="lowerRoman"/>
      <w:lvlText w:val="%6."/>
      <w:lvlJc w:val="right"/>
      <w:pPr>
        <w:tabs>
          <w:tab w:val="num" w:pos="4680"/>
        </w:tabs>
        <w:ind w:left="4680" w:hanging="180"/>
      </w:pPr>
    </w:lvl>
    <w:lvl w:ilvl="6" w:tplc="08B09C0A" w:tentative="1">
      <w:start w:val="1"/>
      <w:numFmt w:val="decimal"/>
      <w:lvlText w:val="%7."/>
      <w:lvlJc w:val="left"/>
      <w:pPr>
        <w:tabs>
          <w:tab w:val="num" w:pos="5400"/>
        </w:tabs>
        <w:ind w:left="5400" w:hanging="360"/>
      </w:pPr>
    </w:lvl>
    <w:lvl w:ilvl="7" w:tplc="D0109052" w:tentative="1">
      <w:start w:val="1"/>
      <w:numFmt w:val="lowerLetter"/>
      <w:lvlText w:val="%8."/>
      <w:lvlJc w:val="left"/>
      <w:pPr>
        <w:tabs>
          <w:tab w:val="num" w:pos="6120"/>
        </w:tabs>
        <w:ind w:left="6120" w:hanging="360"/>
      </w:pPr>
    </w:lvl>
    <w:lvl w:ilvl="8" w:tplc="40EAA04E" w:tentative="1">
      <w:start w:val="1"/>
      <w:numFmt w:val="lowerRoman"/>
      <w:lvlText w:val="%9."/>
      <w:lvlJc w:val="right"/>
      <w:pPr>
        <w:tabs>
          <w:tab w:val="num" w:pos="6840"/>
        </w:tabs>
        <w:ind w:left="6840" w:hanging="180"/>
      </w:pPr>
    </w:lvl>
  </w:abstractNum>
  <w:abstractNum w:abstractNumId="4" w15:restartNumberingAfterBreak="0">
    <w:nsid w:val="151C7A9D"/>
    <w:multiLevelType w:val="hybridMultilevel"/>
    <w:tmpl w:val="77E623EA"/>
    <w:lvl w:ilvl="0" w:tplc="4C46AA0C">
      <w:start w:val="1"/>
      <w:numFmt w:val="bullet"/>
      <w:lvlText w:val="●"/>
      <w:lvlJc w:val="left"/>
      <w:pPr>
        <w:ind w:left="720" w:hanging="360"/>
      </w:pPr>
    </w:lvl>
    <w:lvl w:ilvl="1" w:tplc="409E7EA4">
      <w:start w:val="1"/>
      <w:numFmt w:val="bullet"/>
      <w:lvlText w:val="○"/>
      <w:lvlJc w:val="left"/>
      <w:pPr>
        <w:ind w:left="1440" w:hanging="360"/>
      </w:pPr>
    </w:lvl>
    <w:lvl w:ilvl="2" w:tplc="FC9C7EE8">
      <w:start w:val="1"/>
      <w:numFmt w:val="bullet"/>
      <w:lvlText w:val="■"/>
      <w:lvlJc w:val="left"/>
      <w:pPr>
        <w:ind w:left="2160" w:hanging="360"/>
      </w:pPr>
    </w:lvl>
    <w:lvl w:ilvl="3" w:tplc="15BC18E8">
      <w:start w:val="1"/>
      <w:numFmt w:val="bullet"/>
      <w:lvlText w:val="●"/>
      <w:lvlJc w:val="left"/>
      <w:pPr>
        <w:ind w:left="2880" w:hanging="360"/>
      </w:pPr>
    </w:lvl>
    <w:lvl w:ilvl="4" w:tplc="CF8A971A">
      <w:start w:val="1"/>
      <w:numFmt w:val="bullet"/>
      <w:lvlText w:val="○"/>
      <w:lvlJc w:val="left"/>
      <w:pPr>
        <w:ind w:left="3600" w:hanging="360"/>
      </w:pPr>
    </w:lvl>
    <w:lvl w:ilvl="5" w:tplc="35988784">
      <w:start w:val="1"/>
      <w:numFmt w:val="bullet"/>
      <w:lvlText w:val="■"/>
      <w:lvlJc w:val="left"/>
      <w:pPr>
        <w:ind w:left="4320" w:hanging="360"/>
      </w:pPr>
    </w:lvl>
    <w:lvl w:ilvl="6" w:tplc="77103022">
      <w:start w:val="1"/>
      <w:numFmt w:val="bullet"/>
      <w:lvlText w:val="●"/>
      <w:lvlJc w:val="left"/>
      <w:pPr>
        <w:ind w:left="5040" w:hanging="360"/>
      </w:pPr>
    </w:lvl>
    <w:lvl w:ilvl="7" w:tplc="00DEBE0C">
      <w:start w:val="1"/>
      <w:numFmt w:val="bullet"/>
      <w:lvlText w:val="●"/>
      <w:lvlJc w:val="left"/>
      <w:pPr>
        <w:ind w:left="5760" w:hanging="360"/>
      </w:pPr>
    </w:lvl>
    <w:lvl w:ilvl="8" w:tplc="61A8009E">
      <w:start w:val="1"/>
      <w:numFmt w:val="bullet"/>
      <w:lvlText w:val="●"/>
      <w:lvlJc w:val="left"/>
      <w:pPr>
        <w:ind w:left="6480" w:hanging="360"/>
      </w:pPr>
    </w:lvl>
  </w:abstractNum>
  <w:abstractNum w:abstractNumId="5" w15:restartNumberingAfterBreak="0">
    <w:nsid w:val="186D37DF"/>
    <w:multiLevelType w:val="hybridMultilevel"/>
    <w:tmpl w:val="24425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2237D4"/>
    <w:multiLevelType w:val="hybridMultilevel"/>
    <w:tmpl w:val="1AD4A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324497"/>
    <w:multiLevelType w:val="hybridMultilevel"/>
    <w:tmpl w:val="3664F25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3E82B7D"/>
    <w:multiLevelType w:val="hybridMultilevel"/>
    <w:tmpl w:val="3E14F504"/>
    <w:lvl w:ilvl="0" w:tplc="3F8C4D3C">
      <w:start w:val="1"/>
      <w:numFmt w:val="bullet"/>
      <w:lvlText w:val="•"/>
      <w:lvlJc w:val="left"/>
      <w:pPr>
        <w:ind w:left="720" w:hanging="360"/>
      </w:pPr>
    </w:lvl>
    <w:lvl w:ilvl="1" w:tplc="52063374">
      <w:numFmt w:val="decimal"/>
      <w:lvlText w:val=""/>
      <w:lvlJc w:val="left"/>
    </w:lvl>
    <w:lvl w:ilvl="2" w:tplc="717C088E">
      <w:numFmt w:val="decimal"/>
      <w:lvlText w:val=""/>
      <w:lvlJc w:val="left"/>
    </w:lvl>
    <w:lvl w:ilvl="3" w:tplc="A69ADBFA">
      <w:numFmt w:val="decimal"/>
      <w:lvlText w:val=""/>
      <w:lvlJc w:val="left"/>
    </w:lvl>
    <w:lvl w:ilvl="4" w:tplc="A870719C">
      <w:numFmt w:val="decimal"/>
      <w:lvlText w:val=""/>
      <w:lvlJc w:val="left"/>
    </w:lvl>
    <w:lvl w:ilvl="5" w:tplc="CAE2F88A">
      <w:numFmt w:val="decimal"/>
      <w:lvlText w:val=""/>
      <w:lvlJc w:val="left"/>
    </w:lvl>
    <w:lvl w:ilvl="6" w:tplc="6D42DC88">
      <w:numFmt w:val="decimal"/>
      <w:lvlText w:val=""/>
      <w:lvlJc w:val="left"/>
    </w:lvl>
    <w:lvl w:ilvl="7" w:tplc="FCCA8DFE">
      <w:numFmt w:val="decimal"/>
      <w:lvlText w:val=""/>
      <w:lvlJc w:val="left"/>
    </w:lvl>
    <w:lvl w:ilvl="8" w:tplc="C16608D2">
      <w:numFmt w:val="decimal"/>
      <w:lvlText w:val=""/>
      <w:lvlJc w:val="left"/>
    </w:lvl>
  </w:abstractNum>
  <w:abstractNum w:abstractNumId="9" w15:restartNumberingAfterBreak="0">
    <w:nsid w:val="28A3298E"/>
    <w:multiLevelType w:val="multilevel"/>
    <w:tmpl w:val="87C29292"/>
    <w:styleLink w:val="CurrentList13"/>
    <w:lvl w:ilvl="0">
      <w:start w:val="1"/>
      <w:numFmt w:val="decimal"/>
      <w:lvlText w:val="%1."/>
      <w:lvlJc w:val="left"/>
      <w:pPr>
        <w:ind w:left="284" w:hanging="284"/>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A13462E"/>
    <w:multiLevelType w:val="hybridMultilevel"/>
    <w:tmpl w:val="1A48A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8D217A"/>
    <w:multiLevelType w:val="multilevel"/>
    <w:tmpl w:val="CC465096"/>
    <w:styleLink w:val="CurrentList8"/>
    <w:lvl w:ilvl="0">
      <w:start w:val="1"/>
      <w:numFmt w:val="decimal"/>
      <w:lvlText w:val="%1"/>
      <w:lvlJc w:val="left"/>
      <w:pPr>
        <w:ind w:left="284" w:hanging="284"/>
      </w:pPr>
      <w:rPr>
        <w:rFonts w:hint="default"/>
      </w:rPr>
    </w:lvl>
    <w:lvl w:ilvl="1">
      <w:start w:val="1"/>
      <w:numFmt w:val="decimal"/>
      <w:lvlText w:val="%1.%2"/>
      <w:lvlJc w:val="left"/>
      <w:pPr>
        <w:ind w:left="170" w:hanging="170"/>
      </w:pPr>
      <w:rPr>
        <w:rFonts w:hint="default"/>
      </w:rPr>
    </w:lvl>
    <w:lvl w:ilvl="2">
      <w:start w:val="1"/>
      <w:numFmt w:val="decimal"/>
      <w:lvlText w:val="%1.%2.%3"/>
      <w:lvlJc w:val="left"/>
      <w:pPr>
        <w:tabs>
          <w:tab w:val="num" w:pos="567"/>
        </w:tabs>
        <w:ind w:left="170" w:hanging="17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4DC216D"/>
    <w:multiLevelType w:val="multilevel"/>
    <w:tmpl w:val="C2302462"/>
    <w:styleLink w:val="CurrentList2"/>
    <w:lvl w:ilvl="0">
      <w:start w:val="1"/>
      <w:numFmt w:val="decimal"/>
      <w:lvlText w:val="%1"/>
      <w:lvlJc w:val="left"/>
      <w:pPr>
        <w:ind w:left="284" w:hanging="284"/>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AF21890"/>
    <w:multiLevelType w:val="multilevel"/>
    <w:tmpl w:val="21AAC1AA"/>
    <w:styleLink w:val="CurrentList4"/>
    <w:lvl w:ilvl="0">
      <w:start w:val="1"/>
      <w:numFmt w:val="decimal"/>
      <w:lvlText w:val="%1"/>
      <w:lvlJc w:val="left"/>
      <w:pPr>
        <w:ind w:left="284" w:hanging="284"/>
      </w:pPr>
      <w:rPr>
        <w:rFonts w:hint="default"/>
      </w:rPr>
    </w:lvl>
    <w:lvl w:ilvl="1">
      <w:start w:val="1"/>
      <w:numFmt w:val="decimal"/>
      <w:lvlText w:val="%1.%2"/>
      <w:lvlJc w:val="left"/>
      <w:pPr>
        <w:ind w:left="227" w:hanging="22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175116"/>
    <w:multiLevelType w:val="hybridMultilevel"/>
    <w:tmpl w:val="F480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6904CA"/>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005528A"/>
    <w:multiLevelType w:val="hybridMultilevel"/>
    <w:tmpl w:val="BD04F1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103172"/>
    <w:multiLevelType w:val="hybridMultilevel"/>
    <w:tmpl w:val="3F9E1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BD183B"/>
    <w:multiLevelType w:val="multilevel"/>
    <w:tmpl w:val="C72C6C1A"/>
    <w:styleLink w:val="CurrentList11"/>
    <w:lvl w:ilvl="0">
      <w:start w:val="1"/>
      <w:numFmt w:val="decimal"/>
      <w:lvlText w:val="%1"/>
      <w:lvlJc w:val="left"/>
      <w:pPr>
        <w:ind w:left="284" w:hanging="284"/>
      </w:pPr>
      <w:rPr>
        <w:rFonts w:hint="default"/>
      </w:rPr>
    </w:lvl>
    <w:lvl w:ilvl="1">
      <w:start w:val="1"/>
      <w:numFmt w:val="decimal"/>
      <w:lvlText w:val="%1.%2"/>
      <w:lvlJc w:val="left"/>
      <w:pPr>
        <w:tabs>
          <w:tab w:val="num" w:pos="567"/>
        </w:tabs>
        <w:ind w:left="170" w:hanging="170"/>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D445DF3"/>
    <w:multiLevelType w:val="multilevel"/>
    <w:tmpl w:val="2E22225C"/>
    <w:styleLink w:val="CurrentList9"/>
    <w:lvl w:ilvl="0">
      <w:start w:val="1"/>
      <w:numFmt w:val="decimal"/>
      <w:lvlText w:val="%1"/>
      <w:lvlJc w:val="left"/>
      <w:pPr>
        <w:ind w:left="284" w:hanging="284"/>
      </w:pPr>
      <w:rPr>
        <w:rFonts w:hint="default"/>
      </w:rPr>
    </w:lvl>
    <w:lvl w:ilvl="1">
      <w:start w:val="1"/>
      <w:numFmt w:val="decimal"/>
      <w:lvlText w:val="%1.%2"/>
      <w:lvlJc w:val="left"/>
      <w:pPr>
        <w:tabs>
          <w:tab w:val="num" w:pos="567"/>
        </w:tabs>
        <w:ind w:left="170" w:hanging="170"/>
      </w:pPr>
      <w:rPr>
        <w:rFonts w:hint="default"/>
      </w:rPr>
    </w:lvl>
    <w:lvl w:ilvl="2">
      <w:start w:val="1"/>
      <w:numFmt w:val="decimal"/>
      <w:lvlText w:val="%1.%2.%3"/>
      <w:lvlJc w:val="left"/>
      <w:pPr>
        <w:tabs>
          <w:tab w:val="num" w:pos="567"/>
        </w:tabs>
        <w:ind w:left="170" w:hanging="17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4D6A20D4"/>
    <w:multiLevelType w:val="hybridMultilevel"/>
    <w:tmpl w:val="3AE250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0FB74E7"/>
    <w:multiLevelType w:val="hybridMultilevel"/>
    <w:tmpl w:val="0254AB46"/>
    <w:lvl w:ilvl="0" w:tplc="4C8E3FE0">
      <w:start w:val="1"/>
      <w:numFmt w:val="decimal"/>
      <w:lvlText w:val="%1."/>
      <w:lvlJc w:val="left"/>
      <w:pPr>
        <w:ind w:left="720" w:hanging="360"/>
      </w:pPr>
    </w:lvl>
    <w:lvl w:ilvl="1" w:tplc="FF10BF04">
      <w:numFmt w:val="decimal"/>
      <w:lvlText w:val=""/>
      <w:lvlJc w:val="left"/>
    </w:lvl>
    <w:lvl w:ilvl="2" w:tplc="893AF0AA">
      <w:numFmt w:val="decimal"/>
      <w:lvlText w:val=""/>
      <w:lvlJc w:val="left"/>
    </w:lvl>
    <w:lvl w:ilvl="3" w:tplc="49BAC546">
      <w:numFmt w:val="decimal"/>
      <w:lvlText w:val=""/>
      <w:lvlJc w:val="left"/>
    </w:lvl>
    <w:lvl w:ilvl="4" w:tplc="8CD08182">
      <w:numFmt w:val="decimal"/>
      <w:lvlText w:val=""/>
      <w:lvlJc w:val="left"/>
    </w:lvl>
    <w:lvl w:ilvl="5" w:tplc="B8BE030C">
      <w:numFmt w:val="decimal"/>
      <w:lvlText w:val=""/>
      <w:lvlJc w:val="left"/>
    </w:lvl>
    <w:lvl w:ilvl="6" w:tplc="41782CAE">
      <w:numFmt w:val="decimal"/>
      <w:lvlText w:val=""/>
      <w:lvlJc w:val="left"/>
    </w:lvl>
    <w:lvl w:ilvl="7" w:tplc="6FA0CE94">
      <w:numFmt w:val="decimal"/>
      <w:lvlText w:val=""/>
      <w:lvlJc w:val="left"/>
    </w:lvl>
    <w:lvl w:ilvl="8" w:tplc="7C32F69E">
      <w:numFmt w:val="decimal"/>
      <w:lvlText w:val=""/>
      <w:lvlJc w:val="left"/>
    </w:lvl>
  </w:abstractNum>
  <w:abstractNum w:abstractNumId="22" w15:restartNumberingAfterBreak="0">
    <w:nsid w:val="55210B27"/>
    <w:multiLevelType w:val="multilevel"/>
    <w:tmpl w:val="FD44E284"/>
    <w:lvl w:ilvl="0">
      <w:start w:val="1"/>
      <w:numFmt w:val="decimal"/>
      <w:pStyle w:val="Heading1"/>
      <w:lvlText w:val="%1."/>
      <w:lvlJc w:val="left"/>
      <w:pPr>
        <w:ind w:left="284" w:hanging="284"/>
      </w:pPr>
      <w:rPr>
        <w:rFonts w:hint="default"/>
      </w:rPr>
    </w:lvl>
    <w:lvl w:ilvl="1">
      <w:start w:val="1"/>
      <w:numFmt w:val="decimal"/>
      <w:pStyle w:val="Heading2"/>
      <w:lvlText w:val="%1.%2"/>
      <w:lvlJc w:val="left"/>
      <w:pPr>
        <w:ind w:left="284" w:hanging="284"/>
      </w:pPr>
      <w:rPr>
        <w:rFonts w:hint="default"/>
      </w:rPr>
    </w:lvl>
    <w:lvl w:ilvl="2">
      <w:start w:val="1"/>
      <w:numFmt w:val="decimal"/>
      <w:pStyle w:val="Heading3"/>
      <w:lvlText w:val="%1.%2.%3"/>
      <w:lvlJc w:val="left"/>
      <w:pPr>
        <w:ind w:left="227" w:hanging="227"/>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5547562E"/>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3544F6"/>
    <w:multiLevelType w:val="hybridMultilevel"/>
    <w:tmpl w:val="9B86D1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9997DFA"/>
    <w:multiLevelType w:val="hybridMultilevel"/>
    <w:tmpl w:val="562EB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243FEE"/>
    <w:multiLevelType w:val="multilevel"/>
    <w:tmpl w:val="ADA088EC"/>
    <w:styleLink w:val="CurrentList14"/>
    <w:lvl w:ilvl="0">
      <w:start w:val="1"/>
      <w:numFmt w:val="decimal"/>
      <w:lvlText w:val="%1."/>
      <w:lvlJc w:val="left"/>
      <w:pPr>
        <w:ind w:left="284" w:hanging="284"/>
      </w:pPr>
      <w:rPr>
        <w:rFonts w:hint="default"/>
      </w:rPr>
    </w:lvl>
    <w:lvl w:ilvl="1">
      <w:start w:val="1"/>
      <w:numFmt w:val="decimal"/>
      <w:lvlText w:val="%1.%2 "/>
      <w:lvlJc w:val="left"/>
      <w:pPr>
        <w:ind w:left="284" w:hanging="28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698F6DAB"/>
    <w:multiLevelType w:val="hybridMultilevel"/>
    <w:tmpl w:val="F88A73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C831C84"/>
    <w:multiLevelType w:val="hybridMultilevel"/>
    <w:tmpl w:val="4E1AC750"/>
    <w:lvl w:ilvl="0" w:tplc="08090001">
      <w:start w:val="1"/>
      <w:numFmt w:val="bullet"/>
      <w:lvlText w:val=""/>
      <w:lvlJc w:val="left"/>
      <w:pPr>
        <w:ind w:left="720" w:hanging="360"/>
      </w:pPr>
      <w:rPr>
        <w:rFonts w:ascii="Symbol" w:hAnsi="Symbol" w:hint="default"/>
      </w:rPr>
    </w:lvl>
    <w:lvl w:ilvl="1" w:tplc="F184F7B4">
      <w:start w:val="2"/>
      <w:numFmt w:val="bullet"/>
      <w:lvlText w:val="•"/>
      <w:lvlJc w:val="left"/>
      <w:pPr>
        <w:ind w:left="1800" w:hanging="72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D7F6D22"/>
    <w:multiLevelType w:val="multilevel"/>
    <w:tmpl w:val="AFBE8D16"/>
    <w:styleLink w:val="CurrentList7"/>
    <w:lvl w:ilvl="0">
      <w:start w:val="1"/>
      <w:numFmt w:val="decimal"/>
      <w:lvlText w:val="%1"/>
      <w:lvlJc w:val="left"/>
      <w:pPr>
        <w:ind w:left="284" w:hanging="284"/>
      </w:pPr>
      <w:rPr>
        <w:rFonts w:hint="default"/>
      </w:rPr>
    </w:lvl>
    <w:lvl w:ilvl="1">
      <w:start w:val="1"/>
      <w:numFmt w:val="decimal"/>
      <w:lvlText w:val="%1.%2"/>
      <w:lvlJc w:val="left"/>
      <w:pPr>
        <w:ind w:left="170" w:hanging="170"/>
      </w:pPr>
      <w:rPr>
        <w:rFonts w:hint="default"/>
      </w:rPr>
    </w:lvl>
    <w:lvl w:ilvl="2">
      <w:start w:val="1"/>
      <w:numFmt w:val="decimal"/>
      <w:lvlText w:val="%1.%2.%3"/>
      <w:lvlJc w:val="left"/>
      <w:pPr>
        <w:ind w:left="170" w:hanging="17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EB553B0"/>
    <w:multiLevelType w:val="multilevel"/>
    <w:tmpl w:val="B59A8B36"/>
    <w:styleLink w:val="CurrentList12"/>
    <w:lvl w:ilvl="0">
      <w:start w:val="1"/>
      <w:numFmt w:val="decimal"/>
      <w:lvlText w:val="%1."/>
      <w:lvlJc w:val="left"/>
      <w:pPr>
        <w:ind w:left="284" w:hanging="284"/>
      </w:pPr>
      <w:rPr>
        <w:rFonts w:hint="default"/>
      </w:rPr>
    </w:lvl>
    <w:lvl w:ilvl="1">
      <w:start w:val="1"/>
      <w:numFmt w:val="decimal"/>
      <w:lvlText w:val="%1.%2"/>
      <w:lvlJc w:val="left"/>
      <w:pPr>
        <w:tabs>
          <w:tab w:val="num" w:pos="567"/>
        </w:tabs>
        <w:ind w:left="170" w:hanging="170"/>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4DA20B2"/>
    <w:multiLevelType w:val="multilevel"/>
    <w:tmpl w:val="D0A4B2C0"/>
    <w:styleLink w:val="CurrentList10"/>
    <w:lvl w:ilvl="0">
      <w:start w:val="1"/>
      <w:numFmt w:val="decimal"/>
      <w:lvlText w:val="%1"/>
      <w:lvlJc w:val="left"/>
      <w:pPr>
        <w:ind w:left="284" w:hanging="284"/>
      </w:pPr>
      <w:rPr>
        <w:rFonts w:hint="default"/>
      </w:rPr>
    </w:lvl>
    <w:lvl w:ilvl="1">
      <w:start w:val="1"/>
      <w:numFmt w:val="decimal"/>
      <w:lvlText w:val="%1.%2"/>
      <w:lvlJc w:val="left"/>
      <w:pPr>
        <w:tabs>
          <w:tab w:val="num" w:pos="567"/>
        </w:tabs>
        <w:ind w:left="170" w:hanging="170"/>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72F1C1F"/>
    <w:multiLevelType w:val="hybridMultilevel"/>
    <w:tmpl w:val="06FC6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2697499">
    <w:abstractNumId w:val="22"/>
  </w:num>
  <w:num w:numId="2" w16cid:durableId="1691833511">
    <w:abstractNumId w:val="15"/>
  </w:num>
  <w:num w:numId="3" w16cid:durableId="2078748441">
    <w:abstractNumId w:val="12"/>
  </w:num>
  <w:num w:numId="4" w16cid:durableId="2008829003">
    <w:abstractNumId w:val="1"/>
  </w:num>
  <w:num w:numId="5" w16cid:durableId="1947082789">
    <w:abstractNumId w:val="13"/>
  </w:num>
  <w:num w:numId="6" w16cid:durableId="1026056020">
    <w:abstractNumId w:val="23"/>
  </w:num>
  <w:num w:numId="7" w16cid:durableId="1822963501">
    <w:abstractNumId w:val="0"/>
  </w:num>
  <w:num w:numId="8" w16cid:durableId="55588271">
    <w:abstractNumId w:val="29"/>
  </w:num>
  <w:num w:numId="9" w16cid:durableId="98916839">
    <w:abstractNumId w:val="11"/>
  </w:num>
  <w:num w:numId="10" w16cid:durableId="84615597">
    <w:abstractNumId w:val="3"/>
  </w:num>
  <w:num w:numId="11" w16cid:durableId="166478601">
    <w:abstractNumId w:val="19"/>
  </w:num>
  <w:num w:numId="12" w16cid:durableId="2072922398">
    <w:abstractNumId w:val="31"/>
  </w:num>
  <w:num w:numId="13" w16cid:durableId="258295723">
    <w:abstractNumId w:val="6"/>
  </w:num>
  <w:num w:numId="14" w16cid:durableId="1949316729">
    <w:abstractNumId w:val="32"/>
  </w:num>
  <w:num w:numId="15" w16cid:durableId="382488433">
    <w:abstractNumId w:val="28"/>
  </w:num>
  <w:num w:numId="16" w16cid:durableId="922686639">
    <w:abstractNumId w:val="14"/>
  </w:num>
  <w:num w:numId="17" w16cid:durableId="24864823">
    <w:abstractNumId w:val="24"/>
  </w:num>
  <w:num w:numId="18" w16cid:durableId="158888127">
    <w:abstractNumId w:val="10"/>
  </w:num>
  <w:num w:numId="19" w16cid:durableId="776214312">
    <w:abstractNumId w:val="5"/>
  </w:num>
  <w:num w:numId="20" w16cid:durableId="553200608">
    <w:abstractNumId w:val="27"/>
  </w:num>
  <w:num w:numId="21" w16cid:durableId="461928844">
    <w:abstractNumId w:val="20"/>
  </w:num>
  <w:num w:numId="22" w16cid:durableId="779835640">
    <w:abstractNumId w:val="4"/>
    <w:lvlOverride w:ilvl="0">
      <w:startOverride w:val="1"/>
    </w:lvlOverride>
  </w:num>
  <w:num w:numId="23" w16cid:durableId="977144267">
    <w:abstractNumId w:val="21"/>
    <w:lvlOverride w:ilvl="0">
      <w:startOverride w:val="1"/>
    </w:lvlOverride>
  </w:num>
  <w:num w:numId="24" w16cid:durableId="1111776898">
    <w:abstractNumId w:val="8"/>
    <w:lvlOverride w:ilvl="0">
      <w:startOverride w:val="1"/>
    </w:lvlOverride>
  </w:num>
  <w:num w:numId="25" w16cid:durableId="849098093">
    <w:abstractNumId w:val="18"/>
  </w:num>
  <w:num w:numId="26" w16cid:durableId="500630535">
    <w:abstractNumId w:val="7"/>
  </w:num>
  <w:num w:numId="27" w16cid:durableId="2025472892">
    <w:abstractNumId w:val="16"/>
  </w:num>
  <w:num w:numId="28" w16cid:durableId="278877548">
    <w:abstractNumId w:val="25"/>
  </w:num>
  <w:num w:numId="29" w16cid:durableId="905797022">
    <w:abstractNumId w:val="17"/>
  </w:num>
  <w:num w:numId="30" w16cid:durableId="1032459585">
    <w:abstractNumId w:val="2"/>
  </w:num>
  <w:num w:numId="31" w16cid:durableId="1303271311">
    <w:abstractNumId w:val="30"/>
  </w:num>
  <w:num w:numId="32" w16cid:durableId="1897889362">
    <w:abstractNumId w:val="9"/>
  </w:num>
  <w:num w:numId="33" w16cid:durableId="1046299022">
    <w:abstractNumId w:val="26"/>
  </w:num>
  <w:num w:numId="34" w16cid:durableId="670256237">
    <w:abstractNumId w:val="22"/>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EwMjQwNjAxMDY0MDRQ0lEKTi0uzszPAykwrAUA2qGAbCwAAAA="/>
  </w:docVars>
  <w:rsids>
    <w:rsidRoot w:val="00776012"/>
    <w:rsid w:val="000004A7"/>
    <w:rsid w:val="000004F3"/>
    <w:rsid w:val="00000C46"/>
    <w:rsid w:val="0000197C"/>
    <w:rsid w:val="00001D8B"/>
    <w:rsid w:val="0000375E"/>
    <w:rsid w:val="00003FCB"/>
    <w:rsid w:val="000050D2"/>
    <w:rsid w:val="00005441"/>
    <w:rsid w:val="000055F1"/>
    <w:rsid w:val="000056A4"/>
    <w:rsid w:val="00005888"/>
    <w:rsid w:val="000069AE"/>
    <w:rsid w:val="00007547"/>
    <w:rsid w:val="00011087"/>
    <w:rsid w:val="0001198B"/>
    <w:rsid w:val="0001260F"/>
    <w:rsid w:val="00014482"/>
    <w:rsid w:val="000149F3"/>
    <w:rsid w:val="000158B1"/>
    <w:rsid w:val="00015F43"/>
    <w:rsid w:val="00021B11"/>
    <w:rsid w:val="00023182"/>
    <w:rsid w:val="00023B55"/>
    <w:rsid w:val="00023E8C"/>
    <w:rsid w:val="0002626C"/>
    <w:rsid w:val="0002754C"/>
    <w:rsid w:val="0003039A"/>
    <w:rsid w:val="00030B52"/>
    <w:rsid w:val="000341DB"/>
    <w:rsid w:val="00036B20"/>
    <w:rsid w:val="00040FCA"/>
    <w:rsid w:val="00045A8E"/>
    <w:rsid w:val="00045E76"/>
    <w:rsid w:val="00046020"/>
    <w:rsid w:val="0004711E"/>
    <w:rsid w:val="000478E8"/>
    <w:rsid w:val="00047D63"/>
    <w:rsid w:val="00047EFF"/>
    <w:rsid w:val="0005009D"/>
    <w:rsid w:val="00051DB3"/>
    <w:rsid w:val="00051E2D"/>
    <w:rsid w:val="00052775"/>
    <w:rsid w:val="00054289"/>
    <w:rsid w:val="00055D65"/>
    <w:rsid w:val="00055EC6"/>
    <w:rsid w:val="00056869"/>
    <w:rsid w:val="00060403"/>
    <w:rsid w:val="0006057D"/>
    <w:rsid w:val="00060B58"/>
    <w:rsid w:val="0006117D"/>
    <w:rsid w:val="00061325"/>
    <w:rsid w:val="000626EB"/>
    <w:rsid w:val="00062E9A"/>
    <w:rsid w:val="000633FC"/>
    <w:rsid w:val="00063E39"/>
    <w:rsid w:val="00065994"/>
    <w:rsid w:val="00066A2A"/>
    <w:rsid w:val="00066EBD"/>
    <w:rsid w:val="00067F46"/>
    <w:rsid w:val="00070153"/>
    <w:rsid w:val="000709DC"/>
    <w:rsid w:val="000731D7"/>
    <w:rsid w:val="00073E59"/>
    <w:rsid w:val="0007429C"/>
    <w:rsid w:val="00075AA4"/>
    <w:rsid w:val="0007663B"/>
    <w:rsid w:val="000775C8"/>
    <w:rsid w:val="0007794A"/>
    <w:rsid w:val="000812D5"/>
    <w:rsid w:val="00082833"/>
    <w:rsid w:val="000828C5"/>
    <w:rsid w:val="00082C7B"/>
    <w:rsid w:val="00082FBA"/>
    <w:rsid w:val="000834FA"/>
    <w:rsid w:val="000865DD"/>
    <w:rsid w:val="000865F4"/>
    <w:rsid w:val="000901C6"/>
    <w:rsid w:val="00090A57"/>
    <w:rsid w:val="0009186A"/>
    <w:rsid w:val="00091DD3"/>
    <w:rsid w:val="0009221E"/>
    <w:rsid w:val="00092DEB"/>
    <w:rsid w:val="00093056"/>
    <w:rsid w:val="00096675"/>
    <w:rsid w:val="000978BF"/>
    <w:rsid w:val="000A1168"/>
    <w:rsid w:val="000A1C67"/>
    <w:rsid w:val="000A2943"/>
    <w:rsid w:val="000A3B7F"/>
    <w:rsid w:val="000A4796"/>
    <w:rsid w:val="000A5113"/>
    <w:rsid w:val="000A53FF"/>
    <w:rsid w:val="000A5FE3"/>
    <w:rsid w:val="000A65E9"/>
    <w:rsid w:val="000A7166"/>
    <w:rsid w:val="000A7E87"/>
    <w:rsid w:val="000B0F0C"/>
    <w:rsid w:val="000B55A6"/>
    <w:rsid w:val="000B61FA"/>
    <w:rsid w:val="000B6E54"/>
    <w:rsid w:val="000B7B2E"/>
    <w:rsid w:val="000C0834"/>
    <w:rsid w:val="000C7679"/>
    <w:rsid w:val="000C7C02"/>
    <w:rsid w:val="000D051D"/>
    <w:rsid w:val="000D319D"/>
    <w:rsid w:val="000D351A"/>
    <w:rsid w:val="000D39D7"/>
    <w:rsid w:val="000D43B3"/>
    <w:rsid w:val="000D47C1"/>
    <w:rsid w:val="000D4B8A"/>
    <w:rsid w:val="000D5322"/>
    <w:rsid w:val="000D6D66"/>
    <w:rsid w:val="000D76ED"/>
    <w:rsid w:val="000E0141"/>
    <w:rsid w:val="000E3262"/>
    <w:rsid w:val="000E62BD"/>
    <w:rsid w:val="000E67AA"/>
    <w:rsid w:val="000E6A05"/>
    <w:rsid w:val="000F39E3"/>
    <w:rsid w:val="000F4B74"/>
    <w:rsid w:val="000F4BDF"/>
    <w:rsid w:val="000F5103"/>
    <w:rsid w:val="000F5BBA"/>
    <w:rsid w:val="00103D29"/>
    <w:rsid w:val="00104DCB"/>
    <w:rsid w:val="001065A5"/>
    <w:rsid w:val="00106B66"/>
    <w:rsid w:val="00106E6E"/>
    <w:rsid w:val="00107FF3"/>
    <w:rsid w:val="00110B83"/>
    <w:rsid w:val="00113DF3"/>
    <w:rsid w:val="0011548D"/>
    <w:rsid w:val="00115CA6"/>
    <w:rsid w:val="001166C9"/>
    <w:rsid w:val="0011759D"/>
    <w:rsid w:val="0012299C"/>
    <w:rsid w:val="00131195"/>
    <w:rsid w:val="00131474"/>
    <w:rsid w:val="001321CC"/>
    <w:rsid w:val="00132F5B"/>
    <w:rsid w:val="0013367A"/>
    <w:rsid w:val="00133998"/>
    <w:rsid w:val="0013435E"/>
    <w:rsid w:val="001352FC"/>
    <w:rsid w:val="0013656E"/>
    <w:rsid w:val="001366EE"/>
    <w:rsid w:val="001370CE"/>
    <w:rsid w:val="001409BE"/>
    <w:rsid w:val="001416E3"/>
    <w:rsid w:val="00141B14"/>
    <w:rsid w:val="00141EF6"/>
    <w:rsid w:val="00145884"/>
    <w:rsid w:val="00146414"/>
    <w:rsid w:val="001525F9"/>
    <w:rsid w:val="00152A2F"/>
    <w:rsid w:val="001548B5"/>
    <w:rsid w:val="001554CC"/>
    <w:rsid w:val="00156CF5"/>
    <w:rsid w:val="00157A4D"/>
    <w:rsid w:val="001653E4"/>
    <w:rsid w:val="00166627"/>
    <w:rsid w:val="00166EEE"/>
    <w:rsid w:val="00167263"/>
    <w:rsid w:val="00167485"/>
    <w:rsid w:val="00170929"/>
    <w:rsid w:val="0017138E"/>
    <w:rsid w:val="00172CA5"/>
    <w:rsid w:val="00173749"/>
    <w:rsid w:val="00174417"/>
    <w:rsid w:val="00180EDE"/>
    <w:rsid w:val="001810E9"/>
    <w:rsid w:val="00181651"/>
    <w:rsid w:val="00181904"/>
    <w:rsid w:val="001827DE"/>
    <w:rsid w:val="00183177"/>
    <w:rsid w:val="00186431"/>
    <w:rsid w:val="00190562"/>
    <w:rsid w:val="0019056A"/>
    <w:rsid w:val="00190E82"/>
    <w:rsid w:val="00191527"/>
    <w:rsid w:val="00194E64"/>
    <w:rsid w:val="001A21D8"/>
    <w:rsid w:val="001A3E37"/>
    <w:rsid w:val="001A4722"/>
    <w:rsid w:val="001A6AA5"/>
    <w:rsid w:val="001B07D2"/>
    <w:rsid w:val="001B1855"/>
    <w:rsid w:val="001B35AB"/>
    <w:rsid w:val="001B3D88"/>
    <w:rsid w:val="001B4977"/>
    <w:rsid w:val="001B50BF"/>
    <w:rsid w:val="001B6050"/>
    <w:rsid w:val="001B63AA"/>
    <w:rsid w:val="001B693E"/>
    <w:rsid w:val="001B7853"/>
    <w:rsid w:val="001C1796"/>
    <w:rsid w:val="001C2ACD"/>
    <w:rsid w:val="001C3500"/>
    <w:rsid w:val="001C441E"/>
    <w:rsid w:val="001C4963"/>
    <w:rsid w:val="001C4D9C"/>
    <w:rsid w:val="001C5B08"/>
    <w:rsid w:val="001C636C"/>
    <w:rsid w:val="001C6F82"/>
    <w:rsid w:val="001D009B"/>
    <w:rsid w:val="001D046B"/>
    <w:rsid w:val="001D1AF0"/>
    <w:rsid w:val="001D1CC2"/>
    <w:rsid w:val="001D1EB7"/>
    <w:rsid w:val="001D42D1"/>
    <w:rsid w:val="001D51E9"/>
    <w:rsid w:val="001D6BA2"/>
    <w:rsid w:val="001D78E7"/>
    <w:rsid w:val="001E139E"/>
    <w:rsid w:val="001E1D58"/>
    <w:rsid w:val="001E249B"/>
    <w:rsid w:val="001E3961"/>
    <w:rsid w:val="001E497B"/>
    <w:rsid w:val="001E6388"/>
    <w:rsid w:val="001E6554"/>
    <w:rsid w:val="001E76FE"/>
    <w:rsid w:val="001F0178"/>
    <w:rsid w:val="001F0700"/>
    <w:rsid w:val="001F08AD"/>
    <w:rsid w:val="001F105E"/>
    <w:rsid w:val="001F2DBF"/>
    <w:rsid w:val="001F3544"/>
    <w:rsid w:val="001F5CFA"/>
    <w:rsid w:val="001F774D"/>
    <w:rsid w:val="001F7D0B"/>
    <w:rsid w:val="00200240"/>
    <w:rsid w:val="00200B23"/>
    <w:rsid w:val="002018A0"/>
    <w:rsid w:val="00202F81"/>
    <w:rsid w:val="00203F4E"/>
    <w:rsid w:val="0020425C"/>
    <w:rsid w:val="00210532"/>
    <w:rsid w:val="002114CD"/>
    <w:rsid w:val="0021293E"/>
    <w:rsid w:val="00214CEF"/>
    <w:rsid w:val="00214F35"/>
    <w:rsid w:val="0021705A"/>
    <w:rsid w:val="0021756D"/>
    <w:rsid w:val="002177C8"/>
    <w:rsid w:val="0022051B"/>
    <w:rsid w:val="00221AB9"/>
    <w:rsid w:val="00226E0A"/>
    <w:rsid w:val="00230F3C"/>
    <w:rsid w:val="00232A6A"/>
    <w:rsid w:val="00232BDE"/>
    <w:rsid w:val="002343D7"/>
    <w:rsid w:val="0023599B"/>
    <w:rsid w:val="00237406"/>
    <w:rsid w:val="0023790F"/>
    <w:rsid w:val="0024110D"/>
    <w:rsid w:val="00242862"/>
    <w:rsid w:val="002439C0"/>
    <w:rsid w:val="00244117"/>
    <w:rsid w:val="00244178"/>
    <w:rsid w:val="00250CD2"/>
    <w:rsid w:val="00252171"/>
    <w:rsid w:val="00253D59"/>
    <w:rsid w:val="002548D2"/>
    <w:rsid w:val="002555B3"/>
    <w:rsid w:val="00257BCE"/>
    <w:rsid w:val="00257F9C"/>
    <w:rsid w:val="00261179"/>
    <w:rsid w:val="0026161A"/>
    <w:rsid w:val="00261E34"/>
    <w:rsid w:val="002632BB"/>
    <w:rsid w:val="0026343A"/>
    <w:rsid w:val="002639BC"/>
    <w:rsid w:val="00266F2F"/>
    <w:rsid w:val="00271541"/>
    <w:rsid w:val="0027198C"/>
    <w:rsid w:val="0027386E"/>
    <w:rsid w:val="00273C69"/>
    <w:rsid w:val="002758D6"/>
    <w:rsid w:val="00275A10"/>
    <w:rsid w:val="00275D64"/>
    <w:rsid w:val="00275ED0"/>
    <w:rsid w:val="00276DC2"/>
    <w:rsid w:val="002771D4"/>
    <w:rsid w:val="00277CCD"/>
    <w:rsid w:val="00280067"/>
    <w:rsid w:val="00280434"/>
    <w:rsid w:val="00281DC9"/>
    <w:rsid w:val="00283410"/>
    <w:rsid w:val="00285B06"/>
    <w:rsid w:val="002878FE"/>
    <w:rsid w:val="00290474"/>
    <w:rsid w:val="00290EA6"/>
    <w:rsid w:val="00291C38"/>
    <w:rsid w:val="00292564"/>
    <w:rsid w:val="0029384D"/>
    <w:rsid w:val="00295237"/>
    <w:rsid w:val="00295F84"/>
    <w:rsid w:val="002971E4"/>
    <w:rsid w:val="00297584"/>
    <w:rsid w:val="00297BA5"/>
    <w:rsid w:val="002A0B4C"/>
    <w:rsid w:val="002A2CC9"/>
    <w:rsid w:val="002A36B9"/>
    <w:rsid w:val="002A6366"/>
    <w:rsid w:val="002A6AE4"/>
    <w:rsid w:val="002A6B6D"/>
    <w:rsid w:val="002A75E5"/>
    <w:rsid w:val="002A765A"/>
    <w:rsid w:val="002B1DE9"/>
    <w:rsid w:val="002B3C0C"/>
    <w:rsid w:val="002B3CC6"/>
    <w:rsid w:val="002B4B9E"/>
    <w:rsid w:val="002B603E"/>
    <w:rsid w:val="002B797E"/>
    <w:rsid w:val="002B7F5E"/>
    <w:rsid w:val="002C05EF"/>
    <w:rsid w:val="002C1AEB"/>
    <w:rsid w:val="002C2755"/>
    <w:rsid w:val="002C2C12"/>
    <w:rsid w:val="002C2FCC"/>
    <w:rsid w:val="002C30D6"/>
    <w:rsid w:val="002C3FC5"/>
    <w:rsid w:val="002C469F"/>
    <w:rsid w:val="002C4AE7"/>
    <w:rsid w:val="002C6224"/>
    <w:rsid w:val="002C6BD4"/>
    <w:rsid w:val="002C77A3"/>
    <w:rsid w:val="002C7928"/>
    <w:rsid w:val="002D0648"/>
    <w:rsid w:val="002D1D7A"/>
    <w:rsid w:val="002D2232"/>
    <w:rsid w:val="002D58BD"/>
    <w:rsid w:val="002D5BAA"/>
    <w:rsid w:val="002D6427"/>
    <w:rsid w:val="002D6F39"/>
    <w:rsid w:val="002E0303"/>
    <w:rsid w:val="002E058E"/>
    <w:rsid w:val="002E1A66"/>
    <w:rsid w:val="002E1B7D"/>
    <w:rsid w:val="002E1CE6"/>
    <w:rsid w:val="002E26B8"/>
    <w:rsid w:val="002E339A"/>
    <w:rsid w:val="002E454D"/>
    <w:rsid w:val="002E5347"/>
    <w:rsid w:val="002E537E"/>
    <w:rsid w:val="002E5879"/>
    <w:rsid w:val="002E650E"/>
    <w:rsid w:val="002E75C8"/>
    <w:rsid w:val="002E7DE0"/>
    <w:rsid w:val="002F0DF9"/>
    <w:rsid w:val="002F129A"/>
    <w:rsid w:val="002F1454"/>
    <w:rsid w:val="002F18C0"/>
    <w:rsid w:val="002F2145"/>
    <w:rsid w:val="002F2685"/>
    <w:rsid w:val="002F364A"/>
    <w:rsid w:val="002F56B2"/>
    <w:rsid w:val="002F6967"/>
    <w:rsid w:val="002F790C"/>
    <w:rsid w:val="00302C57"/>
    <w:rsid w:val="00304B4F"/>
    <w:rsid w:val="00305217"/>
    <w:rsid w:val="00305CBD"/>
    <w:rsid w:val="0030616F"/>
    <w:rsid w:val="00307879"/>
    <w:rsid w:val="00307B92"/>
    <w:rsid w:val="00310004"/>
    <w:rsid w:val="0031343D"/>
    <w:rsid w:val="003137C4"/>
    <w:rsid w:val="00313FA5"/>
    <w:rsid w:val="00314855"/>
    <w:rsid w:val="00315A5E"/>
    <w:rsid w:val="00315F95"/>
    <w:rsid w:val="00317135"/>
    <w:rsid w:val="00320364"/>
    <w:rsid w:val="003215D5"/>
    <w:rsid w:val="0032570A"/>
    <w:rsid w:val="00325917"/>
    <w:rsid w:val="00326416"/>
    <w:rsid w:val="00326600"/>
    <w:rsid w:val="003276F4"/>
    <w:rsid w:val="00330C0E"/>
    <w:rsid w:val="003328E3"/>
    <w:rsid w:val="00332C18"/>
    <w:rsid w:val="003333B2"/>
    <w:rsid w:val="003336B2"/>
    <w:rsid w:val="003345AD"/>
    <w:rsid w:val="00334A75"/>
    <w:rsid w:val="00336BFA"/>
    <w:rsid w:val="00337588"/>
    <w:rsid w:val="00337BEE"/>
    <w:rsid w:val="00340490"/>
    <w:rsid w:val="0034115E"/>
    <w:rsid w:val="00341A84"/>
    <w:rsid w:val="00341E0E"/>
    <w:rsid w:val="003422A8"/>
    <w:rsid w:val="00343674"/>
    <w:rsid w:val="00343723"/>
    <w:rsid w:val="0034478E"/>
    <w:rsid w:val="00344A7E"/>
    <w:rsid w:val="003450A4"/>
    <w:rsid w:val="00345B0F"/>
    <w:rsid w:val="00347ABB"/>
    <w:rsid w:val="0035134E"/>
    <w:rsid w:val="00352C00"/>
    <w:rsid w:val="00353326"/>
    <w:rsid w:val="003549B2"/>
    <w:rsid w:val="00356BDE"/>
    <w:rsid w:val="00356FCC"/>
    <w:rsid w:val="0036164F"/>
    <w:rsid w:val="003620E8"/>
    <w:rsid w:val="003635E4"/>
    <w:rsid w:val="00365EB9"/>
    <w:rsid w:val="003662D5"/>
    <w:rsid w:val="0036671F"/>
    <w:rsid w:val="00370F82"/>
    <w:rsid w:val="003711D2"/>
    <w:rsid w:val="00372BFD"/>
    <w:rsid w:val="003738D7"/>
    <w:rsid w:val="003745B8"/>
    <w:rsid w:val="00376057"/>
    <w:rsid w:val="00377E66"/>
    <w:rsid w:val="0038067B"/>
    <w:rsid w:val="00380E36"/>
    <w:rsid w:val="00381CCC"/>
    <w:rsid w:val="003824A0"/>
    <w:rsid w:val="00382C4D"/>
    <w:rsid w:val="00383DC4"/>
    <w:rsid w:val="003853A2"/>
    <w:rsid w:val="00385467"/>
    <w:rsid w:val="00386F55"/>
    <w:rsid w:val="00387649"/>
    <w:rsid w:val="00387D3C"/>
    <w:rsid w:val="00387E30"/>
    <w:rsid w:val="00390E03"/>
    <w:rsid w:val="003910F8"/>
    <w:rsid w:val="003943DB"/>
    <w:rsid w:val="00396766"/>
    <w:rsid w:val="003A0CC0"/>
    <w:rsid w:val="003A1A21"/>
    <w:rsid w:val="003A242F"/>
    <w:rsid w:val="003A304E"/>
    <w:rsid w:val="003A3811"/>
    <w:rsid w:val="003A4399"/>
    <w:rsid w:val="003A5009"/>
    <w:rsid w:val="003A5313"/>
    <w:rsid w:val="003A6F41"/>
    <w:rsid w:val="003A7897"/>
    <w:rsid w:val="003A7A52"/>
    <w:rsid w:val="003A7BCE"/>
    <w:rsid w:val="003B0F98"/>
    <w:rsid w:val="003B4208"/>
    <w:rsid w:val="003B453E"/>
    <w:rsid w:val="003B4E3A"/>
    <w:rsid w:val="003B6084"/>
    <w:rsid w:val="003C2277"/>
    <w:rsid w:val="003C2E97"/>
    <w:rsid w:val="003C33B5"/>
    <w:rsid w:val="003C3431"/>
    <w:rsid w:val="003C4715"/>
    <w:rsid w:val="003C697C"/>
    <w:rsid w:val="003D0B6B"/>
    <w:rsid w:val="003D0CE8"/>
    <w:rsid w:val="003D0EF1"/>
    <w:rsid w:val="003D0F2C"/>
    <w:rsid w:val="003D353D"/>
    <w:rsid w:val="003D4771"/>
    <w:rsid w:val="003D4DDD"/>
    <w:rsid w:val="003D5939"/>
    <w:rsid w:val="003D6576"/>
    <w:rsid w:val="003E031C"/>
    <w:rsid w:val="003E42E2"/>
    <w:rsid w:val="003E5880"/>
    <w:rsid w:val="003E6596"/>
    <w:rsid w:val="003E77A3"/>
    <w:rsid w:val="003E7830"/>
    <w:rsid w:val="003F00C2"/>
    <w:rsid w:val="003F1FC8"/>
    <w:rsid w:val="003F470F"/>
    <w:rsid w:val="003F4811"/>
    <w:rsid w:val="003F48BE"/>
    <w:rsid w:val="003F4B98"/>
    <w:rsid w:val="003F4F0A"/>
    <w:rsid w:val="003F6D27"/>
    <w:rsid w:val="003F7214"/>
    <w:rsid w:val="003F7E97"/>
    <w:rsid w:val="00400C66"/>
    <w:rsid w:val="00400F22"/>
    <w:rsid w:val="00402180"/>
    <w:rsid w:val="004025B0"/>
    <w:rsid w:val="00404776"/>
    <w:rsid w:val="00406AB9"/>
    <w:rsid w:val="00410AB5"/>
    <w:rsid w:val="00410F9A"/>
    <w:rsid w:val="00411B3B"/>
    <w:rsid w:val="004135BC"/>
    <w:rsid w:val="0041488D"/>
    <w:rsid w:val="0041626E"/>
    <w:rsid w:val="00416274"/>
    <w:rsid w:val="00417E1D"/>
    <w:rsid w:val="004207F7"/>
    <w:rsid w:val="00421326"/>
    <w:rsid w:val="00421598"/>
    <w:rsid w:val="004231F7"/>
    <w:rsid w:val="004236DF"/>
    <w:rsid w:val="0042395B"/>
    <w:rsid w:val="004245F8"/>
    <w:rsid w:val="00424652"/>
    <w:rsid w:val="00424984"/>
    <w:rsid w:val="00425A49"/>
    <w:rsid w:val="00431D7E"/>
    <w:rsid w:val="00431E8F"/>
    <w:rsid w:val="00431E95"/>
    <w:rsid w:val="004327BE"/>
    <w:rsid w:val="004333C1"/>
    <w:rsid w:val="0043366F"/>
    <w:rsid w:val="004359C4"/>
    <w:rsid w:val="004361C2"/>
    <w:rsid w:val="004368C7"/>
    <w:rsid w:val="0043707E"/>
    <w:rsid w:val="00440B74"/>
    <w:rsid w:val="00441B20"/>
    <w:rsid w:val="00442CFF"/>
    <w:rsid w:val="00443932"/>
    <w:rsid w:val="004443B5"/>
    <w:rsid w:val="004449E6"/>
    <w:rsid w:val="0044508A"/>
    <w:rsid w:val="004459C9"/>
    <w:rsid w:val="0044618A"/>
    <w:rsid w:val="0044712B"/>
    <w:rsid w:val="00447546"/>
    <w:rsid w:val="00450346"/>
    <w:rsid w:val="00452ED5"/>
    <w:rsid w:val="004549AD"/>
    <w:rsid w:val="004553D7"/>
    <w:rsid w:val="00455A88"/>
    <w:rsid w:val="004569E6"/>
    <w:rsid w:val="00456E2D"/>
    <w:rsid w:val="00460C79"/>
    <w:rsid w:val="00462480"/>
    <w:rsid w:val="00467E13"/>
    <w:rsid w:val="00470DD5"/>
    <w:rsid w:val="00471A7E"/>
    <w:rsid w:val="0047211A"/>
    <w:rsid w:val="004732B5"/>
    <w:rsid w:val="00475C4F"/>
    <w:rsid w:val="00477C8B"/>
    <w:rsid w:val="00482130"/>
    <w:rsid w:val="004840AA"/>
    <w:rsid w:val="004846E8"/>
    <w:rsid w:val="004857D8"/>
    <w:rsid w:val="00485EE2"/>
    <w:rsid w:val="00487C1C"/>
    <w:rsid w:val="00490207"/>
    <w:rsid w:val="00490D3E"/>
    <w:rsid w:val="00494005"/>
    <w:rsid w:val="0049752C"/>
    <w:rsid w:val="004A0EA3"/>
    <w:rsid w:val="004A1FD5"/>
    <w:rsid w:val="004A2976"/>
    <w:rsid w:val="004A464E"/>
    <w:rsid w:val="004A4F0E"/>
    <w:rsid w:val="004A54B2"/>
    <w:rsid w:val="004A673F"/>
    <w:rsid w:val="004A698D"/>
    <w:rsid w:val="004A6E8E"/>
    <w:rsid w:val="004B1674"/>
    <w:rsid w:val="004B215D"/>
    <w:rsid w:val="004B2359"/>
    <w:rsid w:val="004B2C6F"/>
    <w:rsid w:val="004B2E84"/>
    <w:rsid w:val="004B2FD3"/>
    <w:rsid w:val="004B3727"/>
    <w:rsid w:val="004B4E54"/>
    <w:rsid w:val="004B58A6"/>
    <w:rsid w:val="004C0B62"/>
    <w:rsid w:val="004C1CBA"/>
    <w:rsid w:val="004C3A12"/>
    <w:rsid w:val="004C5DE2"/>
    <w:rsid w:val="004C6302"/>
    <w:rsid w:val="004D052F"/>
    <w:rsid w:val="004D084B"/>
    <w:rsid w:val="004D1461"/>
    <w:rsid w:val="004D510B"/>
    <w:rsid w:val="004D5265"/>
    <w:rsid w:val="004E0567"/>
    <w:rsid w:val="004E43E3"/>
    <w:rsid w:val="004E4668"/>
    <w:rsid w:val="004E5074"/>
    <w:rsid w:val="004E5F62"/>
    <w:rsid w:val="004E6F63"/>
    <w:rsid w:val="004E7459"/>
    <w:rsid w:val="004F04EC"/>
    <w:rsid w:val="004F2970"/>
    <w:rsid w:val="004F6EDE"/>
    <w:rsid w:val="004F70F1"/>
    <w:rsid w:val="004F722A"/>
    <w:rsid w:val="004F7F38"/>
    <w:rsid w:val="00501544"/>
    <w:rsid w:val="00502F36"/>
    <w:rsid w:val="00503FAC"/>
    <w:rsid w:val="00505165"/>
    <w:rsid w:val="00505A87"/>
    <w:rsid w:val="00510051"/>
    <w:rsid w:val="00510057"/>
    <w:rsid w:val="00510103"/>
    <w:rsid w:val="0051118B"/>
    <w:rsid w:val="005126BE"/>
    <w:rsid w:val="00513945"/>
    <w:rsid w:val="00514861"/>
    <w:rsid w:val="00514CFA"/>
    <w:rsid w:val="00514FD3"/>
    <w:rsid w:val="005171B0"/>
    <w:rsid w:val="005212FA"/>
    <w:rsid w:val="00521458"/>
    <w:rsid w:val="00522077"/>
    <w:rsid w:val="005242F5"/>
    <w:rsid w:val="0052564B"/>
    <w:rsid w:val="00527E77"/>
    <w:rsid w:val="00530C14"/>
    <w:rsid w:val="00531B47"/>
    <w:rsid w:val="00532F9D"/>
    <w:rsid w:val="00535969"/>
    <w:rsid w:val="00536184"/>
    <w:rsid w:val="00536F41"/>
    <w:rsid w:val="0053743C"/>
    <w:rsid w:val="005378DB"/>
    <w:rsid w:val="00537C99"/>
    <w:rsid w:val="00537F4A"/>
    <w:rsid w:val="00540039"/>
    <w:rsid w:val="0054003B"/>
    <w:rsid w:val="00540460"/>
    <w:rsid w:val="00541615"/>
    <w:rsid w:val="005422D5"/>
    <w:rsid w:val="00542690"/>
    <w:rsid w:val="0054345C"/>
    <w:rsid w:val="005446AA"/>
    <w:rsid w:val="00544982"/>
    <w:rsid w:val="0054518A"/>
    <w:rsid w:val="0054671E"/>
    <w:rsid w:val="0054754E"/>
    <w:rsid w:val="00547A38"/>
    <w:rsid w:val="0055081F"/>
    <w:rsid w:val="005511E3"/>
    <w:rsid w:val="00552003"/>
    <w:rsid w:val="0055225D"/>
    <w:rsid w:val="00553AF7"/>
    <w:rsid w:val="00556C77"/>
    <w:rsid w:val="00561B23"/>
    <w:rsid w:val="00561C62"/>
    <w:rsid w:val="00562160"/>
    <w:rsid w:val="005621E6"/>
    <w:rsid w:val="005632F7"/>
    <w:rsid w:val="00565B73"/>
    <w:rsid w:val="00565F8F"/>
    <w:rsid w:val="0057053E"/>
    <w:rsid w:val="005715D5"/>
    <w:rsid w:val="00572526"/>
    <w:rsid w:val="005745A0"/>
    <w:rsid w:val="005759D7"/>
    <w:rsid w:val="00575D9F"/>
    <w:rsid w:val="00576D09"/>
    <w:rsid w:val="00577EF2"/>
    <w:rsid w:val="00581A2E"/>
    <w:rsid w:val="00582AB8"/>
    <w:rsid w:val="0058518C"/>
    <w:rsid w:val="00585B08"/>
    <w:rsid w:val="00586C35"/>
    <w:rsid w:val="00590808"/>
    <w:rsid w:val="00593ADE"/>
    <w:rsid w:val="00595B06"/>
    <w:rsid w:val="00596936"/>
    <w:rsid w:val="005A0F7C"/>
    <w:rsid w:val="005A4B83"/>
    <w:rsid w:val="005A544D"/>
    <w:rsid w:val="005A7DC9"/>
    <w:rsid w:val="005B01F4"/>
    <w:rsid w:val="005B13F7"/>
    <w:rsid w:val="005B5057"/>
    <w:rsid w:val="005B5390"/>
    <w:rsid w:val="005B54F5"/>
    <w:rsid w:val="005B55F2"/>
    <w:rsid w:val="005B63EC"/>
    <w:rsid w:val="005B684C"/>
    <w:rsid w:val="005B71D2"/>
    <w:rsid w:val="005C1882"/>
    <w:rsid w:val="005C24B0"/>
    <w:rsid w:val="005C384C"/>
    <w:rsid w:val="005C3ED8"/>
    <w:rsid w:val="005C63E9"/>
    <w:rsid w:val="005D2858"/>
    <w:rsid w:val="005D30C8"/>
    <w:rsid w:val="005D3BE5"/>
    <w:rsid w:val="005D563F"/>
    <w:rsid w:val="005D6A7E"/>
    <w:rsid w:val="005D6D69"/>
    <w:rsid w:val="005D73C9"/>
    <w:rsid w:val="005D7B76"/>
    <w:rsid w:val="005D7D7B"/>
    <w:rsid w:val="005E1E87"/>
    <w:rsid w:val="005E2141"/>
    <w:rsid w:val="005E23AD"/>
    <w:rsid w:val="005E3129"/>
    <w:rsid w:val="005E3CFA"/>
    <w:rsid w:val="005E4F50"/>
    <w:rsid w:val="005E5208"/>
    <w:rsid w:val="005E5D21"/>
    <w:rsid w:val="005E7267"/>
    <w:rsid w:val="005E7950"/>
    <w:rsid w:val="005F130F"/>
    <w:rsid w:val="005F341D"/>
    <w:rsid w:val="005F5377"/>
    <w:rsid w:val="005F61FF"/>
    <w:rsid w:val="005F657A"/>
    <w:rsid w:val="005F6E57"/>
    <w:rsid w:val="005F76FC"/>
    <w:rsid w:val="005F7C8D"/>
    <w:rsid w:val="00605EC7"/>
    <w:rsid w:val="00607601"/>
    <w:rsid w:val="00607D9B"/>
    <w:rsid w:val="0061116F"/>
    <w:rsid w:val="006111CE"/>
    <w:rsid w:val="00611C8B"/>
    <w:rsid w:val="006121C5"/>
    <w:rsid w:val="0061260D"/>
    <w:rsid w:val="00614413"/>
    <w:rsid w:val="00615759"/>
    <w:rsid w:val="00615A0C"/>
    <w:rsid w:val="006178C6"/>
    <w:rsid w:val="00620661"/>
    <w:rsid w:val="00620C7F"/>
    <w:rsid w:val="00621146"/>
    <w:rsid w:val="006218FF"/>
    <w:rsid w:val="00627B3D"/>
    <w:rsid w:val="00627CED"/>
    <w:rsid w:val="006327FD"/>
    <w:rsid w:val="00633CB4"/>
    <w:rsid w:val="00641D55"/>
    <w:rsid w:val="00643050"/>
    <w:rsid w:val="006432AD"/>
    <w:rsid w:val="00644C03"/>
    <w:rsid w:val="00645511"/>
    <w:rsid w:val="00646AEE"/>
    <w:rsid w:val="00647C53"/>
    <w:rsid w:val="00650CF9"/>
    <w:rsid w:val="0065294F"/>
    <w:rsid w:val="006534FE"/>
    <w:rsid w:val="00653920"/>
    <w:rsid w:val="0065394F"/>
    <w:rsid w:val="0065439F"/>
    <w:rsid w:val="00654EFA"/>
    <w:rsid w:val="00657110"/>
    <w:rsid w:val="00663405"/>
    <w:rsid w:val="00665205"/>
    <w:rsid w:val="006654EE"/>
    <w:rsid w:val="006656C2"/>
    <w:rsid w:val="006657CD"/>
    <w:rsid w:val="00665935"/>
    <w:rsid w:val="00665AC9"/>
    <w:rsid w:val="00665AF1"/>
    <w:rsid w:val="00666402"/>
    <w:rsid w:val="006667CD"/>
    <w:rsid w:val="00666891"/>
    <w:rsid w:val="006670D5"/>
    <w:rsid w:val="00670FC5"/>
    <w:rsid w:val="006710FF"/>
    <w:rsid w:val="006720F2"/>
    <w:rsid w:val="006734D7"/>
    <w:rsid w:val="00675840"/>
    <w:rsid w:val="00675E61"/>
    <w:rsid w:val="00677DB2"/>
    <w:rsid w:val="00682E25"/>
    <w:rsid w:val="0068330B"/>
    <w:rsid w:val="0068335B"/>
    <w:rsid w:val="00684704"/>
    <w:rsid w:val="00685909"/>
    <w:rsid w:val="00685AA8"/>
    <w:rsid w:val="00686A23"/>
    <w:rsid w:val="00686A5C"/>
    <w:rsid w:val="00686AB0"/>
    <w:rsid w:val="0069396F"/>
    <w:rsid w:val="006A308B"/>
    <w:rsid w:val="006A4ABA"/>
    <w:rsid w:val="006A583E"/>
    <w:rsid w:val="006A630F"/>
    <w:rsid w:val="006A65B2"/>
    <w:rsid w:val="006A65F9"/>
    <w:rsid w:val="006B45F5"/>
    <w:rsid w:val="006B48A5"/>
    <w:rsid w:val="006B4B33"/>
    <w:rsid w:val="006B587D"/>
    <w:rsid w:val="006B7192"/>
    <w:rsid w:val="006B73A8"/>
    <w:rsid w:val="006C3714"/>
    <w:rsid w:val="006C3A22"/>
    <w:rsid w:val="006C3B27"/>
    <w:rsid w:val="006C3CDE"/>
    <w:rsid w:val="006C44C4"/>
    <w:rsid w:val="006C5B92"/>
    <w:rsid w:val="006D014F"/>
    <w:rsid w:val="006D1E09"/>
    <w:rsid w:val="006D1F26"/>
    <w:rsid w:val="006D4E33"/>
    <w:rsid w:val="006D4E7D"/>
    <w:rsid w:val="006D6B9E"/>
    <w:rsid w:val="006D7A80"/>
    <w:rsid w:val="006E0D09"/>
    <w:rsid w:val="006E1517"/>
    <w:rsid w:val="006E2358"/>
    <w:rsid w:val="006E3275"/>
    <w:rsid w:val="006E35F0"/>
    <w:rsid w:val="006E4277"/>
    <w:rsid w:val="006E6A0B"/>
    <w:rsid w:val="006E6D0A"/>
    <w:rsid w:val="006F0481"/>
    <w:rsid w:val="006F2676"/>
    <w:rsid w:val="006F26A4"/>
    <w:rsid w:val="006F2965"/>
    <w:rsid w:val="006F31FD"/>
    <w:rsid w:val="006F5F1F"/>
    <w:rsid w:val="007008D5"/>
    <w:rsid w:val="007016EC"/>
    <w:rsid w:val="00702B07"/>
    <w:rsid w:val="007036E3"/>
    <w:rsid w:val="0070508B"/>
    <w:rsid w:val="00706C16"/>
    <w:rsid w:val="00707521"/>
    <w:rsid w:val="00710159"/>
    <w:rsid w:val="00710826"/>
    <w:rsid w:val="00712622"/>
    <w:rsid w:val="00713BC3"/>
    <w:rsid w:val="007161F9"/>
    <w:rsid w:val="0071661F"/>
    <w:rsid w:val="00716C6E"/>
    <w:rsid w:val="007218CB"/>
    <w:rsid w:val="00721F44"/>
    <w:rsid w:val="00722414"/>
    <w:rsid w:val="00723533"/>
    <w:rsid w:val="007278EB"/>
    <w:rsid w:val="0073023A"/>
    <w:rsid w:val="00731486"/>
    <w:rsid w:val="007328BE"/>
    <w:rsid w:val="00732952"/>
    <w:rsid w:val="007334CE"/>
    <w:rsid w:val="00733612"/>
    <w:rsid w:val="00734193"/>
    <w:rsid w:val="007355AB"/>
    <w:rsid w:val="0073777B"/>
    <w:rsid w:val="00737FB7"/>
    <w:rsid w:val="007409E5"/>
    <w:rsid w:val="00740B48"/>
    <w:rsid w:val="00740E88"/>
    <w:rsid w:val="007415F9"/>
    <w:rsid w:val="00743C10"/>
    <w:rsid w:val="00743DA6"/>
    <w:rsid w:val="007442D5"/>
    <w:rsid w:val="007475F9"/>
    <w:rsid w:val="00747AA0"/>
    <w:rsid w:val="00747BF3"/>
    <w:rsid w:val="00750743"/>
    <w:rsid w:val="00750F59"/>
    <w:rsid w:val="00751DE4"/>
    <w:rsid w:val="00752A50"/>
    <w:rsid w:val="00753560"/>
    <w:rsid w:val="0075428B"/>
    <w:rsid w:val="00754869"/>
    <w:rsid w:val="00754E11"/>
    <w:rsid w:val="00755519"/>
    <w:rsid w:val="00755ED9"/>
    <w:rsid w:val="00765080"/>
    <w:rsid w:val="00766152"/>
    <w:rsid w:val="00766758"/>
    <w:rsid w:val="007670BD"/>
    <w:rsid w:val="007703DD"/>
    <w:rsid w:val="00771905"/>
    <w:rsid w:val="00771DE0"/>
    <w:rsid w:val="007724FA"/>
    <w:rsid w:val="00772860"/>
    <w:rsid w:val="00774DAE"/>
    <w:rsid w:val="00775A15"/>
    <w:rsid w:val="00775CD4"/>
    <w:rsid w:val="00776012"/>
    <w:rsid w:val="0077680D"/>
    <w:rsid w:val="00777178"/>
    <w:rsid w:val="00777A34"/>
    <w:rsid w:val="00780E87"/>
    <w:rsid w:val="007820DF"/>
    <w:rsid w:val="00783B3C"/>
    <w:rsid w:val="007849F7"/>
    <w:rsid w:val="00785661"/>
    <w:rsid w:val="00785D49"/>
    <w:rsid w:val="00786BDD"/>
    <w:rsid w:val="00786C8E"/>
    <w:rsid w:val="00787C7B"/>
    <w:rsid w:val="00792E60"/>
    <w:rsid w:val="00792F51"/>
    <w:rsid w:val="00793425"/>
    <w:rsid w:val="00793EB3"/>
    <w:rsid w:val="0079528D"/>
    <w:rsid w:val="007956EF"/>
    <w:rsid w:val="00795D5C"/>
    <w:rsid w:val="0079740D"/>
    <w:rsid w:val="00797EF1"/>
    <w:rsid w:val="007A0DF2"/>
    <w:rsid w:val="007A1877"/>
    <w:rsid w:val="007A36B9"/>
    <w:rsid w:val="007A3DD9"/>
    <w:rsid w:val="007B113B"/>
    <w:rsid w:val="007B2E74"/>
    <w:rsid w:val="007B314B"/>
    <w:rsid w:val="007B4624"/>
    <w:rsid w:val="007B5154"/>
    <w:rsid w:val="007B5D17"/>
    <w:rsid w:val="007B651B"/>
    <w:rsid w:val="007B7208"/>
    <w:rsid w:val="007B788E"/>
    <w:rsid w:val="007C00C3"/>
    <w:rsid w:val="007C29D2"/>
    <w:rsid w:val="007C37A3"/>
    <w:rsid w:val="007C448E"/>
    <w:rsid w:val="007C52A9"/>
    <w:rsid w:val="007C6BE6"/>
    <w:rsid w:val="007C72F9"/>
    <w:rsid w:val="007D105E"/>
    <w:rsid w:val="007D2D1D"/>
    <w:rsid w:val="007D49A6"/>
    <w:rsid w:val="007D65CE"/>
    <w:rsid w:val="007D730B"/>
    <w:rsid w:val="007D76DE"/>
    <w:rsid w:val="007D7780"/>
    <w:rsid w:val="007E053A"/>
    <w:rsid w:val="007E167D"/>
    <w:rsid w:val="007E231E"/>
    <w:rsid w:val="007E2AD6"/>
    <w:rsid w:val="007E5D29"/>
    <w:rsid w:val="007E7BD1"/>
    <w:rsid w:val="007E7F8D"/>
    <w:rsid w:val="007F23F7"/>
    <w:rsid w:val="007F2980"/>
    <w:rsid w:val="007F2EB9"/>
    <w:rsid w:val="007F501A"/>
    <w:rsid w:val="00801789"/>
    <w:rsid w:val="00801DEB"/>
    <w:rsid w:val="00802931"/>
    <w:rsid w:val="00802982"/>
    <w:rsid w:val="00803855"/>
    <w:rsid w:val="0081061F"/>
    <w:rsid w:val="00810E1C"/>
    <w:rsid w:val="00814013"/>
    <w:rsid w:val="00815B0F"/>
    <w:rsid w:val="00815DCC"/>
    <w:rsid w:val="0081788E"/>
    <w:rsid w:val="008218AD"/>
    <w:rsid w:val="008235F2"/>
    <w:rsid w:val="00823940"/>
    <w:rsid w:val="00823E5A"/>
    <w:rsid w:val="00823EB6"/>
    <w:rsid w:val="00826B14"/>
    <w:rsid w:val="00827CBF"/>
    <w:rsid w:val="00827DAC"/>
    <w:rsid w:val="00827ED7"/>
    <w:rsid w:val="008326AE"/>
    <w:rsid w:val="00833FF4"/>
    <w:rsid w:val="0083407A"/>
    <w:rsid w:val="00834A4D"/>
    <w:rsid w:val="008362D8"/>
    <w:rsid w:val="008369A6"/>
    <w:rsid w:val="00836DC2"/>
    <w:rsid w:val="00837D80"/>
    <w:rsid w:val="0084207C"/>
    <w:rsid w:val="0084241B"/>
    <w:rsid w:val="00842443"/>
    <w:rsid w:val="00845667"/>
    <w:rsid w:val="00845903"/>
    <w:rsid w:val="00845F84"/>
    <w:rsid w:val="00850245"/>
    <w:rsid w:val="0085027C"/>
    <w:rsid w:val="00851E18"/>
    <w:rsid w:val="00853B53"/>
    <w:rsid w:val="0085481A"/>
    <w:rsid w:val="00854BBD"/>
    <w:rsid w:val="00854FB9"/>
    <w:rsid w:val="0085633F"/>
    <w:rsid w:val="008564CB"/>
    <w:rsid w:val="00860043"/>
    <w:rsid w:val="00860186"/>
    <w:rsid w:val="00861C02"/>
    <w:rsid w:val="0086223E"/>
    <w:rsid w:val="0086430E"/>
    <w:rsid w:val="00864690"/>
    <w:rsid w:val="00867012"/>
    <w:rsid w:val="00867756"/>
    <w:rsid w:val="008704DD"/>
    <w:rsid w:val="00872E17"/>
    <w:rsid w:val="0087310F"/>
    <w:rsid w:val="00874EEA"/>
    <w:rsid w:val="00875790"/>
    <w:rsid w:val="00875EF2"/>
    <w:rsid w:val="00877AA2"/>
    <w:rsid w:val="008806C6"/>
    <w:rsid w:val="0088094E"/>
    <w:rsid w:val="00880D91"/>
    <w:rsid w:val="0088108A"/>
    <w:rsid w:val="00884D43"/>
    <w:rsid w:val="00890F10"/>
    <w:rsid w:val="008924B1"/>
    <w:rsid w:val="00894E0F"/>
    <w:rsid w:val="00897050"/>
    <w:rsid w:val="008A0006"/>
    <w:rsid w:val="008A0404"/>
    <w:rsid w:val="008A1FE4"/>
    <w:rsid w:val="008A2E32"/>
    <w:rsid w:val="008A30EA"/>
    <w:rsid w:val="008A3327"/>
    <w:rsid w:val="008A39D4"/>
    <w:rsid w:val="008A3DC6"/>
    <w:rsid w:val="008A429F"/>
    <w:rsid w:val="008A5582"/>
    <w:rsid w:val="008B2319"/>
    <w:rsid w:val="008B23C5"/>
    <w:rsid w:val="008B3A74"/>
    <w:rsid w:val="008B3FF0"/>
    <w:rsid w:val="008B4853"/>
    <w:rsid w:val="008B5AE7"/>
    <w:rsid w:val="008B5C54"/>
    <w:rsid w:val="008C0F81"/>
    <w:rsid w:val="008C17A9"/>
    <w:rsid w:val="008C1C10"/>
    <w:rsid w:val="008C1ECC"/>
    <w:rsid w:val="008C226A"/>
    <w:rsid w:val="008C2A22"/>
    <w:rsid w:val="008C32A8"/>
    <w:rsid w:val="008C5AE2"/>
    <w:rsid w:val="008C7693"/>
    <w:rsid w:val="008D0635"/>
    <w:rsid w:val="008D08BB"/>
    <w:rsid w:val="008D134A"/>
    <w:rsid w:val="008D216A"/>
    <w:rsid w:val="008D2F44"/>
    <w:rsid w:val="008D3640"/>
    <w:rsid w:val="008D3A23"/>
    <w:rsid w:val="008D43D6"/>
    <w:rsid w:val="008D5944"/>
    <w:rsid w:val="008D6C4C"/>
    <w:rsid w:val="008D754A"/>
    <w:rsid w:val="008E00FA"/>
    <w:rsid w:val="008E09CD"/>
    <w:rsid w:val="008E10A7"/>
    <w:rsid w:val="008E1817"/>
    <w:rsid w:val="008E30E7"/>
    <w:rsid w:val="008E31C1"/>
    <w:rsid w:val="008E7EEF"/>
    <w:rsid w:val="008F0F90"/>
    <w:rsid w:val="008F1B70"/>
    <w:rsid w:val="008F1DA5"/>
    <w:rsid w:val="008F2109"/>
    <w:rsid w:val="008F2D54"/>
    <w:rsid w:val="008F2D64"/>
    <w:rsid w:val="008F4866"/>
    <w:rsid w:val="008F5FA0"/>
    <w:rsid w:val="008F6E36"/>
    <w:rsid w:val="008F7061"/>
    <w:rsid w:val="00900B7A"/>
    <w:rsid w:val="00900BF7"/>
    <w:rsid w:val="00903444"/>
    <w:rsid w:val="0090394B"/>
    <w:rsid w:val="00904A6F"/>
    <w:rsid w:val="00905015"/>
    <w:rsid w:val="0090681B"/>
    <w:rsid w:val="00906BC2"/>
    <w:rsid w:val="00906DD4"/>
    <w:rsid w:val="0091119C"/>
    <w:rsid w:val="0091395C"/>
    <w:rsid w:val="00913BC4"/>
    <w:rsid w:val="00916218"/>
    <w:rsid w:val="009164BD"/>
    <w:rsid w:val="00916C51"/>
    <w:rsid w:val="00917EB7"/>
    <w:rsid w:val="009204FC"/>
    <w:rsid w:val="00920E20"/>
    <w:rsid w:val="009216C3"/>
    <w:rsid w:val="00922459"/>
    <w:rsid w:val="00923068"/>
    <w:rsid w:val="00923A9B"/>
    <w:rsid w:val="009240FE"/>
    <w:rsid w:val="00925A7E"/>
    <w:rsid w:val="00925B57"/>
    <w:rsid w:val="00925E4D"/>
    <w:rsid w:val="00926D47"/>
    <w:rsid w:val="00931C0B"/>
    <w:rsid w:val="009320DC"/>
    <w:rsid w:val="00932882"/>
    <w:rsid w:val="0093444A"/>
    <w:rsid w:val="009358B4"/>
    <w:rsid w:val="0093711C"/>
    <w:rsid w:val="00937938"/>
    <w:rsid w:val="009406A2"/>
    <w:rsid w:val="009419DF"/>
    <w:rsid w:val="00941B3C"/>
    <w:rsid w:val="00942812"/>
    <w:rsid w:val="0094336A"/>
    <w:rsid w:val="00945401"/>
    <w:rsid w:val="00945981"/>
    <w:rsid w:val="00945B3A"/>
    <w:rsid w:val="009460A7"/>
    <w:rsid w:val="00946A51"/>
    <w:rsid w:val="00947CD5"/>
    <w:rsid w:val="00947ED3"/>
    <w:rsid w:val="0095005D"/>
    <w:rsid w:val="009501EC"/>
    <w:rsid w:val="00954A24"/>
    <w:rsid w:val="0095605F"/>
    <w:rsid w:val="009560C1"/>
    <w:rsid w:val="00956239"/>
    <w:rsid w:val="00961065"/>
    <w:rsid w:val="00961702"/>
    <w:rsid w:val="00962AFC"/>
    <w:rsid w:val="00962BF8"/>
    <w:rsid w:val="009635BF"/>
    <w:rsid w:val="009643BC"/>
    <w:rsid w:val="00966958"/>
    <w:rsid w:val="00970F9F"/>
    <w:rsid w:val="009715C1"/>
    <w:rsid w:val="00971921"/>
    <w:rsid w:val="00972D90"/>
    <w:rsid w:val="00973AF6"/>
    <w:rsid w:val="00974815"/>
    <w:rsid w:val="009748C4"/>
    <w:rsid w:val="00975494"/>
    <w:rsid w:val="009767B7"/>
    <w:rsid w:val="00980A57"/>
    <w:rsid w:val="00980B6A"/>
    <w:rsid w:val="0098181C"/>
    <w:rsid w:val="00982F1F"/>
    <w:rsid w:val="00984745"/>
    <w:rsid w:val="00985639"/>
    <w:rsid w:val="009858B0"/>
    <w:rsid w:val="0098757E"/>
    <w:rsid w:val="00990E72"/>
    <w:rsid w:val="00992F04"/>
    <w:rsid w:val="00994071"/>
    <w:rsid w:val="0099442F"/>
    <w:rsid w:val="009A068A"/>
    <w:rsid w:val="009A0A6B"/>
    <w:rsid w:val="009A0E4F"/>
    <w:rsid w:val="009A107F"/>
    <w:rsid w:val="009A232B"/>
    <w:rsid w:val="009A269E"/>
    <w:rsid w:val="009A37CC"/>
    <w:rsid w:val="009A3E02"/>
    <w:rsid w:val="009A41C0"/>
    <w:rsid w:val="009A41CC"/>
    <w:rsid w:val="009A4473"/>
    <w:rsid w:val="009A4941"/>
    <w:rsid w:val="009A5E26"/>
    <w:rsid w:val="009A6247"/>
    <w:rsid w:val="009A6943"/>
    <w:rsid w:val="009B1DA5"/>
    <w:rsid w:val="009B2CA8"/>
    <w:rsid w:val="009B3E3B"/>
    <w:rsid w:val="009B4264"/>
    <w:rsid w:val="009B5372"/>
    <w:rsid w:val="009B58BC"/>
    <w:rsid w:val="009B6050"/>
    <w:rsid w:val="009B60FE"/>
    <w:rsid w:val="009C0945"/>
    <w:rsid w:val="009C293F"/>
    <w:rsid w:val="009C4519"/>
    <w:rsid w:val="009C4C4E"/>
    <w:rsid w:val="009C77CA"/>
    <w:rsid w:val="009C793B"/>
    <w:rsid w:val="009D05F0"/>
    <w:rsid w:val="009D27C2"/>
    <w:rsid w:val="009D3B8F"/>
    <w:rsid w:val="009D3F13"/>
    <w:rsid w:val="009D789D"/>
    <w:rsid w:val="009E059A"/>
    <w:rsid w:val="009E361C"/>
    <w:rsid w:val="009E3ED4"/>
    <w:rsid w:val="009E6506"/>
    <w:rsid w:val="009E7377"/>
    <w:rsid w:val="009E7833"/>
    <w:rsid w:val="009F07C4"/>
    <w:rsid w:val="009F0C57"/>
    <w:rsid w:val="009F3BF3"/>
    <w:rsid w:val="009F6B6F"/>
    <w:rsid w:val="00A02372"/>
    <w:rsid w:val="00A02E14"/>
    <w:rsid w:val="00A042DB"/>
    <w:rsid w:val="00A04F2A"/>
    <w:rsid w:val="00A0738B"/>
    <w:rsid w:val="00A078D6"/>
    <w:rsid w:val="00A1097E"/>
    <w:rsid w:val="00A10BBA"/>
    <w:rsid w:val="00A10E9F"/>
    <w:rsid w:val="00A111B0"/>
    <w:rsid w:val="00A124CB"/>
    <w:rsid w:val="00A1332E"/>
    <w:rsid w:val="00A13695"/>
    <w:rsid w:val="00A13C9A"/>
    <w:rsid w:val="00A21502"/>
    <w:rsid w:val="00A21D54"/>
    <w:rsid w:val="00A24E04"/>
    <w:rsid w:val="00A25D21"/>
    <w:rsid w:val="00A303D6"/>
    <w:rsid w:val="00A3206E"/>
    <w:rsid w:val="00A32E08"/>
    <w:rsid w:val="00A337F3"/>
    <w:rsid w:val="00A34B9F"/>
    <w:rsid w:val="00A3578B"/>
    <w:rsid w:val="00A359E0"/>
    <w:rsid w:val="00A35E8E"/>
    <w:rsid w:val="00A36F59"/>
    <w:rsid w:val="00A3716A"/>
    <w:rsid w:val="00A40015"/>
    <w:rsid w:val="00A409DE"/>
    <w:rsid w:val="00A40CBB"/>
    <w:rsid w:val="00A42141"/>
    <w:rsid w:val="00A431AC"/>
    <w:rsid w:val="00A44119"/>
    <w:rsid w:val="00A44F49"/>
    <w:rsid w:val="00A4504E"/>
    <w:rsid w:val="00A46B91"/>
    <w:rsid w:val="00A52907"/>
    <w:rsid w:val="00A54DF4"/>
    <w:rsid w:val="00A55956"/>
    <w:rsid w:val="00A5629F"/>
    <w:rsid w:val="00A60068"/>
    <w:rsid w:val="00A60B00"/>
    <w:rsid w:val="00A61D1D"/>
    <w:rsid w:val="00A6360D"/>
    <w:rsid w:val="00A638FD"/>
    <w:rsid w:val="00A64461"/>
    <w:rsid w:val="00A64DE1"/>
    <w:rsid w:val="00A65353"/>
    <w:rsid w:val="00A65ABD"/>
    <w:rsid w:val="00A66F18"/>
    <w:rsid w:val="00A67C8D"/>
    <w:rsid w:val="00A70560"/>
    <w:rsid w:val="00A708B9"/>
    <w:rsid w:val="00A71994"/>
    <w:rsid w:val="00A7462E"/>
    <w:rsid w:val="00A77847"/>
    <w:rsid w:val="00A805B8"/>
    <w:rsid w:val="00A83052"/>
    <w:rsid w:val="00A867E6"/>
    <w:rsid w:val="00A87FFE"/>
    <w:rsid w:val="00A91757"/>
    <w:rsid w:val="00A923AB"/>
    <w:rsid w:val="00A9259F"/>
    <w:rsid w:val="00A93188"/>
    <w:rsid w:val="00A93B64"/>
    <w:rsid w:val="00A941D0"/>
    <w:rsid w:val="00A95BBC"/>
    <w:rsid w:val="00A95DFF"/>
    <w:rsid w:val="00A969CD"/>
    <w:rsid w:val="00AA02A2"/>
    <w:rsid w:val="00AA1A98"/>
    <w:rsid w:val="00AA2863"/>
    <w:rsid w:val="00AA3460"/>
    <w:rsid w:val="00AA4129"/>
    <w:rsid w:val="00AA4AEA"/>
    <w:rsid w:val="00AA4DDD"/>
    <w:rsid w:val="00AA57C8"/>
    <w:rsid w:val="00AA668B"/>
    <w:rsid w:val="00AB1209"/>
    <w:rsid w:val="00AB1EE0"/>
    <w:rsid w:val="00AB21EA"/>
    <w:rsid w:val="00AB3E1C"/>
    <w:rsid w:val="00AB4E3F"/>
    <w:rsid w:val="00AB54B1"/>
    <w:rsid w:val="00AB6129"/>
    <w:rsid w:val="00AB7BE8"/>
    <w:rsid w:val="00AC323C"/>
    <w:rsid w:val="00AC38B1"/>
    <w:rsid w:val="00AD0687"/>
    <w:rsid w:val="00AD2036"/>
    <w:rsid w:val="00AD301C"/>
    <w:rsid w:val="00AD4F31"/>
    <w:rsid w:val="00AD62AB"/>
    <w:rsid w:val="00AD6C30"/>
    <w:rsid w:val="00AD71D7"/>
    <w:rsid w:val="00AE0598"/>
    <w:rsid w:val="00AE2B50"/>
    <w:rsid w:val="00AE4B94"/>
    <w:rsid w:val="00AE4EE0"/>
    <w:rsid w:val="00AE5311"/>
    <w:rsid w:val="00AF1F30"/>
    <w:rsid w:val="00AF2C1F"/>
    <w:rsid w:val="00AF2D2A"/>
    <w:rsid w:val="00AF657B"/>
    <w:rsid w:val="00AF6A66"/>
    <w:rsid w:val="00AF762A"/>
    <w:rsid w:val="00B00102"/>
    <w:rsid w:val="00B002C8"/>
    <w:rsid w:val="00B01D32"/>
    <w:rsid w:val="00B01E59"/>
    <w:rsid w:val="00B02DE7"/>
    <w:rsid w:val="00B034DF"/>
    <w:rsid w:val="00B03523"/>
    <w:rsid w:val="00B05F71"/>
    <w:rsid w:val="00B0778B"/>
    <w:rsid w:val="00B10B57"/>
    <w:rsid w:val="00B12039"/>
    <w:rsid w:val="00B15842"/>
    <w:rsid w:val="00B165E6"/>
    <w:rsid w:val="00B16C66"/>
    <w:rsid w:val="00B16FF5"/>
    <w:rsid w:val="00B17B26"/>
    <w:rsid w:val="00B17E9D"/>
    <w:rsid w:val="00B20023"/>
    <w:rsid w:val="00B234AB"/>
    <w:rsid w:val="00B23698"/>
    <w:rsid w:val="00B2390C"/>
    <w:rsid w:val="00B243D2"/>
    <w:rsid w:val="00B253B3"/>
    <w:rsid w:val="00B360A8"/>
    <w:rsid w:val="00B37FCA"/>
    <w:rsid w:val="00B430DB"/>
    <w:rsid w:val="00B434DF"/>
    <w:rsid w:val="00B43CBA"/>
    <w:rsid w:val="00B446FF"/>
    <w:rsid w:val="00B449D4"/>
    <w:rsid w:val="00B44ED5"/>
    <w:rsid w:val="00B4696E"/>
    <w:rsid w:val="00B46BA0"/>
    <w:rsid w:val="00B50690"/>
    <w:rsid w:val="00B50B60"/>
    <w:rsid w:val="00B511FC"/>
    <w:rsid w:val="00B5286D"/>
    <w:rsid w:val="00B52EA3"/>
    <w:rsid w:val="00B53F40"/>
    <w:rsid w:val="00B5601D"/>
    <w:rsid w:val="00B60083"/>
    <w:rsid w:val="00B61103"/>
    <w:rsid w:val="00B618CE"/>
    <w:rsid w:val="00B62063"/>
    <w:rsid w:val="00B62F5D"/>
    <w:rsid w:val="00B636D8"/>
    <w:rsid w:val="00B63F51"/>
    <w:rsid w:val="00B640D5"/>
    <w:rsid w:val="00B65702"/>
    <w:rsid w:val="00B6718D"/>
    <w:rsid w:val="00B70C81"/>
    <w:rsid w:val="00B7194D"/>
    <w:rsid w:val="00B71D42"/>
    <w:rsid w:val="00B726AC"/>
    <w:rsid w:val="00B72AF8"/>
    <w:rsid w:val="00B72E42"/>
    <w:rsid w:val="00B733D0"/>
    <w:rsid w:val="00B73A43"/>
    <w:rsid w:val="00B75B55"/>
    <w:rsid w:val="00B75D25"/>
    <w:rsid w:val="00B804E8"/>
    <w:rsid w:val="00B80829"/>
    <w:rsid w:val="00B80FE5"/>
    <w:rsid w:val="00B8151D"/>
    <w:rsid w:val="00B821A9"/>
    <w:rsid w:val="00B824F4"/>
    <w:rsid w:val="00B82C51"/>
    <w:rsid w:val="00B83145"/>
    <w:rsid w:val="00B8458C"/>
    <w:rsid w:val="00B84E5E"/>
    <w:rsid w:val="00B87842"/>
    <w:rsid w:val="00B914DB"/>
    <w:rsid w:val="00B9194C"/>
    <w:rsid w:val="00B9232E"/>
    <w:rsid w:val="00B92897"/>
    <w:rsid w:val="00B95A73"/>
    <w:rsid w:val="00B9684C"/>
    <w:rsid w:val="00B97FA6"/>
    <w:rsid w:val="00BA1466"/>
    <w:rsid w:val="00BA2CBE"/>
    <w:rsid w:val="00BA4290"/>
    <w:rsid w:val="00BA45F4"/>
    <w:rsid w:val="00BA4D6B"/>
    <w:rsid w:val="00BA6542"/>
    <w:rsid w:val="00BB0934"/>
    <w:rsid w:val="00BB245A"/>
    <w:rsid w:val="00BB34FE"/>
    <w:rsid w:val="00BB3FE9"/>
    <w:rsid w:val="00BB43DB"/>
    <w:rsid w:val="00BB53F6"/>
    <w:rsid w:val="00BB6411"/>
    <w:rsid w:val="00BB678E"/>
    <w:rsid w:val="00BB6D2E"/>
    <w:rsid w:val="00BC088E"/>
    <w:rsid w:val="00BC2F5B"/>
    <w:rsid w:val="00BC3EBB"/>
    <w:rsid w:val="00BC5637"/>
    <w:rsid w:val="00BD0A63"/>
    <w:rsid w:val="00BD1431"/>
    <w:rsid w:val="00BD327F"/>
    <w:rsid w:val="00BD722C"/>
    <w:rsid w:val="00BD7A0A"/>
    <w:rsid w:val="00BE2A71"/>
    <w:rsid w:val="00BE35EC"/>
    <w:rsid w:val="00BE7347"/>
    <w:rsid w:val="00BE7517"/>
    <w:rsid w:val="00BF1C5E"/>
    <w:rsid w:val="00BF1EE0"/>
    <w:rsid w:val="00BF273D"/>
    <w:rsid w:val="00BF2F8E"/>
    <w:rsid w:val="00BF3564"/>
    <w:rsid w:val="00BF564A"/>
    <w:rsid w:val="00BF7558"/>
    <w:rsid w:val="00C00D72"/>
    <w:rsid w:val="00C00F27"/>
    <w:rsid w:val="00C01045"/>
    <w:rsid w:val="00C036D5"/>
    <w:rsid w:val="00C040D8"/>
    <w:rsid w:val="00C044AA"/>
    <w:rsid w:val="00C04907"/>
    <w:rsid w:val="00C05CEC"/>
    <w:rsid w:val="00C06F81"/>
    <w:rsid w:val="00C11F2C"/>
    <w:rsid w:val="00C1224E"/>
    <w:rsid w:val="00C13095"/>
    <w:rsid w:val="00C13DCD"/>
    <w:rsid w:val="00C167F3"/>
    <w:rsid w:val="00C16D37"/>
    <w:rsid w:val="00C22B14"/>
    <w:rsid w:val="00C23724"/>
    <w:rsid w:val="00C23747"/>
    <w:rsid w:val="00C23E04"/>
    <w:rsid w:val="00C24CFC"/>
    <w:rsid w:val="00C264C8"/>
    <w:rsid w:val="00C26989"/>
    <w:rsid w:val="00C30910"/>
    <w:rsid w:val="00C3121A"/>
    <w:rsid w:val="00C3182B"/>
    <w:rsid w:val="00C33B4F"/>
    <w:rsid w:val="00C341EA"/>
    <w:rsid w:val="00C36017"/>
    <w:rsid w:val="00C37089"/>
    <w:rsid w:val="00C37359"/>
    <w:rsid w:val="00C3798B"/>
    <w:rsid w:val="00C37A54"/>
    <w:rsid w:val="00C4079F"/>
    <w:rsid w:val="00C40FE1"/>
    <w:rsid w:val="00C40FEC"/>
    <w:rsid w:val="00C411F0"/>
    <w:rsid w:val="00C42584"/>
    <w:rsid w:val="00C431BA"/>
    <w:rsid w:val="00C4389A"/>
    <w:rsid w:val="00C43AE0"/>
    <w:rsid w:val="00C4468B"/>
    <w:rsid w:val="00C44B61"/>
    <w:rsid w:val="00C45E50"/>
    <w:rsid w:val="00C46930"/>
    <w:rsid w:val="00C47181"/>
    <w:rsid w:val="00C47395"/>
    <w:rsid w:val="00C47A6D"/>
    <w:rsid w:val="00C47E54"/>
    <w:rsid w:val="00C50591"/>
    <w:rsid w:val="00C5085C"/>
    <w:rsid w:val="00C53E4A"/>
    <w:rsid w:val="00C547AF"/>
    <w:rsid w:val="00C55344"/>
    <w:rsid w:val="00C55700"/>
    <w:rsid w:val="00C55701"/>
    <w:rsid w:val="00C578D1"/>
    <w:rsid w:val="00C57921"/>
    <w:rsid w:val="00C57D3F"/>
    <w:rsid w:val="00C6045E"/>
    <w:rsid w:val="00C6177E"/>
    <w:rsid w:val="00C64F9F"/>
    <w:rsid w:val="00C65262"/>
    <w:rsid w:val="00C65BF0"/>
    <w:rsid w:val="00C66209"/>
    <w:rsid w:val="00C66CE9"/>
    <w:rsid w:val="00C67568"/>
    <w:rsid w:val="00C706AC"/>
    <w:rsid w:val="00C70897"/>
    <w:rsid w:val="00C70C44"/>
    <w:rsid w:val="00C711B6"/>
    <w:rsid w:val="00C72905"/>
    <w:rsid w:val="00C74E9D"/>
    <w:rsid w:val="00C75611"/>
    <w:rsid w:val="00C769F1"/>
    <w:rsid w:val="00C803B9"/>
    <w:rsid w:val="00C81038"/>
    <w:rsid w:val="00C84CB6"/>
    <w:rsid w:val="00C8556B"/>
    <w:rsid w:val="00C85D7E"/>
    <w:rsid w:val="00C86770"/>
    <w:rsid w:val="00C86848"/>
    <w:rsid w:val="00C86C67"/>
    <w:rsid w:val="00C87531"/>
    <w:rsid w:val="00C91744"/>
    <w:rsid w:val="00C919A0"/>
    <w:rsid w:val="00C91EFB"/>
    <w:rsid w:val="00C92B32"/>
    <w:rsid w:val="00C92C2D"/>
    <w:rsid w:val="00C92F29"/>
    <w:rsid w:val="00C932E7"/>
    <w:rsid w:val="00C944E3"/>
    <w:rsid w:val="00C96C8B"/>
    <w:rsid w:val="00C974CD"/>
    <w:rsid w:val="00CA1388"/>
    <w:rsid w:val="00CA1CF4"/>
    <w:rsid w:val="00CA311B"/>
    <w:rsid w:val="00CA3A03"/>
    <w:rsid w:val="00CA40A6"/>
    <w:rsid w:val="00CA596D"/>
    <w:rsid w:val="00CA5AA1"/>
    <w:rsid w:val="00CA7984"/>
    <w:rsid w:val="00CA7A6A"/>
    <w:rsid w:val="00CB02D6"/>
    <w:rsid w:val="00CB0F99"/>
    <w:rsid w:val="00CB128A"/>
    <w:rsid w:val="00CB27B8"/>
    <w:rsid w:val="00CB2FA4"/>
    <w:rsid w:val="00CB3084"/>
    <w:rsid w:val="00CB3C95"/>
    <w:rsid w:val="00CB50D6"/>
    <w:rsid w:val="00CB6492"/>
    <w:rsid w:val="00CB7A59"/>
    <w:rsid w:val="00CC0027"/>
    <w:rsid w:val="00CC3C06"/>
    <w:rsid w:val="00CC3C6B"/>
    <w:rsid w:val="00CC6049"/>
    <w:rsid w:val="00CD043E"/>
    <w:rsid w:val="00CD289A"/>
    <w:rsid w:val="00CD2F1A"/>
    <w:rsid w:val="00CD3DFE"/>
    <w:rsid w:val="00CD3F0C"/>
    <w:rsid w:val="00CD42FA"/>
    <w:rsid w:val="00CD48DE"/>
    <w:rsid w:val="00CD5C42"/>
    <w:rsid w:val="00CD7B94"/>
    <w:rsid w:val="00CE0B77"/>
    <w:rsid w:val="00CE0D15"/>
    <w:rsid w:val="00CE2249"/>
    <w:rsid w:val="00CE3A5A"/>
    <w:rsid w:val="00CE5211"/>
    <w:rsid w:val="00CE57C8"/>
    <w:rsid w:val="00CE589A"/>
    <w:rsid w:val="00CE6BAB"/>
    <w:rsid w:val="00CE6DBC"/>
    <w:rsid w:val="00CE719C"/>
    <w:rsid w:val="00CF0600"/>
    <w:rsid w:val="00CF1B53"/>
    <w:rsid w:val="00CF4E13"/>
    <w:rsid w:val="00CF5737"/>
    <w:rsid w:val="00CF6C71"/>
    <w:rsid w:val="00CF77A3"/>
    <w:rsid w:val="00CF7A82"/>
    <w:rsid w:val="00D008E6"/>
    <w:rsid w:val="00D00DDB"/>
    <w:rsid w:val="00D01FF5"/>
    <w:rsid w:val="00D028C1"/>
    <w:rsid w:val="00D04391"/>
    <w:rsid w:val="00D05AE5"/>
    <w:rsid w:val="00D06D05"/>
    <w:rsid w:val="00D06EF3"/>
    <w:rsid w:val="00D079DA"/>
    <w:rsid w:val="00D10CA5"/>
    <w:rsid w:val="00D10CBA"/>
    <w:rsid w:val="00D13072"/>
    <w:rsid w:val="00D16C4E"/>
    <w:rsid w:val="00D16F8F"/>
    <w:rsid w:val="00D17B9F"/>
    <w:rsid w:val="00D213A2"/>
    <w:rsid w:val="00D217E9"/>
    <w:rsid w:val="00D21DC9"/>
    <w:rsid w:val="00D22861"/>
    <w:rsid w:val="00D22B74"/>
    <w:rsid w:val="00D23227"/>
    <w:rsid w:val="00D2358B"/>
    <w:rsid w:val="00D236A4"/>
    <w:rsid w:val="00D27BDE"/>
    <w:rsid w:val="00D27F72"/>
    <w:rsid w:val="00D30E85"/>
    <w:rsid w:val="00D32E00"/>
    <w:rsid w:val="00D332D6"/>
    <w:rsid w:val="00D34D78"/>
    <w:rsid w:val="00D34F46"/>
    <w:rsid w:val="00D378C4"/>
    <w:rsid w:val="00D4050B"/>
    <w:rsid w:val="00D41309"/>
    <w:rsid w:val="00D449AF"/>
    <w:rsid w:val="00D44F94"/>
    <w:rsid w:val="00D45142"/>
    <w:rsid w:val="00D457EF"/>
    <w:rsid w:val="00D46676"/>
    <w:rsid w:val="00D46B7C"/>
    <w:rsid w:val="00D47FF3"/>
    <w:rsid w:val="00D508A5"/>
    <w:rsid w:val="00D5108B"/>
    <w:rsid w:val="00D51385"/>
    <w:rsid w:val="00D51931"/>
    <w:rsid w:val="00D52A88"/>
    <w:rsid w:val="00D52B61"/>
    <w:rsid w:val="00D5314C"/>
    <w:rsid w:val="00D5334E"/>
    <w:rsid w:val="00D5409F"/>
    <w:rsid w:val="00D56159"/>
    <w:rsid w:val="00D5779B"/>
    <w:rsid w:val="00D57E10"/>
    <w:rsid w:val="00D61564"/>
    <w:rsid w:val="00D61641"/>
    <w:rsid w:val="00D618BC"/>
    <w:rsid w:val="00D62E9F"/>
    <w:rsid w:val="00D6310A"/>
    <w:rsid w:val="00D6506B"/>
    <w:rsid w:val="00D654DE"/>
    <w:rsid w:val="00D65AD1"/>
    <w:rsid w:val="00D65B9F"/>
    <w:rsid w:val="00D6723E"/>
    <w:rsid w:val="00D67622"/>
    <w:rsid w:val="00D71FF9"/>
    <w:rsid w:val="00D720CA"/>
    <w:rsid w:val="00D72AAF"/>
    <w:rsid w:val="00D745D8"/>
    <w:rsid w:val="00D80954"/>
    <w:rsid w:val="00D812F8"/>
    <w:rsid w:val="00D82DA4"/>
    <w:rsid w:val="00D83113"/>
    <w:rsid w:val="00D8389E"/>
    <w:rsid w:val="00D84117"/>
    <w:rsid w:val="00D841E3"/>
    <w:rsid w:val="00D8459B"/>
    <w:rsid w:val="00D85EF3"/>
    <w:rsid w:val="00D87D92"/>
    <w:rsid w:val="00D901C5"/>
    <w:rsid w:val="00D9028F"/>
    <w:rsid w:val="00D90609"/>
    <w:rsid w:val="00D91228"/>
    <w:rsid w:val="00D91AD5"/>
    <w:rsid w:val="00D91E09"/>
    <w:rsid w:val="00D92366"/>
    <w:rsid w:val="00D94601"/>
    <w:rsid w:val="00D96E69"/>
    <w:rsid w:val="00DA3063"/>
    <w:rsid w:val="00DA3A0D"/>
    <w:rsid w:val="00DA441B"/>
    <w:rsid w:val="00DA6630"/>
    <w:rsid w:val="00DA7008"/>
    <w:rsid w:val="00DA78AE"/>
    <w:rsid w:val="00DA7A31"/>
    <w:rsid w:val="00DA7CD0"/>
    <w:rsid w:val="00DB0124"/>
    <w:rsid w:val="00DB0A82"/>
    <w:rsid w:val="00DB103A"/>
    <w:rsid w:val="00DB1EDD"/>
    <w:rsid w:val="00DB2754"/>
    <w:rsid w:val="00DB3845"/>
    <w:rsid w:val="00DB4197"/>
    <w:rsid w:val="00DB69B6"/>
    <w:rsid w:val="00DB6B3B"/>
    <w:rsid w:val="00DB6CEA"/>
    <w:rsid w:val="00DB6DA0"/>
    <w:rsid w:val="00DB6EEF"/>
    <w:rsid w:val="00DC0774"/>
    <w:rsid w:val="00DC211F"/>
    <w:rsid w:val="00DC2226"/>
    <w:rsid w:val="00DC2D8D"/>
    <w:rsid w:val="00DC58BA"/>
    <w:rsid w:val="00DC5D0B"/>
    <w:rsid w:val="00DD0AAC"/>
    <w:rsid w:val="00DD1759"/>
    <w:rsid w:val="00DD2925"/>
    <w:rsid w:val="00DD3DC5"/>
    <w:rsid w:val="00DD58F4"/>
    <w:rsid w:val="00DD679C"/>
    <w:rsid w:val="00DD7E43"/>
    <w:rsid w:val="00DE0181"/>
    <w:rsid w:val="00DE07C0"/>
    <w:rsid w:val="00DE0945"/>
    <w:rsid w:val="00DE229F"/>
    <w:rsid w:val="00DE2384"/>
    <w:rsid w:val="00DE3B23"/>
    <w:rsid w:val="00DE7461"/>
    <w:rsid w:val="00DF0325"/>
    <w:rsid w:val="00DF125A"/>
    <w:rsid w:val="00DF1450"/>
    <w:rsid w:val="00DF1FD0"/>
    <w:rsid w:val="00DF5089"/>
    <w:rsid w:val="00DF51BD"/>
    <w:rsid w:val="00DF5953"/>
    <w:rsid w:val="00DF6115"/>
    <w:rsid w:val="00DF7E5D"/>
    <w:rsid w:val="00E04553"/>
    <w:rsid w:val="00E048AD"/>
    <w:rsid w:val="00E05CE1"/>
    <w:rsid w:val="00E11282"/>
    <w:rsid w:val="00E11F11"/>
    <w:rsid w:val="00E12F42"/>
    <w:rsid w:val="00E13BFD"/>
    <w:rsid w:val="00E13DF6"/>
    <w:rsid w:val="00E13F54"/>
    <w:rsid w:val="00E140C3"/>
    <w:rsid w:val="00E1516B"/>
    <w:rsid w:val="00E16F6F"/>
    <w:rsid w:val="00E211CC"/>
    <w:rsid w:val="00E212E6"/>
    <w:rsid w:val="00E21A82"/>
    <w:rsid w:val="00E21E9E"/>
    <w:rsid w:val="00E2380B"/>
    <w:rsid w:val="00E238CB"/>
    <w:rsid w:val="00E2407D"/>
    <w:rsid w:val="00E24424"/>
    <w:rsid w:val="00E24D75"/>
    <w:rsid w:val="00E25052"/>
    <w:rsid w:val="00E26281"/>
    <w:rsid w:val="00E300F6"/>
    <w:rsid w:val="00E31160"/>
    <w:rsid w:val="00E34D53"/>
    <w:rsid w:val="00E35D22"/>
    <w:rsid w:val="00E35E3C"/>
    <w:rsid w:val="00E40138"/>
    <w:rsid w:val="00E4161B"/>
    <w:rsid w:val="00E434DD"/>
    <w:rsid w:val="00E43FC9"/>
    <w:rsid w:val="00E45662"/>
    <w:rsid w:val="00E459CD"/>
    <w:rsid w:val="00E47F38"/>
    <w:rsid w:val="00E506DF"/>
    <w:rsid w:val="00E52CAF"/>
    <w:rsid w:val="00E55EA1"/>
    <w:rsid w:val="00E573B9"/>
    <w:rsid w:val="00E606B4"/>
    <w:rsid w:val="00E628EE"/>
    <w:rsid w:val="00E65A3E"/>
    <w:rsid w:val="00E66558"/>
    <w:rsid w:val="00E7202D"/>
    <w:rsid w:val="00E736D2"/>
    <w:rsid w:val="00E75090"/>
    <w:rsid w:val="00E76883"/>
    <w:rsid w:val="00E77A0E"/>
    <w:rsid w:val="00E83A0A"/>
    <w:rsid w:val="00E83C7A"/>
    <w:rsid w:val="00E875BB"/>
    <w:rsid w:val="00E87BCD"/>
    <w:rsid w:val="00E90231"/>
    <w:rsid w:val="00E907D4"/>
    <w:rsid w:val="00E91236"/>
    <w:rsid w:val="00E915A4"/>
    <w:rsid w:val="00E93A14"/>
    <w:rsid w:val="00E940FE"/>
    <w:rsid w:val="00E94162"/>
    <w:rsid w:val="00E953F1"/>
    <w:rsid w:val="00E95840"/>
    <w:rsid w:val="00E95A6C"/>
    <w:rsid w:val="00E95C8C"/>
    <w:rsid w:val="00E96E7E"/>
    <w:rsid w:val="00E9700D"/>
    <w:rsid w:val="00E97611"/>
    <w:rsid w:val="00E97C53"/>
    <w:rsid w:val="00EA14F8"/>
    <w:rsid w:val="00EA1D02"/>
    <w:rsid w:val="00EA21D7"/>
    <w:rsid w:val="00EA2251"/>
    <w:rsid w:val="00EA3EEF"/>
    <w:rsid w:val="00EA3F13"/>
    <w:rsid w:val="00EA5224"/>
    <w:rsid w:val="00EA5AE7"/>
    <w:rsid w:val="00EA5BC0"/>
    <w:rsid w:val="00EA5D11"/>
    <w:rsid w:val="00EB0A0A"/>
    <w:rsid w:val="00EB4DE0"/>
    <w:rsid w:val="00EB5FCC"/>
    <w:rsid w:val="00EB6307"/>
    <w:rsid w:val="00EB690B"/>
    <w:rsid w:val="00EB69B9"/>
    <w:rsid w:val="00EB6D24"/>
    <w:rsid w:val="00EB74EF"/>
    <w:rsid w:val="00EB7FE0"/>
    <w:rsid w:val="00EC03A2"/>
    <w:rsid w:val="00EC08BD"/>
    <w:rsid w:val="00EC190C"/>
    <w:rsid w:val="00EC2BA5"/>
    <w:rsid w:val="00EC3FD8"/>
    <w:rsid w:val="00EC51E2"/>
    <w:rsid w:val="00EC5538"/>
    <w:rsid w:val="00ED0630"/>
    <w:rsid w:val="00ED085B"/>
    <w:rsid w:val="00ED0E28"/>
    <w:rsid w:val="00ED190E"/>
    <w:rsid w:val="00ED27B2"/>
    <w:rsid w:val="00ED34DB"/>
    <w:rsid w:val="00ED4AEE"/>
    <w:rsid w:val="00ED4F62"/>
    <w:rsid w:val="00ED5384"/>
    <w:rsid w:val="00ED62D3"/>
    <w:rsid w:val="00ED6740"/>
    <w:rsid w:val="00ED75B9"/>
    <w:rsid w:val="00ED7760"/>
    <w:rsid w:val="00ED7B5F"/>
    <w:rsid w:val="00EE0A3C"/>
    <w:rsid w:val="00EE5AC6"/>
    <w:rsid w:val="00EF0342"/>
    <w:rsid w:val="00EF099E"/>
    <w:rsid w:val="00EF50CD"/>
    <w:rsid w:val="00EF6DDB"/>
    <w:rsid w:val="00EF7FEB"/>
    <w:rsid w:val="00F01693"/>
    <w:rsid w:val="00F01BA2"/>
    <w:rsid w:val="00F035C7"/>
    <w:rsid w:val="00F0392C"/>
    <w:rsid w:val="00F05709"/>
    <w:rsid w:val="00F06C89"/>
    <w:rsid w:val="00F0795B"/>
    <w:rsid w:val="00F07D66"/>
    <w:rsid w:val="00F1061C"/>
    <w:rsid w:val="00F11328"/>
    <w:rsid w:val="00F132A1"/>
    <w:rsid w:val="00F132F3"/>
    <w:rsid w:val="00F15CEA"/>
    <w:rsid w:val="00F2095E"/>
    <w:rsid w:val="00F22358"/>
    <w:rsid w:val="00F23974"/>
    <w:rsid w:val="00F23BB0"/>
    <w:rsid w:val="00F23C33"/>
    <w:rsid w:val="00F27CD9"/>
    <w:rsid w:val="00F30B3B"/>
    <w:rsid w:val="00F30BFE"/>
    <w:rsid w:val="00F31F2D"/>
    <w:rsid w:val="00F32E4F"/>
    <w:rsid w:val="00F333AF"/>
    <w:rsid w:val="00F35167"/>
    <w:rsid w:val="00F351F8"/>
    <w:rsid w:val="00F36ADB"/>
    <w:rsid w:val="00F3722E"/>
    <w:rsid w:val="00F37285"/>
    <w:rsid w:val="00F40530"/>
    <w:rsid w:val="00F421EE"/>
    <w:rsid w:val="00F42514"/>
    <w:rsid w:val="00F428D9"/>
    <w:rsid w:val="00F43451"/>
    <w:rsid w:val="00F43B1A"/>
    <w:rsid w:val="00F443DF"/>
    <w:rsid w:val="00F47E5F"/>
    <w:rsid w:val="00F503E1"/>
    <w:rsid w:val="00F5203B"/>
    <w:rsid w:val="00F52BF6"/>
    <w:rsid w:val="00F538FE"/>
    <w:rsid w:val="00F556D5"/>
    <w:rsid w:val="00F57128"/>
    <w:rsid w:val="00F57841"/>
    <w:rsid w:val="00F60330"/>
    <w:rsid w:val="00F60399"/>
    <w:rsid w:val="00F605E0"/>
    <w:rsid w:val="00F6074A"/>
    <w:rsid w:val="00F60F34"/>
    <w:rsid w:val="00F60F5D"/>
    <w:rsid w:val="00F610BC"/>
    <w:rsid w:val="00F63EB4"/>
    <w:rsid w:val="00F642D8"/>
    <w:rsid w:val="00F650C4"/>
    <w:rsid w:val="00F65194"/>
    <w:rsid w:val="00F651E2"/>
    <w:rsid w:val="00F65CF4"/>
    <w:rsid w:val="00F66BE9"/>
    <w:rsid w:val="00F67B6B"/>
    <w:rsid w:val="00F67C6B"/>
    <w:rsid w:val="00F7205B"/>
    <w:rsid w:val="00F724C3"/>
    <w:rsid w:val="00F72A83"/>
    <w:rsid w:val="00F73258"/>
    <w:rsid w:val="00F73C36"/>
    <w:rsid w:val="00F73FDA"/>
    <w:rsid w:val="00F74307"/>
    <w:rsid w:val="00F7431F"/>
    <w:rsid w:val="00F75A6C"/>
    <w:rsid w:val="00F77360"/>
    <w:rsid w:val="00F778A5"/>
    <w:rsid w:val="00F807BC"/>
    <w:rsid w:val="00F85DBD"/>
    <w:rsid w:val="00F867F8"/>
    <w:rsid w:val="00F86C07"/>
    <w:rsid w:val="00F90652"/>
    <w:rsid w:val="00F908C3"/>
    <w:rsid w:val="00F91138"/>
    <w:rsid w:val="00F9121D"/>
    <w:rsid w:val="00F9186B"/>
    <w:rsid w:val="00F93119"/>
    <w:rsid w:val="00F97768"/>
    <w:rsid w:val="00F97A51"/>
    <w:rsid w:val="00FA1D49"/>
    <w:rsid w:val="00FA2293"/>
    <w:rsid w:val="00FA2A25"/>
    <w:rsid w:val="00FA32D9"/>
    <w:rsid w:val="00FA48DF"/>
    <w:rsid w:val="00FA52F8"/>
    <w:rsid w:val="00FA5BE0"/>
    <w:rsid w:val="00FA633E"/>
    <w:rsid w:val="00FA65CF"/>
    <w:rsid w:val="00FA6F26"/>
    <w:rsid w:val="00FA7264"/>
    <w:rsid w:val="00FA7928"/>
    <w:rsid w:val="00FA79B1"/>
    <w:rsid w:val="00FB06D4"/>
    <w:rsid w:val="00FB0BBD"/>
    <w:rsid w:val="00FB1DFE"/>
    <w:rsid w:val="00FB3267"/>
    <w:rsid w:val="00FB4714"/>
    <w:rsid w:val="00FB48E9"/>
    <w:rsid w:val="00FB501D"/>
    <w:rsid w:val="00FC15B1"/>
    <w:rsid w:val="00FC2025"/>
    <w:rsid w:val="00FC2F5D"/>
    <w:rsid w:val="00FC433B"/>
    <w:rsid w:val="00FC49CF"/>
    <w:rsid w:val="00FC6AB0"/>
    <w:rsid w:val="00FC7233"/>
    <w:rsid w:val="00FC7424"/>
    <w:rsid w:val="00FD005A"/>
    <w:rsid w:val="00FD20B6"/>
    <w:rsid w:val="00FD2237"/>
    <w:rsid w:val="00FD2AD6"/>
    <w:rsid w:val="00FD3076"/>
    <w:rsid w:val="00FD3DD4"/>
    <w:rsid w:val="00FD44BD"/>
    <w:rsid w:val="00FD50FE"/>
    <w:rsid w:val="00FD5DFA"/>
    <w:rsid w:val="00FD6955"/>
    <w:rsid w:val="00FD71AE"/>
    <w:rsid w:val="00FE002B"/>
    <w:rsid w:val="00FE0A65"/>
    <w:rsid w:val="00FE256A"/>
    <w:rsid w:val="00FE390A"/>
    <w:rsid w:val="00FE471A"/>
    <w:rsid w:val="00FE57B4"/>
    <w:rsid w:val="00FE6864"/>
    <w:rsid w:val="00FE75EB"/>
    <w:rsid w:val="00FF0724"/>
    <w:rsid w:val="00FF39DA"/>
    <w:rsid w:val="00FF601A"/>
    <w:rsid w:val="00FF6778"/>
    <w:rsid w:val="00FF69B0"/>
    <w:rsid w:val="0692278F"/>
    <w:rsid w:val="6328CAA8"/>
    <w:rsid w:val="7675931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2CAA5"/>
  <w14:defaultImageDpi w14:val="32767"/>
  <w15:chartTrackingRefBased/>
  <w15:docId w15:val="{A01D1A20-2937-4E37-8EE8-937D7DCE1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8458C"/>
    <w:pPr>
      <w:spacing w:before="60" w:after="60" w:line="360" w:lineRule="auto"/>
      <w:jc w:val="lowKashida"/>
    </w:pPr>
    <w:rPr>
      <w:rFonts w:asciiTheme="majorBidi" w:hAnsiTheme="majorBidi"/>
      <w:color w:val="000E45"/>
      <w:sz w:val="21"/>
    </w:rPr>
  </w:style>
  <w:style w:type="paragraph" w:styleId="Heading1">
    <w:name w:val="heading 1"/>
    <w:basedOn w:val="Normal"/>
    <w:next w:val="Normal"/>
    <w:link w:val="Heading1Char"/>
    <w:uiPriority w:val="9"/>
    <w:qFormat/>
    <w:rsid w:val="00B8458C"/>
    <w:pPr>
      <w:keepNext/>
      <w:keepLines/>
      <w:numPr>
        <w:numId w:val="1"/>
      </w:numPr>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458C"/>
    <w:pPr>
      <w:keepNext/>
      <w:keepLines/>
      <w:numPr>
        <w:ilvl w:val="1"/>
        <w:numId w:val="1"/>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3A0CC0"/>
    <w:pPr>
      <w:keepNext/>
      <w:keepLines/>
      <w:numPr>
        <w:ilvl w:val="2"/>
        <w:numId w:val="1"/>
      </w:numPr>
      <w:spacing w:before="40"/>
      <w:outlineLvl w:val="2"/>
    </w:pPr>
    <w:rPr>
      <w:rFonts w:eastAsiaTheme="majorEastAsia" w:cstheme="majorBidi"/>
      <w:b/>
      <w:sz w:val="28"/>
    </w:rPr>
  </w:style>
  <w:style w:type="paragraph" w:styleId="Heading4">
    <w:name w:val="heading 4"/>
    <w:basedOn w:val="Normal"/>
    <w:next w:val="Normal"/>
    <w:link w:val="Heading4Char"/>
    <w:uiPriority w:val="9"/>
    <w:unhideWhenUsed/>
    <w:qFormat/>
    <w:rsid w:val="003A0CC0"/>
    <w:pPr>
      <w:keepNext/>
      <w:keepLines/>
      <w:numPr>
        <w:ilvl w:val="3"/>
        <w:numId w:val="1"/>
      </w:numPr>
      <w:spacing w:before="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A0CC0"/>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A0CC0"/>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A0CC0"/>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A0CC0"/>
    <w:pPr>
      <w:keepNext/>
      <w:keepLines/>
      <w:numPr>
        <w:ilvl w:val="7"/>
        <w:numId w:val="1"/>
      </w:numPr>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3A0CC0"/>
    <w:pPr>
      <w:keepNext/>
      <w:keepLines/>
      <w:numPr>
        <w:ilvl w:val="8"/>
        <w:numId w:val="1"/>
      </w:numPr>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776012"/>
    <w:pPr>
      <w:tabs>
        <w:tab w:val="center" w:pos="4513"/>
        <w:tab w:val="right" w:pos="9026"/>
      </w:tabs>
    </w:pPr>
  </w:style>
  <w:style w:type="character" w:customStyle="1" w:styleId="FooterChar">
    <w:name w:val="Footer Char"/>
    <w:basedOn w:val="DefaultParagraphFont"/>
    <w:link w:val="Footer"/>
    <w:uiPriority w:val="99"/>
    <w:rsid w:val="00776012"/>
  </w:style>
  <w:style w:type="character" w:styleId="PageNumber">
    <w:name w:val="page number"/>
    <w:basedOn w:val="DefaultParagraphFont"/>
    <w:uiPriority w:val="99"/>
    <w:semiHidden/>
    <w:unhideWhenUsed/>
    <w:rsid w:val="00776012"/>
  </w:style>
  <w:style w:type="character" w:customStyle="1" w:styleId="Heading1Char">
    <w:name w:val="Heading 1 Char"/>
    <w:basedOn w:val="DefaultParagraphFont"/>
    <w:link w:val="Heading1"/>
    <w:uiPriority w:val="9"/>
    <w:rsid w:val="00B8458C"/>
    <w:rPr>
      <w:rFonts w:asciiTheme="majorBidi" w:eastAsiaTheme="majorEastAsia" w:hAnsiTheme="majorBidi" w:cstheme="majorBidi"/>
      <w:b/>
      <w:color w:val="000E45"/>
      <w:sz w:val="28"/>
      <w:szCs w:val="32"/>
    </w:rPr>
  </w:style>
  <w:style w:type="character" w:customStyle="1" w:styleId="Heading2Char">
    <w:name w:val="Heading 2 Char"/>
    <w:basedOn w:val="DefaultParagraphFont"/>
    <w:link w:val="Heading2"/>
    <w:uiPriority w:val="9"/>
    <w:rsid w:val="00B8458C"/>
    <w:rPr>
      <w:rFonts w:asciiTheme="majorBidi" w:eastAsiaTheme="majorEastAsia" w:hAnsiTheme="majorBidi" w:cstheme="majorBidi"/>
      <w:b/>
      <w:color w:val="000E45"/>
      <w:sz w:val="21"/>
      <w:szCs w:val="26"/>
    </w:rPr>
  </w:style>
  <w:style w:type="paragraph" w:styleId="Caption">
    <w:name w:val="caption"/>
    <w:basedOn w:val="Normal"/>
    <w:next w:val="Normal"/>
    <w:uiPriority w:val="35"/>
    <w:unhideWhenUsed/>
    <w:qFormat/>
    <w:rsid w:val="00E11F11"/>
    <w:pPr>
      <w:spacing w:after="200"/>
      <w:jc w:val="center"/>
    </w:pPr>
    <w:rPr>
      <w:i/>
      <w:iCs/>
      <w:color w:val="808080" w:themeColor="background1" w:themeShade="80"/>
      <w:sz w:val="20"/>
      <w:szCs w:val="18"/>
    </w:rPr>
  </w:style>
  <w:style w:type="character" w:customStyle="1" w:styleId="Heading3Char">
    <w:name w:val="Heading 3 Char"/>
    <w:basedOn w:val="DefaultParagraphFont"/>
    <w:link w:val="Heading3"/>
    <w:uiPriority w:val="9"/>
    <w:rsid w:val="00EC3FD8"/>
    <w:rPr>
      <w:rFonts w:asciiTheme="majorBidi" w:eastAsiaTheme="majorEastAsia" w:hAnsiTheme="majorBidi" w:cstheme="majorBidi"/>
      <w:b/>
      <w:color w:val="000000" w:themeColor="text1"/>
      <w:sz w:val="28"/>
    </w:rPr>
  </w:style>
  <w:style w:type="character" w:customStyle="1" w:styleId="Heading4Char">
    <w:name w:val="Heading 4 Char"/>
    <w:basedOn w:val="DefaultParagraphFont"/>
    <w:link w:val="Heading4"/>
    <w:uiPriority w:val="9"/>
    <w:rsid w:val="00345B0F"/>
    <w:rPr>
      <w:rFonts w:asciiTheme="majorBidi" w:eastAsiaTheme="majorEastAsia" w:hAnsiTheme="majorBidi" w:cstheme="majorBidi"/>
      <w:b/>
      <w:iCs/>
      <w:color w:val="000000" w:themeColor="text1"/>
    </w:rPr>
  </w:style>
  <w:style w:type="character" w:customStyle="1" w:styleId="Heading5Char">
    <w:name w:val="Heading 5 Char"/>
    <w:basedOn w:val="DefaultParagraphFont"/>
    <w:link w:val="Heading5"/>
    <w:uiPriority w:val="9"/>
    <w:semiHidden/>
    <w:rsid w:val="00C803B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803B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803B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803B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03B9"/>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DA7A31"/>
    <w:pPr>
      <w:tabs>
        <w:tab w:val="right" w:leader="dot" w:pos="9346"/>
      </w:tabs>
      <w:spacing w:before="120" w:after="120" w:line="240" w:lineRule="auto"/>
      <w:jc w:val="left"/>
    </w:pPr>
    <w:rPr>
      <w:rFonts w:cstheme="minorHAnsi"/>
      <w:b/>
      <w:bCs/>
      <w:iCs/>
      <w:sz w:val="20"/>
      <w:szCs w:val="28"/>
    </w:rPr>
  </w:style>
  <w:style w:type="paragraph" w:styleId="TOC2">
    <w:name w:val="toc 2"/>
    <w:basedOn w:val="Normal"/>
    <w:next w:val="Normal"/>
    <w:autoRedefine/>
    <w:uiPriority w:val="39"/>
    <w:unhideWhenUsed/>
    <w:rsid w:val="00B8458C"/>
    <w:pPr>
      <w:spacing w:before="120" w:line="192" w:lineRule="auto"/>
      <w:ind w:left="170"/>
      <w:jc w:val="left"/>
    </w:pPr>
    <w:rPr>
      <w:rFonts w:cstheme="minorHAnsi"/>
      <w:b/>
      <w:bCs/>
      <w:sz w:val="16"/>
      <w:szCs w:val="26"/>
    </w:rPr>
  </w:style>
  <w:style w:type="character" w:styleId="Hyperlink">
    <w:name w:val="Hyperlink"/>
    <w:basedOn w:val="DefaultParagraphFont"/>
    <w:uiPriority w:val="99"/>
    <w:unhideWhenUsed/>
    <w:rsid w:val="006C3714"/>
    <w:rPr>
      <w:color w:val="0563C1" w:themeColor="hyperlink"/>
      <w:u w:val="single"/>
    </w:rPr>
  </w:style>
  <w:style w:type="paragraph" w:styleId="TOC3">
    <w:name w:val="toc 3"/>
    <w:basedOn w:val="Normal"/>
    <w:next w:val="Normal"/>
    <w:autoRedefine/>
    <w:uiPriority w:val="39"/>
    <w:unhideWhenUsed/>
    <w:rsid w:val="003F7E97"/>
    <w:pPr>
      <w:ind w:left="480"/>
      <w:jc w:val="left"/>
    </w:pPr>
    <w:rPr>
      <w:rFonts w:cstheme="minorHAnsi"/>
      <w:sz w:val="20"/>
    </w:rPr>
  </w:style>
  <w:style w:type="paragraph" w:styleId="Header">
    <w:name w:val="header"/>
    <w:basedOn w:val="Normal"/>
    <w:link w:val="HeaderChar"/>
    <w:uiPriority w:val="99"/>
    <w:unhideWhenUsed/>
    <w:rsid w:val="00A941D0"/>
    <w:pPr>
      <w:tabs>
        <w:tab w:val="center" w:pos="4680"/>
        <w:tab w:val="right" w:pos="9360"/>
      </w:tabs>
    </w:pPr>
  </w:style>
  <w:style w:type="character" w:customStyle="1" w:styleId="HeaderChar">
    <w:name w:val="Header Char"/>
    <w:basedOn w:val="DefaultParagraphFont"/>
    <w:link w:val="Header"/>
    <w:uiPriority w:val="99"/>
    <w:rsid w:val="00A941D0"/>
  </w:style>
  <w:style w:type="character" w:styleId="CommentReference">
    <w:name w:val="annotation reference"/>
    <w:basedOn w:val="DefaultParagraphFont"/>
    <w:uiPriority w:val="99"/>
    <w:semiHidden/>
    <w:unhideWhenUsed/>
    <w:rsid w:val="00190562"/>
    <w:rPr>
      <w:sz w:val="16"/>
      <w:szCs w:val="16"/>
    </w:rPr>
  </w:style>
  <w:style w:type="paragraph" w:styleId="CommentText">
    <w:name w:val="annotation text"/>
    <w:basedOn w:val="Normal"/>
    <w:link w:val="CommentTextChar"/>
    <w:uiPriority w:val="99"/>
    <w:semiHidden/>
    <w:unhideWhenUsed/>
    <w:rsid w:val="00190562"/>
    <w:rPr>
      <w:sz w:val="20"/>
      <w:szCs w:val="20"/>
    </w:rPr>
  </w:style>
  <w:style w:type="character" w:customStyle="1" w:styleId="CommentTextChar">
    <w:name w:val="Comment Text Char"/>
    <w:basedOn w:val="DefaultParagraphFont"/>
    <w:link w:val="CommentText"/>
    <w:uiPriority w:val="99"/>
    <w:semiHidden/>
    <w:rsid w:val="00190562"/>
    <w:rPr>
      <w:sz w:val="20"/>
      <w:szCs w:val="20"/>
    </w:rPr>
  </w:style>
  <w:style w:type="paragraph" w:styleId="CommentSubject">
    <w:name w:val="annotation subject"/>
    <w:basedOn w:val="CommentText"/>
    <w:next w:val="CommentText"/>
    <w:link w:val="CommentSubjectChar"/>
    <w:uiPriority w:val="99"/>
    <w:semiHidden/>
    <w:unhideWhenUsed/>
    <w:rsid w:val="00190562"/>
    <w:rPr>
      <w:b/>
      <w:bCs/>
    </w:rPr>
  </w:style>
  <w:style w:type="character" w:customStyle="1" w:styleId="CommentSubjectChar">
    <w:name w:val="Comment Subject Char"/>
    <w:basedOn w:val="CommentTextChar"/>
    <w:link w:val="CommentSubject"/>
    <w:uiPriority w:val="99"/>
    <w:semiHidden/>
    <w:rsid w:val="00190562"/>
    <w:rPr>
      <w:b/>
      <w:bCs/>
      <w:sz w:val="20"/>
      <w:szCs w:val="20"/>
    </w:rPr>
  </w:style>
  <w:style w:type="paragraph" w:styleId="FootnoteText">
    <w:name w:val="footnote text"/>
    <w:basedOn w:val="Normal"/>
    <w:link w:val="FootnoteTextChar"/>
    <w:uiPriority w:val="99"/>
    <w:semiHidden/>
    <w:unhideWhenUsed/>
    <w:rsid w:val="00325917"/>
    <w:rPr>
      <w:sz w:val="20"/>
      <w:szCs w:val="20"/>
    </w:rPr>
  </w:style>
  <w:style w:type="character" w:customStyle="1" w:styleId="FootnoteTextChar">
    <w:name w:val="Footnote Text Char"/>
    <w:basedOn w:val="DefaultParagraphFont"/>
    <w:link w:val="FootnoteText"/>
    <w:uiPriority w:val="99"/>
    <w:semiHidden/>
    <w:rsid w:val="00325917"/>
    <w:rPr>
      <w:sz w:val="20"/>
      <w:szCs w:val="20"/>
    </w:rPr>
  </w:style>
  <w:style w:type="character" w:styleId="FootnoteReference">
    <w:name w:val="footnote reference"/>
    <w:basedOn w:val="DefaultParagraphFont"/>
    <w:uiPriority w:val="99"/>
    <w:semiHidden/>
    <w:unhideWhenUsed/>
    <w:rsid w:val="00325917"/>
    <w:rPr>
      <w:vertAlign w:val="superscript"/>
    </w:rPr>
  </w:style>
  <w:style w:type="character" w:styleId="UnresolvedMention">
    <w:name w:val="Unresolved Mention"/>
    <w:basedOn w:val="DefaultParagraphFont"/>
    <w:uiPriority w:val="99"/>
    <w:rsid w:val="00325917"/>
    <w:rPr>
      <w:color w:val="605E5C"/>
      <w:shd w:val="clear" w:color="auto" w:fill="E1DFDD"/>
    </w:rPr>
  </w:style>
  <w:style w:type="character" w:styleId="FollowedHyperlink">
    <w:name w:val="FollowedHyperlink"/>
    <w:basedOn w:val="DefaultParagraphFont"/>
    <w:uiPriority w:val="99"/>
    <w:semiHidden/>
    <w:unhideWhenUsed/>
    <w:rsid w:val="003635E4"/>
    <w:rPr>
      <w:color w:val="954F72" w:themeColor="followedHyperlink"/>
      <w:u w:val="single"/>
    </w:rPr>
  </w:style>
  <w:style w:type="character" w:styleId="Emphasis">
    <w:name w:val="Emphasis"/>
    <w:basedOn w:val="DefaultParagraphFont"/>
    <w:uiPriority w:val="20"/>
    <w:qFormat/>
    <w:rsid w:val="007D65CE"/>
    <w:rPr>
      <w:i/>
      <w:iCs/>
    </w:rPr>
  </w:style>
  <w:style w:type="character" w:customStyle="1" w:styleId="css-x5hiaf">
    <w:name w:val="css-x5hiaf"/>
    <w:basedOn w:val="DefaultParagraphFont"/>
    <w:rsid w:val="00EF7FEB"/>
  </w:style>
  <w:style w:type="character" w:customStyle="1" w:styleId="css-rh820s">
    <w:name w:val="css-rh820s"/>
    <w:basedOn w:val="DefaultParagraphFont"/>
    <w:rsid w:val="00EF7FEB"/>
  </w:style>
  <w:style w:type="character" w:customStyle="1" w:styleId="css-0">
    <w:name w:val="css-0"/>
    <w:basedOn w:val="DefaultParagraphFont"/>
    <w:rsid w:val="00EF7FEB"/>
  </w:style>
  <w:style w:type="paragraph" w:styleId="NoSpacing">
    <w:name w:val="No Spacing"/>
    <w:uiPriority w:val="1"/>
    <w:qFormat/>
    <w:rsid w:val="00945401"/>
  </w:style>
  <w:style w:type="numbering" w:customStyle="1" w:styleId="CurrentList1">
    <w:name w:val="Current List1"/>
    <w:uiPriority w:val="99"/>
    <w:rsid w:val="00467E13"/>
    <w:pPr>
      <w:numPr>
        <w:numId w:val="2"/>
      </w:numPr>
    </w:pPr>
  </w:style>
  <w:style w:type="numbering" w:customStyle="1" w:styleId="CurrentList2">
    <w:name w:val="Current List2"/>
    <w:uiPriority w:val="99"/>
    <w:rsid w:val="00467E13"/>
    <w:pPr>
      <w:numPr>
        <w:numId w:val="3"/>
      </w:numPr>
    </w:pPr>
  </w:style>
  <w:style w:type="numbering" w:customStyle="1" w:styleId="CurrentList3">
    <w:name w:val="Current List3"/>
    <w:uiPriority w:val="99"/>
    <w:rsid w:val="00467E13"/>
    <w:pPr>
      <w:numPr>
        <w:numId w:val="4"/>
      </w:numPr>
    </w:pPr>
  </w:style>
  <w:style w:type="numbering" w:customStyle="1" w:styleId="CurrentList4">
    <w:name w:val="Current List4"/>
    <w:uiPriority w:val="99"/>
    <w:rsid w:val="00B15842"/>
    <w:pPr>
      <w:numPr>
        <w:numId w:val="5"/>
      </w:numPr>
    </w:pPr>
  </w:style>
  <w:style w:type="paragraph" w:customStyle="1" w:styleId="pb-2">
    <w:name w:val="pb-2"/>
    <w:basedOn w:val="Normal"/>
    <w:rsid w:val="00F35167"/>
    <w:pPr>
      <w:spacing w:before="100" w:beforeAutospacing="1" w:after="100" w:afterAutospacing="1" w:line="240" w:lineRule="auto"/>
      <w:jc w:val="left"/>
    </w:pPr>
    <w:rPr>
      <w:rFonts w:ascii="Times New Roman" w:eastAsia="Times New Roman" w:hAnsi="Times New Roman" w:cs="Times New Roman"/>
      <w:lang w:eastAsia="en-GB"/>
    </w:rPr>
  </w:style>
  <w:style w:type="character" w:customStyle="1" w:styleId="issue-underline">
    <w:name w:val="issue-underline"/>
    <w:basedOn w:val="DefaultParagraphFont"/>
    <w:rsid w:val="00AB1209"/>
  </w:style>
  <w:style w:type="paragraph" w:styleId="ListParagraph">
    <w:name w:val="List Paragraph"/>
    <w:basedOn w:val="Normal"/>
    <w:link w:val="ListParagraphChar"/>
    <w:qFormat/>
    <w:rsid w:val="00AB1209"/>
    <w:pPr>
      <w:ind w:left="720"/>
      <w:contextualSpacing/>
    </w:pPr>
  </w:style>
  <w:style w:type="character" w:styleId="Strong">
    <w:name w:val="Strong"/>
    <w:basedOn w:val="DefaultParagraphFont"/>
    <w:uiPriority w:val="22"/>
    <w:qFormat/>
    <w:rsid w:val="00FF601A"/>
    <w:rPr>
      <w:b/>
      <w:bCs/>
    </w:rPr>
  </w:style>
  <w:style w:type="paragraph" w:styleId="TOCHeading">
    <w:name w:val="TOC Heading"/>
    <w:basedOn w:val="Heading1"/>
    <w:next w:val="Normal"/>
    <w:uiPriority w:val="39"/>
    <w:unhideWhenUsed/>
    <w:qFormat/>
    <w:rsid w:val="001F5CFA"/>
    <w:pPr>
      <w:numPr>
        <w:numId w:val="0"/>
      </w:numPr>
      <w:spacing w:before="480" w:line="276" w:lineRule="auto"/>
      <w:jc w:val="left"/>
      <w:outlineLvl w:val="9"/>
    </w:pPr>
    <w:rPr>
      <w:rFonts w:asciiTheme="majorHAnsi" w:hAnsiTheme="majorHAnsi"/>
      <w:bCs/>
      <w:color w:val="2F5496" w:themeColor="accent1" w:themeShade="BF"/>
      <w:szCs w:val="28"/>
      <w:lang w:val="en-US"/>
    </w:rPr>
  </w:style>
  <w:style w:type="paragraph" w:styleId="TOC5">
    <w:name w:val="toc 5"/>
    <w:basedOn w:val="Normal"/>
    <w:next w:val="Normal"/>
    <w:autoRedefine/>
    <w:uiPriority w:val="39"/>
    <w:unhideWhenUsed/>
    <w:rsid w:val="001F5CFA"/>
    <w:pPr>
      <w:ind w:left="960"/>
      <w:jc w:val="left"/>
    </w:pPr>
    <w:rPr>
      <w:rFonts w:asciiTheme="minorHAnsi" w:hAnsiTheme="minorHAnsi" w:cstheme="minorHAnsi"/>
      <w:sz w:val="20"/>
    </w:rPr>
  </w:style>
  <w:style w:type="paragraph" w:styleId="TOC6">
    <w:name w:val="toc 6"/>
    <w:basedOn w:val="Normal"/>
    <w:next w:val="Normal"/>
    <w:autoRedefine/>
    <w:uiPriority w:val="39"/>
    <w:unhideWhenUsed/>
    <w:rsid w:val="001F5CFA"/>
    <w:pPr>
      <w:ind w:left="1200"/>
      <w:jc w:val="left"/>
    </w:pPr>
    <w:rPr>
      <w:rFonts w:asciiTheme="minorHAnsi" w:hAnsiTheme="minorHAnsi" w:cstheme="minorHAnsi"/>
      <w:sz w:val="20"/>
    </w:rPr>
  </w:style>
  <w:style w:type="paragraph" w:styleId="TOC7">
    <w:name w:val="toc 7"/>
    <w:basedOn w:val="Normal"/>
    <w:next w:val="Normal"/>
    <w:autoRedefine/>
    <w:uiPriority w:val="39"/>
    <w:unhideWhenUsed/>
    <w:rsid w:val="001F5CFA"/>
    <w:pPr>
      <w:ind w:left="1440"/>
      <w:jc w:val="left"/>
    </w:pPr>
    <w:rPr>
      <w:rFonts w:asciiTheme="minorHAnsi" w:hAnsiTheme="minorHAnsi" w:cstheme="minorHAnsi"/>
      <w:sz w:val="20"/>
    </w:rPr>
  </w:style>
  <w:style w:type="paragraph" w:styleId="TOC8">
    <w:name w:val="toc 8"/>
    <w:basedOn w:val="Normal"/>
    <w:next w:val="Normal"/>
    <w:autoRedefine/>
    <w:uiPriority w:val="39"/>
    <w:unhideWhenUsed/>
    <w:rsid w:val="001F5CFA"/>
    <w:pPr>
      <w:ind w:left="1680"/>
      <w:jc w:val="left"/>
    </w:pPr>
    <w:rPr>
      <w:rFonts w:asciiTheme="minorHAnsi" w:hAnsiTheme="minorHAnsi" w:cstheme="minorHAnsi"/>
      <w:sz w:val="20"/>
    </w:rPr>
  </w:style>
  <w:style w:type="paragraph" w:styleId="TOC9">
    <w:name w:val="toc 9"/>
    <w:basedOn w:val="Normal"/>
    <w:next w:val="Normal"/>
    <w:autoRedefine/>
    <w:uiPriority w:val="39"/>
    <w:unhideWhenUsed/>
    <w:rsid w:val="001F5CFA"/>
    <w:pPr>
      <w:ind w:left="1920"/>
      <w:jc w:val="left"/>
    </w:pPr>
    <w:rPr>
      <w:rFonts w:asciiTheme="minorHAnsi" w:hAnsiTheme="minorHAnsi" w:cstheme="minorHAnsi"/>
      <w:sz w:val="20"/>
    </w:rPr>
  </w:style>
  <w:style w:type="paragraph" w:styleId="TableofFigures">
    <w:name w:val="table of figures"/>
    <w:basedOn w:val="Normal"/>
    <w:next w:val="Normal"/>
    <w:uiPriority w:val="99"/>
    <w:unhideWhenUsed/>
    <w:rsid w:val="000004A7"/>
  </w:style>
  <w:style w:type="table" w:styleId="TableGrid">
    <w:name w:val="Table Grid"/>
    <w:basedOn w:val="TableNormal"/>
    <w:uiPriority w:val="39"/>
    <w:rsid w:val="00047E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5">
    <w:name w:val="Current List5"/>
    <w:uiPriority w:val="99"/>
    <w:rsid w:val="009D05F0"/>
    <w:pPr>
      <w:numPr>
        <w:numId w:val="6"/>
      </w:numPr>
    </w:pPr>
  </w:style>
  <w:style w:type="numbering" w:customStyle="1" w:styleId="CurrentList6">
    <w:name w:val="Current List6"/>
    <w:uiPriority w:val="99"/>
    <w:rsid w:val="006534FE"/>
    <w:pPr>
      <w:numPr>
        <w:numId w:val="7"/>
      </w:numPr>
    </w:pPr>
  </w:style>
  <w:style w:type="numbering" w:customStyle="1" w:styleId="CurrentList7">
    <w:name w:val="Current List7"/>
    <w:uiPriority w:val="99"/>
    <w:rsid w:val="006534FE"/>
    <w:pPr>
      <w:numPr>
        <w:numId w:val="8"/>
      </w:numPr>
    </w:pPr>
  </w:style>
  <w:style w:type="numbering" w:customStyle="1" w:styleId="CurrentList8">
    <w:name w:val="Current List8"/>
    <w:uiPriority w:val="99"/>
    <w:rsid w:val="006534FE"/>
    <w:pPr>
      <w:numPr>
        <w:numId w:val="9"/>
      </w:numPr>
    </w:pPr>
  </w:style>
  <w:style w:type="paragraph" w:styleId="NormalWeb">
    <w:name w:val="Normal (Web)"/>
    <w:basedOn w:val="Normal"/>
    <w:uiPriority w:val="99"/>
    <w:unhideWhenUsed/>
    <w:rsid w:val="00D8459B"/>
    <w:pPr>
      <w:spacing w:before="100" w:beforeAutospacing="1" w:after="100" w:afterAutospacing="1" w:line="240" w:lineRule="auto"/>
      <w:jc w:val="left"/>
    </w:pPr>
    <w:rPr>
      <w:rFonts w:ascii="Times New Roman" w:eastAsia="Times New Roman" w:hAnsi="Times New Roman" w:cs="Times New Roman"/>
      <w:color w:val="auto"/>
      <w:lang w:eastAsia="en-GB"/>
    </w:rPr>
  </w:style>
  <w:style w:type="paragraph" w:customStyle="1" w:styleId="Essaysectionheadings">
    <w:name w:val="Essay section headings"/>
    <w:basedOn w:val="Normal"/>
    <w:rsid w:val="0044712B"/>
    <w:pPr>
      <w:spacing w:after="240"/>
      <w:jc w:val="left"/>
    </w:pPr>
    <w:rPr>
      <w:rFonts w:ascii="Trebuchet MS" w:eastAsia="Times New Roman" w:hAnsi="Trebuchet MS" w:cs="Times New Roman"/>
      <w:b/>
      <w:color w:val="auto"/>
      <w:lang w:eastAsia="en-GB"/>
    </w:rPr>
  </w:style>
  <w:style w:type="paragraph" w:customStyle="1" w:styleId="Essayparagraphtext">
    <w:name w:val="Essay paragraph text"/>
    <w:basedOn w:val="Normal"/>
    <w:rsid w:val="0044712B"/>
    <w:pPr>
      <w:spacing w:after="240"/>
      <w:jc w:val="left"/>
    </w:pPr>
    <w:rPr>
      <w:rFonts w:ascii="Trebuchet MS" w:eastAsia="Times New Roman" w:hAnsi="Trebuchet MS" w:cs="Times New Roman"/>
      <w:color w:val="auto"/>
      <w:lang w:eastAsia="en-GB"/>
    </w:rPr>
  </w:style>
  <w:style w:type="paragraph" w:customStyle="1" w:styleId="EssayContentsText">
    <w:name w:val="Essay Contents Text"/>
    <w:basedOn w:val="Normal"/>
    <w:rsid w:val="00E45662"/>
    <w:pPr>
      <w:numPr>
        <w:numId w:val="10"/>
      </w:numPr>
      <w:spacing w:after="240"/>
    </w:pPr>
    <w:rPr>
      <w:rFonts w:ascii="Trebuchet MS" w:eastAsia="Times New Roman" w:hAnsi="Trebuchet MS" w:cs="Times New Roman"/>
      <w:color w:val="auto"/>
      <w:lang w:eastAsia="en-GB"/>
    </w:rPr>
  </w:style>
  <w:style w:type="paragraph" w:customStyle="1" w:styleId="EssayAppendixcontentspage">
    <w:name w:val="Essay Appendix contents page"/>
    <w:basedOn w:val="EssayContentsText"/>
    <w:rsid w:val="00E45662"/>
    <w:pPr>
      <w:numPr>
        <w:ilvl w:val="1"/>
      </w:numPr>
    </w:pPr>
  </w:style>
  <w:style w:type="character" w:customStyle="1" w:styleId="ListParagraphChar">
    <w:name w:val="List Paragraph Char"/>
    <w:basedOn w:val="DefaultParagraphFont"/>
    <w:link w:val="ListParagraph"/>
    <w:uiPriority w:val="34"/>
    <w:rsid w:val="00EC3FD8"/>
    <w:rPr>
      <w:rFonts w:asciiTheme="majorBidi" w:hAnsiTheme="majorBidi"/>
      <w:color w:val="000000" w:themeColor="text1"/>
    </w:rPr>
  </w:style>
  <w:style w:type="paragraph" w:customStyle="1" w:styleId="mb-25">
    <w:name w:val="mb-2.5"/>
    <w:basedOn w:val="Normal"/>
    <w:rsid w:val="004C5DE2"/>
    <w:pPr>
      <w:spacing w:before="120" w:beforeAutospacing="1" w:after="100" w:afterAutospacing="1"/>
    </w:pPr>
    <w:rPr>
      <w:rFonts w:ascii="Times New Roman" w:eastAsia="Times New Roman" w:hAnsi="Times New Roman" w:cs="Times New Roman"/>
      <w:color w:val="auto"/>
      <w:lang w:eastAsia="en-GB"/>
    </w:rPr>
  </w:style>
  <w:style w:type="paragraph" w:styleId="Bibliography">
    <w:name w:val="Bibliography"/>
    <w:basedOn w:val="Normal"/>
    <w:next w:val="Normal"/>
    <w:uiPriority w:val="37"/>
    <w:unhideWhenUsed/>
    <w:rsid w:val="00D5314C"/>
    <w:pPr>
      <w:spacing w:line="480" w:lineRule="auto"/>
      <w:ind w:left="720" w:hanging="720"/>
    </w:pPr>
  </w:style>
  <w:style w:type="numbering" w:customStyle="1" w:styleId="CurrentList9">
    <w:name w:val="Current List9"/>
    <w:uiPriority w:val="99"/>
    <w:rsid w:val="00860043"/>
    <w:pPr>
      <w:numPr>
        <w:numId w:val="11"/>
      </w:numPr>
    </w:pPr>
  </w:style>
  <w:style w:type="numbering" w:customStyle="1" w:styleId="CurrentList10">
    <w:name w:val="Current List10"/>
    <w:uiPriority w:val="99"/>
    <w:rsid w:val="00DB6CEA"/>
    <w:pPr>
      <w:numPr>
        <w:numId w:val="12"/>
      </w:numPr>
    </w:pPr>
  </w:style>
  <w:style w:type="character" w:customStyle="1" w:styleId="citation-0">
    <w:name w:val="citation-0"/>
    <w:basedOn w:val="DefaultParagraphFont"/>
    <w:rsid w:val="00FD50FE"/>
  </w:style>
  <w:style w:type="paragraph" w:styleId="TOC4">
    <w:name w:val="toc 4"/>
    <w:basedOn w:val="Normal"/>
    <w:next w:val="Normal"/>
    <w:autoRedefine/>
    <w:uiPriority w:val="39"/>
    <w:unhideWhenUsed/>
    <w:rsid w:val="00023182"/>
    <w:pPr>
      <w:spacing w:after="100"/>
      <w:ind w:left="720"/>
    </w:pPr>
    <w:rPr>
      <w:sz w:val="18"/>
    </w:rPr>
  </w:style>
  <w:style w:type="paragraph" w:styleId="Title">
    <w:name w:val="Title"/>
    <w:link w:val="TitleChar"/>
    <w:uiPriority w:val="10"/>
    <w:qFormat/>
    <w:rsid w:val="00AA57C8"/>
    <w:rPr>
      <w:rFonts w:ascii="Times New Roman" w:eastAsia="Times New Roman" w:hAnsi="Times New Roman" w:cs="Times New Roman"/>
      <w:sz w:val="56"/>
      <w:szCs w:val="56"/>
      <w:lang w:eastAsia="en-GB"/>
    </w:rPr>
  </w:style>
  <w:style w:type="character" w:customStyle="1" w:styleId="TitleChar">
    <w:name w:val="Title Char"/>
    <w:basedOn w:val="DefaultParagraphFont"/>
    <w:link w:val="Title"/>
    <w:uiPriority w:val="10"/>
    <w:rsid w:val="00AA57C8"/>
    <w:rPr>
      <w:rFonts w:ascii="Times New Roman" w:eastAsia="Times New Roman" w:hAnsi="Times New Roman" w:cs="Times New Roman"/>
      <w:sz w:val="56"/>
      <w:szCs w:val="56"/>
      <w:lang w:eastAsia="en-GB"/>
    </w:rPr>
  </w:style>
  <w:style w:type="paragraph" w:customStyle="1" w:styleId="Strong1">
    <w:name w:val="Strong1"/>
    <w:qFormat/>
    <w:rsid w:val="00AA57C8"/>
    <w:rPr>
      <w:rFonts w:ascii="Times New Roman" w:eastAsia="Times New Roman" w:hAnsi="Times New Roman" w:cs="Times New Roman"/>
      <w:b/>
      <w:bCs/>
      <w:lang w:eastAsia="en-GB"/>
    </w:rPr>
  </w:style>
  <w:style w:type="character" w:styleId="EndnoteReference">
    <w:name w:val="endnote reference"/>
    <w:uiPriority w:val="99"/>
    <w:semiHidden/>
    <w:unhideWhenUsed/>
    <w:rsid w:val="00AA57C8"/>
    <w:rPr>
      <w:vertAlign w:val="superscript"/>
    </w:rPr>
  </w:style>
  <w:style w:type="paragraph" w:styleId="EndnoteText">
    <w:name w:val="endnote text"/>
    <w:link w:val="EndnoteTextChar"/>
    <w:uiPriority w:val="99"/>
    <w:semiHidden/>
    <w:unhideWhenUsed/>
    <w:rsid w:val="00AA57C8"/>
    <w:rPr>
      <w:rFonts w:ascii="Times New Roman" w:eastAsia="Times New Roman" w:hAnsi="Times New Roman" w:cs="Times New Roman"/>
      <w:sz w:val="20"/>
      <w:szCs w:val="20"/>
      <w:lang w:eastAsia="en-GB"/>
    </w:rPr>
  </w:style>
  <w:style w:type="character" w:customStyle="1" w:styleId="EndnoteTextChar">
    <w:name w:val="Endnote Text Char"/>
    <w:basedOn w:val="DefaultParagraphFont"/>
    <w:link w:val="EndnoteText"/>
    <w:uiPriority w:val="99"/>
    <w:semiHidden/>
    <w:rsid w:val="00AA57C8"/>
    <w:rPr>
      <w:rFonts w:ascii="Times New Roman" w:eastAsia="Times New Roman" w:hAnsi="Times New Roman" w:cs="Times New Roman"/>
      <w:sz w:val="20"/>
      <w:szCs w:val="20"/>
      <w:lang w:eastAsia="en-GB"/>
    </w:rPr>
  </w:style>
  <w:style w:type="numbering" w:customStyle="1" w:styleId="CurrentList11">
    <w:name w:val="Current List11"/>
    <w:uiPriority w:val="99"/>
    <w:rsid w:val="007C00C3"/>
    <w:pPr>
      <w:numPr>
        <w:numId w:val="25"/>
      </w:numPr>
    </w:pPr>
  </w:style>
  <w:style w:type="numbering" w:customStyle="1" w:styleId="CurrentList12">
    <w:name w:val="Current List12"/>
    <w:uiPriority w:val="99"/>
    <w:rsid w:val="003A0CC0"/>
    <w:pPr>
      <w:numPr>
        <w:numId w:val="31"/>
      </w:numPr>
    </w:pPr>
  </w:style>
  <w:style w:type="numbering" w:customStyle="1" w:styleId="CurrentList13">
    <w:name w:val="Current List13"/>
    <w:uiPriority w:val="99"/>
    <w:rsid w:val="003A0CC0"/>
    <w:pPr>
      <w:numPr>
        <w:numId w:val="32"/>
      </w:numPr>
    </w:pPr>
  </w:style>
  <w:style w:type="numbering" w:customStyle="1" w:styleId="CurrentList14">
    <w:name w:val="Current List14"/>
    <w:uiPriority w:val="99"/>
    <w:rsid w:val="003A0CC0"/>
    <w:pPr>
      <w:numPr>
        <w:numId w:val="3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29032">
      <w:bodyDiv w:val="1"/>
      <w:marLeft w:val="0"/>
      <w:marRight w:val="0"/>
      <w:marTop w:val="0"/>
      <w:marBottom w:val="0"/>
      <w:divBdr>
        <w:top w:val="none" w:sz="0" w:space="0" w:color="auto"/>
        <w:left w:val="none" w:sz="0" w:space="0" w:color="auto"/>
        <w:bottom w:val="none" w:sz="0" w:space="0" w:color="auto"/>
        <w:right w:val="none" w:sz="0" w:space="0" w:color="auto"/>
      </w:divBdr>
    </w:div>
    <w:div w:id="18094817">
      <w:bodyDiv w:val="1"/>
      <w:marLeft w:val="0"/>
      <w:marRight w:val="0"/>
      <w:marTop w:val="0"/>
      <w:marBottom w:val="0"/>
      <w:divBdr>
        <w:top w:val="none" w:sz="0" w:space="0" w:color="auto"/>
        <w:left w:val="none" w:sz="0" w:space="0" w:color="auto"/>
        <w:bottom w:val="none" w:sz="0" w:space="0" w:color="auto"/>
        <w:right w:val="none" w:sz="0" w:space="0" w:color="auto"/>
      </w:divBdr>
    </w:div>
    <w:div w:id="33889701">
      <w:bodyDiv w:val="1"/>
      <w:marLeft w:val="0"/>
      <w:marRight w:val="0"/>
      <w:marTop w:val="0"/>
      <w:marBottom w:val="0"/>
      <w:divBdr>
        <w:top w:val="none" w:sz="0" w:space="0" w:color="auto"/>
        <w:left w:val="none" w:sz="0" w:space="0" w:color="auto"/>
        <w:bottom w:val="none" w:sz="0" w:space="0" w:color="auto"/>
        <w:right w:val="none" w:sz="0" w:space="0" w:color="auto"/>
      </w:divBdr>
    </w:div>
    <w:div w:id="46733925">
      <w:bodyDiv w:val="1"/>
      <w:marLeft w:val="0"/>
      <w:marRight w:val="0"/>
      <w:marTop w:val="0"/>
      <w:marBottom w:val="0"/>
      <w:divBdr>
        <w:top w:val="none" w:sz="0" w:space="0" w:color="auto"/>
        <w:left w:val="none" w:sz="0" w:space="0" w:color="auto"/>
        <w:bottom w:val="none" w:sz="0" w:space="0" w:color="auto"/>
        <w:right w:val="none" w:sz="0" w:space="0" w:color="auto"/>
      </w:divBdr>
    </w:div>
    <w:div w:id="49349256">
      <w:bodyDiv w:val="1"/>
      <w:marLeft w:val="0"/>
      <w:marRight w:val="0"/>
      <w:marTop w:val="0"/>
      <w:marBottom w:val="0"/>
      <w:divBdr>
        <w:top w:val="none" w:sz="0" w:space="0" w:color="auto"/>
        <w:left w:val="none" w:sz="0" w:space="0" w:color="auto"/>
        <w:bottom w:val="none" w:sz="0" w:space="0" w:color="auto"/>
        <w:right w:val="none" w:sz="0" w:space="0" w:color="auto"/>
      </w:divBdr>
    </w:div>
    <w:div w:id="83306540">
      <w:bodyDiv w:val="1"/>
      <w:marLeft w:val="0"/>
      <w:marRight w:val="0"/>
      <w:marTop w:val="0"/>
      <w:marBottom w:val="0"/>
      <w:divBdr>
        <w:top w:val="none" w:sz="0" w:space="0" w:color="auto"/>
        <w:left w:val="none" w:sz="0" w:space="0" w:color="auto"/>
        <w:bottom w:val="none" w:sz="0" w:space="0" w:color="auto"/>
        <w:right w:val="none" w:sz="0" w:space="0" w:color="auto"/>
      </w:divBdr>
    </w:div>
    <w:div w:id="87967219">
      <w:bodyDiv w:val="1"/>
      <w:marLeft w:val="0"/>
      <w:marRight w:val="0"/>
      <w:marTop w:val="0"/>
      <w:marBottom w:val="0"/>
      <w:divBdr>
        <w:top w:val="none" w:sz="0" w:space="0" w:color="auto"/>
        <w:left w:val="none" w:sz="0" w:space="0" w:color="auto"/>
        <w:bottom w:val="none" w:sz="0" w:space="0" w:color="auto"/>
        <w:right w:val="none" w:sz="0" w:space="0" w:color="auto"/>
      </w:divBdr>
    </w:div>
    <w:div w:id="103116809">
      <w:bodyDiv w:val="1"/>
      <w:marLeft w:val="0"/>
      <w:marRight w:val="0"/>
      <w:marTop w:val="0"/>
      <w:marBottom w:val="0"/>
      <w:divBdr>
        <w:top w:val="none" w:sz="0" w:space="0" w:color="auto"/>
        <w:left w:val="none" w:sz="0" w:space="0" w:color="auto"/>
        <w:bottom w:val="none" w:sz="0" w:space="0" w:color="auto"/>
        <w:right w:val="none" w:sz="0" w:space="0" w:color="auto"/>
      </w:divBdr>
    </w:div>
    <w:div w:id="111823367">
      <w:bodyDiv w:val="1"/>
      <w:marLeft w:val="0"/>
      <w:marRight w:val="0"/>
      <w:marTop w:val="0"/>
      <w:marBottom w:val="0"/>
      <w:divBdr>
        <w:top w:val="none" w:sz="0" w:space="0" w:color="auto"/>
        <w:left w:val="none" w:sz="0" w:space="0" w:color="auto"/>
        <w:bottom w:val="none" w:sz="0" w:space="0" w:color="auto"/>
        <w:right w:val="none" w:sz="0" w:space="0" w:color="auto"/>
      </w:divBdr>
    </w:div>
    <w:div w:id="118110923">
      <w:bodyDiv w:val="1"/>
      <w:marLeft w:val="0"/>
      <w:marRight w:val="0"/>
      <w:marTop w:val="0"/>
      <w:marBottom w:val="0"/>
      <w:divBdr>
        <w:top w:val="none" w:sz="0" w:space="0" w:color="auto"/>
        <w:left w:val="none" w:sz="0" w:space="0" w:color="auto"/>
        <w:bottom w:val="none" w:sz="0" w:space="0" w:color="auto"/>
        <w:right w:val="none" w:sz="0" w:space="0" w:color="auto"/>
      </w:divBdr>
    </w:div>
    <w:div w:id="187257572">
      <w:bodyDiv w:val="1"/>
      <w:marLeft w:val="0"/>
      <w:marRight w:val="0"/>
      <w:marTop w:val="0"/>
      <w:marBottom w:val="0"/>
      <w:divBdr>
        <w:top w:val="none" w:sz="0" w:space="0" w:color="auto"/>
        <w:left w:val="none" w:sz="0" w:space="0" w:color="auto"/>
        <w:bottom w:val="none" w:sz="0" w:space="0" w:color="auto"/>
        <w:right w:val="none" w:sz="0" w:space="0" w:color="auto"/>
      </w:divBdr>
    </w:div>
    <w:div w:id="202445186">
      <w:bodyDiv w:val="1"/>
      <w:marLeft w:val="0"/>
      <w:marRight w:val="0"/>
      <w:marTop w:val="0"/>
      <w:marBottom w:val="0"/>
      <w:divBdr>
        <w:top w:val="none" w:sz="0" w:space="0" w:color="auto"/>
        <w:left w:val="none" w:sz="0" w:space="0" w:color="auto"/>
        <w:bottom w:val="none" w:sz="0" w:space="0" w:color="auto"/>
        <w:right w:val="none" w:sz="0" w:space="0" w:color="auto"/>
      </w:divBdr>
    </w:div>
    <w:div w:id="237449935">
      <w:bodyDiv w:val="1"/>
      <w:marLeft w:val="0"/>
      <w:marRight w:val="0"/>
      <w:marTop w:val="0"/>
      <w:marBottom w:val="0"/>
      <w:divBdr>
        <w:top w:val="none" w:sz="0" w:space="0" w:color="auto"/>
        <w:left w:val="none" w:sz="0" w:space="0" w:color="auto"/>
        <w:bottom w:val="none" w:sz="0" w:space="0" w:color="auto"/>
        <w:right w:val="none" w:sz="0" w:space="0" w:color="auto"/>
      </w:divBdr>
    </w:div>
    <w:div w:id="295835505">
      <w:bodyDiv w:val="1"/>
      <w:marLeft w:val="0"/>
      <w:marRight w:val="0"/>
      <w:marTop w:val="0"/>
      <w:marBottom w:val="0"/>
      <w:divBdr>
        <w:top w:val="none" w:sz="0" w:space="0" w:color="auto"/>
        <w:left w:val="none" w:sz="0" w:space="0" w:color="auto"/>
        <w:bottom w:val="none" w:sz="0" w:space="0" w:color="auto"/>
        <w:right w:val="none" w:sz="0" w:space="0" w:color="auto"/>
      </w:divBdr>
    </w:div>
    <w:div w:id="357854840">
      <w:bodyDiv w:val="1"/>
      <w:marLeft w:val="0"/>
      <w:marRight w:val="0"/>
      <w:marTop w:val="0"/>
      <w:marBottom w:val="0"/>
      <w:divBdr>
        <w:top w:val="none" w:sz="0" w:space="0" w:color="auto"/>
        <w:left w:val="none" w:sz="0" w:space="0" w:color="auto"/>
        <w:bottom w:val="none" w:sz="0" w:space="0" w:color="auto"/>
        <w:right w:val="none" w:sz="0" w:space="0" w:color="auto"/>
      </w:divBdr>
    </w:div>
    <w:div w:id="360282223">
      <w:bodyDiv w:val="1"/>
      <w:marLeft w:val="0"/>
      <w:marRight w:val="0"/>
      <w:marTop w:val="0"/>
      <w:marBottom w:val="0"/>
      <w:divBdr>
        <w:top w:val="none" w:sz="0" w:space="0" w:color="auto"/>
        <w:left w:val="none" w:sz="0" w:space="0" w:color="auto"/>
        <w:bottom w:val="none" w:sz="0" w:space="0" w:color="auto"/>
        <w:right w:val="none" w:sz="0" w:space="0" w:color="auto"/>
      </w:divBdr>
    </w:div>
    <w:div w:id="379672046">
      <w:bodyDiv w:val="1"/>
      <w:marLeft w:val="0"/>
      <w:marRight w:val="0"/>
      <w:marTop w:val="0"/>
      <w:marBottom w:val="0"/>
      <w:divBdr>
        <w:top w:val="none" w:sz="0" w:space="0" w:color="auto"/>
        <w:left w:val="none" w:sz="0" w:space="0" w:color="auto"/>
        <w:bottom w:val="none" w:sz="0" w:space="0" w:color="auto"/>
        <w:right w:val="none" w:sz="0" w:space="0" w:color="auto"/>
      </w:divBdr>
    </w:div>
    <w:div w:id="398676338">
      <w:bodyDiv w:val="1"/>
      <w:marLeft w:val="0"/>
      <w:marRight w:val="0"/>
      <w:marTop w:val="0"/>
      <w:marBottom w:val="0"/>
      <w:divBdr>
        <w:top w:val="none" w:sz="0" w:space="0" w:color="auto"/>
        <w:left w:val="none" w:sz="0" w:space="0" w:color="auto"/>
        <w:bottom w:val="none" w:sz="0" w:space="0" w:color="auto"/>
        <w:right w:val="none" w:sz="0" w:space="0" w:color="auto"/>
      </w:divBdr>
    </w:div>
    <w:div w:id="409235498">
      <w:bodyDiv w:val="1"/>
      <w:marLeft w:val="0"/>
      <w:marRight w:val="0"/>
      <w:marTop w:val="0"/>
      <w:marBottom w:val="0"/>
      <w:divBdr>
        <w:top w:val="none" w:sz="0" w:space="0" w:color="auto"/>
        <w:left w:val="none" w:sz="0" w:space="0" w:color="auto"/>
        <w:bottom w:val="none" w:sz="0" w:space="0" w:color="auto"/>
        <w:right w:val="none" w:sz="0" w:space="0" w:color="auto"/>
      </w:divBdr>
    </w:div>
    <w:div w:id="410349189">
      <w:bodyDiv w:val="1"/>
      <w:marLeft w:val="0"/>
      <w:marRight w:val="0"/>
      <w:marTop w:val="0"/>
      <w:marBottom w:val="0"/>
      <w:divBdr>
        <w:top w:val="none" w:sz="0" w:space="0" w:color="auto"/>
        <w:left w:val="none" w:sz="0" w:space="0" w:color="auto"/>
        <w:bottom w:val="none" w:sz="0" w:space="0" w:color="auto"/>
        <w:right w:val="none" w:sz="0" w:space="0" w:color="auto"/>
      </w:divBdr>
    </w:div>
    <w:div w:id="411781518">
      <w:bodyDiv w:val="1"/>
      <w:marLeft w:val="0"/>
      <w:marRight w:val="0"/>
      <w:marTop w:val="0"/>
      <w:marBottom w:val="0"/>
      <w:divBdr>
        <w:top w:val="none" w:sz="0" w:space="0" w:color="auto"/>
        <w:left w:val="none" w:sz="0" w:space="0" w:color="auto"/>
        <w:bottom w:val="none" w:sz="0" w:space="0" w:color="auto"/>
        <w:right w:val="none" w:sz="0" w:space="0" w:color="auto"/>
      </w:divBdr>
    </w:div>
    <w:div w:id="440222857">
      <w:bodyDiv w:val="1"/>
      <w:marLeft w:val="0"/>
      <w:marRight w:val="0"/>
      <w:marTop w:val="0"/>
      <w:marBottom w:val="0"/>
      <w:divBdr>
        <w:top w:val="none" w:sz="0" w:space="0" w:color="auto"/>
        <w:left w:val="none" w:sz="0" w:space="0" w:color="auto"/>
        <w:bottom w:val="none" w:sz="0" w:space="0" w:color="auto"/>
        <w:right w:val="none" w:sz="0" w:space="0" w:color="auto"/>
      </w:divBdr>
    </w:div>
    <w:div w:id="448742069">
      <w:bodyDiv w:val="1"/>
      <w:marLeft w:val="0"/>
      <w:marRight w:val="0"/>
      <w:marTop w:val="0"/>
      <w:marBottom w:val="0"/>
      <w:divBdr>
        <w:top w:val="none" w:sz="0" w:space="0" w:color="auto"/>
        <w:left w:val="none" w:sz="0" w:space="0" w:color="auto"/>
        <w:bottom w:val="none" w:sz="0" w:space="0" w:color="auto"/>
        <w:right w:val="none" w:sz="0" w:space="0" w:color="auto"/>
      </w:divBdr>
    </w:div>
    <w:div w:id="456605234">
      <w:bodyDiv w:val="1"/>
      <w:marLeft w:val="0"/>
      <w:marRight w:val="0"/>
      <w:marTop w:val="0"/>
      <w:marBottom w:val="0"/>
      <w:divBdr>
        <w:top w:val="none" w:sz="0" w:space="0" w:color="auto"/>
        <w:left w:val="none" w:sz="0" w:space="0" w:color="auto"/>
        <w:bottom w:val="none" w:sz="0" w:space="0" w:color="auto"/>
        <w:right w:val="none" w:sz="0" w:space="0" w:color="auto"/>
      </w:divBdr>
    </w:div>
    <w:div w:id="504826581">
      <w:bodyDiv w:val="1"/>
      <w:marLeft w:val="0"/>
      <w:marRight w:val="0"/>
      <w:marTop w:val="0"/>
      <w:marBottom w:val="0"/>
      <w:divBdr>
        <w:top w:val="none" w:sz="0" w:space="0" w:color="auto"/>
        <w:left w:val="none" w:sz="0" w:space="0" w:color="auto"/>
        <w:bottom w:val="none" w:sz="0" w:space="0" w:color="auto"/>
        <w:right w:val="none" w:sz="0" w:space="0" w:color="auto"/>
      </w:divBdr>
    </w:div>
    <w:div w:id="535586502">
      <w:bodyDiv w:val="1"/>
      <w:marLeft w:val="0"/>
      <w:marRight w:val="0"/>
      <w:marTop w:val="0"/>
      <w:marBottom w:val="0"/>
      <w:divBdr>
        <w:top w:val="none" w:sz="0" w:space="0" w:color="auto"/>
        <w:left w:val="none" w:sz="0" w:space="0" w:color="auto"/>
        <w:bottom w:val="none" w:sz="0" w:space="0" w:color="auto"/>
        <w:right w:val="none" w:sz="0" w:space="0" w:color="auto"/>
      </w:divBdr>
    </w:div>
    <w:div w:id="580061514">
      <w:bodyDiv w:val="1"/>
      <w:marLeft w:val="0"/>
      <w:marRight w:val="0"/>
      <w:marTop w:val="0"/>
      <w:marBottom w:val="0"/>
      <w:divBdr>
        <w:top w:val="none" w:sz="0" w:space="0" w:color="auto"/>
        <w:left w:val="none" w:sz="0" w:space="0" w:color="auto"/>
        <w:bottom w:val="none" w:sz="0" w:space="0" w:color="auto"/>
        <w:right w:val="none" w:sz="0" w:space="0" w:color="auto"/>
      </w:divBdr>
    </w:div>
    <w:div w:id="587618608">
      <w:bodyDiv w:val="1"/>
      <w:marLeft w:val="0"/>
      <w:marRight w:val="0"/>
      <w:marTop w:val="0"/>
      <w:marBottom w:val="0"/>
      <w:divBdr>
        <w:top w:val="none" w:sz="0" w:space="0" w:color="auto"/>
        <w:left w:val="none" w:sz="0" w:space="0" w:color="auto"/>
        <w:bottom w:val="none" w:sz="0" w:space="0" w:color="auto"/>
        <w:right w:val="none" w:sz="0" w:space="0" w:color="auto"/>
      </w:divBdr>
    </w:div>
    <w:div w:id="594170342">
      <w:bodyDiv w:val="1"/>
      <w:marLeft w:val="0"/>
      <w:marRight w:val="0"/>
      <w:marTop w:val="0"/>
      <w:marBottom w:val="0"/>
      <w:divBdr>
        <w:top w:val="none" w:sz="0" w:space="0" w:color="auto"/>
        <w:left w:val="none" w:sz="0" w:space="0" w:color="auto"/>
        <w:bottom w:val="none" w:sz="0" w:space="0" w:color="auto"/>
        <w:right w:val="none" w:sz="0" w:space="0" w:color="auto"/>
      </w:divBdr>
    </w:div>
    <w:div w:id="620918957">
      <w:bodyDiv w:val="1"/>
      <w:marLeft w:val="0"/>
      <w:marRight w:val="0"/>
      <w:marTop w:val="0"/>
      <w:marBottom w:val="0"/>
      <w:divBdr>
        <w:top w:val="none" w:sz="0" w:space="0" w:color="auto"/>
        <w:left w:val="none" w:sz="0" w:space="0" w:color="auto"/>
        <w:bottom w:val="none" w:sz="0" w:space="0" w:color="auto"/>
        <w:right w:val="none" w:sz="0" w:space="0" w:color="auto"/>
      </w:divBdr>
      <w:divsChild>
        <w:div w:id="1828980714">
          <w:marLeft w:val="0"/>
          <w:marRight w:val="0"/>
          <w:marTop w:val="0"/>
          <w:marBottom w:val="0"/>
          <w:divBdr>
            <w:top w:val="none" w:sz="0" w:space="0" w:color="auto"/>
            <w:left w:val="none" w:sz="0" w:space="0" w:color="auto"/>
            <w:bottom w:val="none" w:sz="0" w:space="0" w:color="auto"/>
            <w:right w:val="none" w:sz="0" w:space="0" w:color="auto"/>
          </w:divBdr>
          <w:divsChild>
            <w:div w:id="1043333673">
              <w:marLeft w:val="0"/>
              <w:marRight w:val="0"/>
              <w:marTop w:val="0"/>
              <w:marBottom w:val="0"/>
              <w:divBdr>
                <w:top w:val="none" w:sz="0" w:space="0" w:color="auto"/>
                <w:left w:val="none" w:sz="0" w:space="0" w:color="auto"/>
                <w:bottom w:val="none" w:sz="0" w:space="0" w:color="auto"/>
                <w:right w:val="none" w:sz="0" w:space="0" w:color="auto"/>
              </w:divBdr>
              <w:divsChild>
                <w:div w:id="1658261460">
                  <w:marLeft w:val="0"/>
                  <w:marRight w:val="0"/>
                  <w:marTop w:val="0"/>
                  <w:marBottom w:val="0"/>
                  <w:divBdr>
                    <w:top w:val="none" w:sz="0" w:space="0" w:color="auto"/>
                    <w:left w:val="none" w:sz="0" w:space="0" w:color="auto"/>
                    <w:bottom w:val="none" w:sz="0" w:space="0" w:color="auto"/>
                    <w:right w:val="none" w:sz="0" w:space="0" w:color="auto"/>
                  </w:divBdr>
                  <w:divsChild>
                    <w:div w:id="199807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90303">
      <w:bodyDiv w:val="1"/>
      <w:marLeft w:val="0"/>
      <w:marRight w:val="0"/>
      <w:marTop w:val="0"/>
      <w:marBottom w:val="0"/>
      <w:divBdr>
        <w:top w:val="none" w:sz="0" w:space="0" w:color="auto"/>
        <w:left w:val="none" w:sz="0" w:space="0" w:color="auto"/>
        <w:bottom w:val="none" w:sz="0" w:space="0" w:color="auto"/>
        <w:right w:val="none" w:sz="0" w:space="0" w:color="auto"/>
      </w:divBdr>
    </w:div>
    <w:div w:id="689795942">
      <w:bodyDiv w:val="1"/>
      <w:marLeft w:val="0"/>
      <w:marRight w:val="0"/>
      <w:marTop w:val="0"/>
      <w:marBottom w:val="0"/>
      <w:divBdr>
        <w:top w:val="none" w:sz="0" w:space="0" w:color="auto"/>
        <w:left w:val="none" w:sz="0" w:space="0" w:color="auto"/>
        <w:bottom w:val="none" w:sz="0" w:space="0" w:color="auto"/>
        <w:right w:val="none" w:sz="0" w:space="0" w:color="auto"/>
      </w:divBdr>
    </w:div>
    <w:div w:id="690688661">
      <w:bodyDiv w:val="1"/>
      <w:marLeft w:val="0"/>
      <w:marRight w:val="0"/>
      <w:marTop w:val="0"/>
      <w:marBottom w:val="0"/>
      <w:divBdr>
        <w:top w:val="none" w:sz="0" w:space="0" w:color="auto"/>
        <w:left w:val="none" w:sz="0" w:space="0" w:color="auto"/>
        <w:bottom w:val="none" w:sz="0" w:space="0" w:color="auto"/>
        <w:right w:val="none" w:sz="0" w:space="0" w:color="auto"/>
      </w:divBdr>
    </w:div>
    <w:div w:id="711197251">
      <w:bodyDiv w:val="1"/>
      <w:marLeft w:val="0"/>
      <w:marRight w:val="0"/>
      <w:marTop w:val="0"/>
      <w:marBottom w:val="0"/>
      <w:divBdr>
        <w:top w:val="none" w:sz="0" w:space="0" w:color="auto"/>
        <w:left w:val="none" w:sz="0" w:space="0" w:color="auto"/>
        <w:bottom w:val="none" w:sz="0" w:space="0" w:color="auto"/>
        <w:right w:val="none" w:sz="0" w:space="0" w:color="auto"/>
      </w:divBdr>
    </w:div>
    <w:div w:id="727925254">
      <w:bodyDiv w:val="1"/>
      <w:marLeft w:val="0"/>
      <w:marRight w:val="0"/>
      <w:marTop w:val="0"/>
      <w:marBottom w:val="0"/>
      <w:divBdr>
        <w:top w:val="none" w:sz="0" w:space="0" w:color="auto"/>
        <w:left w:val="none" w:sz="0" w:space="0" w:color="auto"/>
        <w:bottom w:val="none" w:sz="0" w:space="0" w:color="auto"/>
        <w:right w:val="none" w:sz="0" w:space="0" w:color="auto"/>
      </w:divBdr>
    </w:div>
    <w:div w:id="732580478">
      <w:bodyDiv w:val="1"/>
      <w:marLeft w:val="0"/>
      <w:marRight w:val="0"/>
      <w:marTop w:val="0"/>
      <w:marBottom w:val="0"/>
      <w:divBdr>
        <w:top w:val="none" w:sz="0" w:space="0" w:color="auto"/>
        <w:left w:val="none" w:sz="0" w:space="0" w:color="auto"/>
        <w:bottom w:val="none" w:sz="0" w:space="0" w:color="auto"/>
        <w:right w:val="none" w:sz="0" w:space="0" w:color="auto"/>
      </w:divBdr>
    </w:div>
    <w:div w:id="746997878">
      <w:bodyDiv w:val="1"/>
      <w:marLeft w:val="0"/>
      <w:marRight w:val="0"/>
      <w:marTop w:val="0"/>
      <w:marBottom w:val="0"/>
      <w:divBdr>
        <w:top w:val="none" w:sz="0" w:space="0" w:color="auto"/>
        <w:left w:val="none" w:sz="0" w:space="0" w:color="auto"/>
        <w:bottom w:val="none" w:sz="0" w:space="0" w:color="auto"/>
        <w:right w:val="none" w:sz="0" w:space="0" w:color="auto"/>
      </w:divBdr>
    </w:div>
    <w:div w:id="757169270">
      <w:bodyDiv w:val="1"/>
      <w:marLeft w:val="0"/>
      <w:marRight w:val="0"/>
      <w:marTop w:val="0"/>
      <w:marBottom w:val="0"/>
      <w:divBdr>
        <w:top w:val="none" w:sz="0" w:space="0" w:color="auto"/>
        <w:left w:val="none" w:sz="0" w:space="0" w:color="auto"/>
        <w:bottom w:val="none" w:sz="0" w:space="0" w:color="auto"/>
        <w:right w:val="none" w:sz="0" w:space="0" w:color="auto"/>
      </w:divBdr>
    </w:div>
    <w:div w:id="770441483">
      <w:bodyDiv w:val="1"/>
      <w:marLeft w:val="0"/>
      <w:marRight w:val="0"/>
      <w:marTop w:val="0"/>
      <w:marBottom w:val="0"/>
      <w:divBdr>
        <w:top w:val="none" w:sz="0" w:space="0" w:color="auto"/>
        <w:left w:val="none" w:sz="0" w:space="0" w:color="auto"/>
        <w:bottom w:val="none" w:sz="0" w:space="0" w:color="auto"/>
        <w:right w:val="none" w:sz="0" w:space="0" w:color="auto"/>
      </w:divBdr>
    </w:div>
    <w:div w:id="788547973">
      <w:bodyDiv w:val="1"/>
      <w:marLeft w:val="0"/>
      <w:marRight w:val="0"/>
      <w:marTop w:val="0"/>
      <w:marBottom w:val="0"/>
      <w:divBdr>
        <w:top w:val="none" w:sz="0" w:space="0" w:color="auto"/>
        <w:left w:val="none" w:sz="0" w:space="0" w:color="auto"/>
        <w:bottom w:val="none" w:sz="0" w:space="0" w:color="auto"/>
        <w:right w:val="none" w:sz="0" w:space="0" w:color="auto"/>
      </w:divBdr>
    </w:div>
    <w:div w:id="797384062">
      <w:bodyDiv w:val="1"/>
      <w:marLeft w:val="0"/>
      <w:marRight w:val="0"/>
      <w:marTop w:val="0"/>
      <w:marBottom w:val="0"/>
      <w:divBdr>
        <w:top w:val="none" w:sz="0" w:space="0" w:color="auto"/>
        <w:left w:val="none" w:sz="0" w:space="0" w:color="auto"/>
        <w:bottom w:val="none" w:sz="0" w:space="0" w:color="auto"/>
        <w:right w:val="none" w:sz="0" w:space="0" w:color="auto"/>
      </w:divBdr>
    </w:div>
    <w:div w:id="798108696">
      <w:bodyDiv w:val="1"/>
      <w:marLeft w:val="0"/>
      <w:marRight w:val="0"/>
      <w:marTop w:val="0"/>
      <w:marBottom w:val="0"/>
      <w:divBdr>
        <w:top w:val="none" w:sz="0" w:space="0" w:color="auto"/>
        <w:left w:val="none" w:sz="0" w:space="0" w:color="auto"/>
        <w:bottom w:val="none" w:sz="0" w:space="0" w:color="auto"/>
        <w:right w:val="none" w:sz="0" w:space="0" w:color="auto"/>
      </w:divBdr>
    </w:div>
    <w:div w:id="826358652">
      <w:bodyDiv w:val="1"/>
      <w:marLeft w:val="0"/>
      <w:marRight w:val="0"/>
      <w:marTop w:val="0"/>
      <w:marBottom w:val="0"/>
      <w:divBdr>
        <w:top w:val="none" w:sz="0" w:space="0" w:color="auto"/>
        <w:left w:val="none" w:sz="0" w:space="0" w:color="auto"/>
        <w:bottom w:val="none" w:sz="0" w:space="0" w:color="auto"/>
        <w:right w:val="none" w:sz="0" w:space="0" w:color="auto"/>
      </w:divBdr>
    </w:div>
    <w:div w:id="833110175">
      <w:bodyDiv w:val="1"/>
      <w:marLeft w:val="0"/>
      <w:marRight w:val="0"/>
      <w:marTop w:val="0"/>
      <w:marBottom w:val="0"/>
      <w:divBdr>
        <w:top w:val="none" w:sz="0" w:space="0" w:color="auto"/>
        <w:left w:val="none" w:sz="0" w:space="0" w:color="auto"/>
        <w:bottom w:val="none" w:sz="0" w:space="0" w:color="auto"/>
        <w:right w:val="none" w:sz="0" w:space="0" w:color="auto"/>
      </w:divBdr>
    </w:div>
    <w:div w:id="857083504">
      <w:bodyDiv w:val="1"/>
      <w:marLeft w:val="0"/>
      <w:marRight w:val="0"/>
      <w:marTop w:val="0"/>
      <w:marBottom w:val="0"/>
      <w:divBdr>
        <w:top w:val="none" w:sz="0" w:space="0" w:color="auto"/>
        <w:left w:val="none" w:sz="0" w:space="0" w:color="auto"/>
        <w:bottom w:val="none" w:sz="0" w:space="0" w:color="auto"/>
        <w:right w:val="none" w:sz="0" w:space="0" w:color="auto"/>
      </w:divBdr>
    </w:div>
    <w:div w:id="905341822">
      <w:bodyDiv w:val="1"/>
      <w:marLeft w:val="0"/>
      <w:marRight w:val="0"/>
      <w:marTop w:val="0"/>
      <w:marBottom w:val="0"/>
      <w:divBdr>
        <w:top w:val="none" w:sz="0" w:space="0" w:color="auto"/>
        <w:left w:val="none" w:sz="0" w:space="0" w:color="auto"/>
        <w:bottom w:val="none" w:sz="0" w:space="0" w:color="auto"/>
        <w:right w:val="none" w:sz="0" w:space="0" w:color="auto"/>
      </w:divBdr>
    </w:div>
    <w:div w:id="929046848">
      <w:bodyDiv w:val="1"/>
      <w:marLeft w:val="0"/>
      <w:marRight w:val="0"/>
      <w:marTop w:val="0"/>
      <w:marBottom w:val="0"/>
      <w:divBdr>
        <w:top w:val="none" w:sz="0" w:space="0" w:color="auto"/>
        <w:left w:val="none" w:sz="0" w:space="0" w:color="auto"/>
        <w:bottom w:val="none" w:sz="0" w:space="0" w:color="auto"/>
        <w:right w:val="none" w:sz="0" w:space="0" w:color="auto"/>
      </w:divBdr>
    </w:div>
    <w:div w:id="930701915">
      <w:bodyDiv w:val="1"/>
      <w:marLeft w:val="0"/>
      <w:marRight w:val="0"/>
      <w:marTop w:val="0"/>
      <w:marBottom w:val="0"/>
      <w:divBdr>
        <w:top w:val="none" w:sz="0" w:space="0" w:color="auto"/>
        <w:left w:val="none" w:sz="0" w:space="0" w:color="auto"/>
        <w:bottom w:val="none" w:sz="0" w:space="0" w:color="auto"/>
        <w:right w:val="none" w:sz="0" w:space="0" w:color="auto"/>
      </w:divBdr>
    </w:div>
    <w:div w:id="944189187">
      <w:bodyDiv w:val="1"/>
      <w:marLeft w:val="0"/>
      <w:marRight w:val="0"/>
      <w:marTop w:val="0"/>
      <w:marBottom w:val="0"/>
      <w:divBdr>
        <w:top w:val="none" w:sz="0" w:space="0" w:color="auto"/>
        <w:left w:val="none" w:sz="0" w:space="0" w:color="auto"/>
        <w:bottom w:val="none" w:sz="0" w:space="0" w:color="auto"/>
        <w:right w:val="none" w:sz="0" w:space="0" w:color="auto"/>
      </w:divBdr>
      <w:divsChild>
        <w:div w:id="1443764551">
          <w:marLeft w:val="0"/>
          <w:marRight w:val="0"/>
          <w:marTop w:val="0"/>
          <w:marBottom w:val="0"/>
          <w:divBdr>
            <w:top w:val="none" w:sz="0" w:space="0" w:color="auto"/>
            <w:left w:val="none" w:sz="0" w:space="0" w:color="auto"/>
            <w:bottom w:val="none" w:sz="0" w:space="0" w:color="auto"/>
            <w:right w:val="none" w:sz="0" w:space="0" w:color="auto"/>
          </w:divBdr>
        </w:div>
      </w:divsChild>
    </w:div>
    <w:div w:id="953026519">
      <w:bodyDiv w:val="1"/>
      <w:marLeft w:val="0"/>
      <w:marRight w:val="0"/>
      <w:marTop w:val="0"/>
      <w:marBottom w:val="0"/>
      <w:divBdr>
        <w:top w:val="none" w:sz="0" w:space="0" w:color="auto"/>
        <w:left w:val="none" w:sz="0" w:space="0" w:color="auto"/>
        <w:bottom w:val="none" w:sz="0" w:space="0" w:color="auto"/>
        <w:right w:val="none" w:sz="0" w:space="0" w:color="auto"/>
      </w:divBdr>
    </w:div>
    <w:div w:id="989020698">
      <w:bodyDiv w:val="1"/>
      <w:marLeft w:val="0"/>
      <w:marRight w:val="0"/>
      <w:marTop w:val="0"/>
      <w:marBottom w:val="0"/>
      <w:divBdr>
        <w:top w:val="none" w:sz="0" w:space="0" w:color="auto"/>
        <w:left w:val="none" w:sz="0" w:space="0" w:color="auto"/>
        <w:bottom w:val="none" w:sz="0" w:space="0" w:color="auto"/>
        <w:right w:val="none" w:sz="0" w:space="0" w:color="auto"/>
      </w:divBdr>
    </w:div>
    <w:div w:id="989745477">
      <w:bodyDiv w:val="1"/>
      <w:marLeft w:val="0"/>
      <w:marRight w:val="0"/>
      <w:marTop w:val="0"/>
      <w:marBottom w:val="0"/>
      <w:divBdr>
        <w:top w:val="none" w:sz="0" w:space="0" w:color="auto"/>
        <w:left w:val="none" w:sz="0" w:space="0" w:color="auto"/>
        <w:bottom w:val="none" w:sz="0" w:space="0" w:color="auto"/>
        <w:right w:val="none" w:sz="0" w:space="0" w:color="auto"/>
      </w:divBdr>
    </w:div>
    <w:div w:id="1000080055">
      <w:bodyDiv w:val="1"/>
      <w:marLeft w:val="0"/>
      <w:marRight w:val="0"/>
      <w:marTop w:val="0"/>
      <w:marBottom w:val="0"/>
      <w:divBdr>
        <w:top w:val="none" w:sz="0" w:space="0" w:color="auto"/>
        <w:left w:val="none" w:sz="0" w:space="0" w:color="auto"/>
        <w:bottom w:val="none" w:sz="0" w:space="0" w:color="auto"/>
        <w:right w:val="none" w:sz="0" w:space="0" w:color="auto"/>
      </w:divBdr>
    </w:div>
    <w:div w:id="1021934773">
      <w:bodyDiv w:val="1"/>
      <w:marLeft w:val="0"/>
      <w:marRight w:val="0"/>
      <w:marTop w:val="0"/>
      <w:marBottom w:val="0"/>
      <w:divBdr>
        <w:top w:val="none" w:sz="0" w:space="0" w:color="auto"/>
        <w:left w:val="none" w:sz="0" w:space="0" w:color="auto"/>
        <w:bottom w:val="none" w:sz="0" w:space="0" w:color="auto"/>
        <w:right w:val="none" w:sz="0" w:space="0" w:color="auto"/>
      </w:divBdr>
    </w:div>
    <w:div w:id="1028602703">
      <w:bodyDiv w:val="1"/>
      <w:marLeft w:val="0"/>
      <w:marRight w:val="0"/>
      <w:marTop w:val="0"/>
      <w:marBottom w:val="0"/>
      <w:divBdr>
        <w:top w:val="none" w:sz="0" w:space="0" w:color="auto"/>
        <w:left w:val="none" w:sz="0" w:space="0" w:color="auto"/>
        <w:bottom w:val="none" w:sz="0" w:space="0" w:color="auto"/>
        <w:right w:val="none" w:sz="0" w:space="0" w:color="auto"/>
      </w:divBdr>
    </w:div>
    <w:div w:id="1047147949">
      <w:bodyDiv w:val="1"/>
      <w:marLeft w:val="0"/>
      <w:marRight w:val="0"/>
      <w:marTop w:val="0"/>
      <w:marBottom w:val="0"/>
      <w:divBdr>
        <w:top w:val="none" w:sz="0" w:space="0" w:color="auto"/>
        <w:left w:val="none" w:sz="0" w:space="0" w:color="auto"/>
        <w:bottom w:val="none" w:sz="0" w:space="0" w:color="auto"/>
        <w:right w:val="none" w:sz="0" w:space="0" w:color="auto"/>
      </w:divBdr>
    </w:div>
    <w:div w:id="1053501406">
      <w:bodyDiv w:val="1"/>
      <w:marLeft w:val="0"/>
      <w:marRight w:val="0"/>
      <w:marTop w:val="0"/>
      <w:marBottom w:val="0"/>
      <w:divBdr>
        <w:top w:val="none" w:sz="0" w:space="0" w:color="auto"/>
        <w:left w:val="none" w:sz="0" w:space="0" w:color="auto"/>
        <w:bottom w:val="none" w:sz="0" w:space="0" w:color="auto"/>
        <w:right w:val="none" w:sz="0" w:space="0" w:color="auto"/>
      </w:divBdr>
    </w:div>
    <w:div w:id="1071585804">
      <w:bodyDiv w:val="1"/>
      <w:marLeft w:val="0"/>
      <w:marRight w:val="0"/>
      <w:marTop w:val="0"/>
      <w:marBottom w:val="0"/>
      <w:divBdr>
        <w:top w:val="none" w:sz="0" w:space="0" w:color="auto"/>
        <w:left w:val="none" w:sz="0" w:space="0" w:color="auto"/>
        <w:bottom w:val="none" w:sz="0" w:space="0" w:color="auto"/>
        <w:right w:val="none" w:sz="0" w:space="0" w:color="auto"/>
      </w:divBdr>
    </w:div>
    <w:div w:id="1080523116">
      <w:bodyDiv w:val="1"/>
      <w:marLeft w:val="0"/>
      <w:marRight w:val="0"/>
      <w:marTop w:val="0"/>
      <w:marBottom w:val="0"/>
      <w:divBdr>
        <w:top w:val="none" w:sz="0" w:space="0" w:color="auto"/>
        <w:left w:val="none" w:sz="0" w:space="0" w:color="auto"/>
        <w:bottom w:val="none" w:sz="0" w:space="0" w:color="auto"/>
        <w:right w:val="none" w:sz="0" w:space="0" w:color="auto"/>
      </w:divBdr>
    </w:div>
    <w:div w:id="1086076645">
      <w:bodyDiv w:val="1"/>
      <w:marLeft w:val="0"/>
      <w:marRight w:val="0"/>
      <w:marTop w:val="0"/>
      <w:marBottom w:val="0"/>
      <w:divBdr>
        <w:top w:val="none" w:sz="0" w:space="0" w:color="auto"/>
        <w:left w:val="none" w:sz="0" w:space="0" w:color="auto"/>
        <w:bottom w:val="none" w:sz="0" w:space="0" w:color="auto"/>
        <w:right w:val="none" w:sz="0" w:space="0" w:color="auto"/>
      </w:divBdr>
    </w:div>
    <w:div w:id="1108742549">
      <w:bodyDiv w:val="1"/>
      <w:marLeft w:val="0"/>
      <w:marRight w:val="0"/>
      <w:marTop w:val="0"/>
      <w:marBottom w:val="0"/>
      <w:divBdr>
        <w:top w:val="none" w:sz="0" w:space="0" w:color="auto"/>
        <w:left w:val="none" w:sz="0" w:space="0" w:color="auto"/>
        <w:bottom w:val="none" w:sz="0" w:space="0" w:color="auto"/>
        <w:right w:val="none" w:sz="0" w:space="0" w:color="auto"/>
      </w:divBdr>
    </w:div>
    <w:div w:id="1147865187">
      <w:bodyDiv w:val="1"/>
      <w:marLeft w:val="0"/>
      <w:marRight w:val="0"/>
      <w:marTop w:val="0"/>
      <w:marBottom w:val="0"/>
      <w:divBdr>
        <w:top w:val="none" w:sz="0" w:space="0" w:color="auto"/>
        <w:left w:val="none" w:sz="0" w:space="0" w:color="auto"/>
        <w:bottom w:val="none" w:sz="0" w:space="0" w:color="auto"/>
        <w:right w:val="none" w:sz="0" w:space="0" w:color="auto"/>
      </w:divBdr>
    </w:div>
    <w:div w:id="1163349283">
      <w:bodyDiv w:val="1"/>
      <w:marLeft w:val="0"/>
      <w:marRight w:val="0"/>
      <w:marTop w:val="0"/>
      <w:marBottom w:val="0"/>
      <w:divBdr>
        <w:top w:val="none" w:sz="0" w:space="0" w:color="auto"/>
        <w:left w:val="none" w:sz="0" w:space="0" w:color="auto"/>
        <w:bottom w:val="none" w:sz="0" w:space="0" w:color="auto"/>
        <w:right w:val="none" w:sz="0" w:space="0" w:color="auto"/>
      </w:divBdr>
    </w:div>
    <w:div w:id="1183663777">
      <w:bodyDiv w:val="1"/>
      <w:marLeft w:val="0"/>
      <w:marRight w:val="0"/>
      <w:marTop w:val="0"/>
      <w:marBottom w:val="0"/>
      <w:divBdr>
        <w:top w:val="none" w:sz="0" w:space="0" w:color="auto"/>
        <w:left w:val="none" w:sz="0" w:space="0" w:color="auto"/>
        <w:bottom w:val="none" w:sz="0" w:space="0" w:color="auto"/>
        <w:right w:val="none" w:sz="0" w:space="0" w:color="auto"/>
      </w:divBdr>
    </w:div>
    <w:div w:id="1191144089">
      <w:bodyDiv w:val="1"/>
      <w:marLeft w:val="0"/>
      <w:marRight w:val="0"/>
      <w:marTop w:val="0"/>
      <w:marBottom w:val="0"/>
      <w:divBdr>
        <w:top w:val="none" w:sz="0" w:space="0" w:color="auto"/>
        <w:left w:val="none" w:sz="0" w:space="0" w:color="auto"/>
        <w:bottom w:val="none" w:sz="0" w:space="0" w:color="auto"/>
        <w:right w:val="none" w:sz="0" w:space="0" w:color="auto"/>
      </w:divBdr>
    </w:div>
    <w:div w:id="1191145897">
      <w:bodyDiv w:val="1"/>
      <w:marLeft w:val="0"/>
      <w:marRight w:val="0"/>
      <w:marTop w:val="0"/>
      <w:marBottom w:val="0"/>
      <w:divBdr>
        <w:top w:val="none" w:sz="0" w:space="0" w:color="auto"/>
        <w:left w:val="none" w:sz="0" w:space="0" w:color="auto"/>
        <w:bottom w:val="none" w:sz="0" w:space="0" w:color="auto"/>
        <w:right w:val="none" w:sz="0" w:space="0" w:color="auto"/>
      </w:divBdr>
    </w:div>
    <w:div w:id="1194882472">
      <w:bodyDiv w:val="1"/>
      <w:marLeft w:val="0"/>
      <w:marRight w:val="0"/>
      <w:marTop w:val="0"/>
      <w:marBottom w:val="0"/>
      <w:divBdr>
        <w:top w:val="none" w:sz="0" w:space="0" w:color="auto"/>
        <w:left w:val="none" w:sz="0" w:space="0" w:color="auto"/>
        <w:bottom w:val="none" w:sz="0" w:space="0" w:color="auto"/>
        <w:right w:val="none" w:sz="0" w:space="0" w:color="auto"/>
      </w:divBdr>
    </w:div>
    <w:div w:id="1213541344">
      <w:bodyDiv w:val="1"/>
      <w:marLeft w:val="0"/>
      <w:marRight w:val="0"/>
      <w:marTop w:val="0"/>
      <w:marBottom w:val="0"/>
      <w:divBdr>
        <w:top w:val="none" w:sz="0" w:space="0" w:color="auto"/>
        <w:left w:val="none" w:sz="0" w:space="0" w:color="auto"/>
        <w:bottom w:val="none" w:sz="0" w:space="0" w:color="auto"/>
        <w:right w:val="none" w:sz="0" w:space="0" w:color="auto"/>
      </w:divBdr>
    </w:div>
    <w:div w:id="1264143073">
      <w:bodyDiv w:val="1"/>
      <w:marLeft w:val="0"/>
      <w:marRight w:val="0"/>
      <w:marTop w:val="0"/>
      <w:marBottom w:val="0"/>
      <w:divBdr>
        <w:top w:val="none" w:sz="0" w:space="0" w:color="auto"/>
        <w:left w:val="none" w:sz="0" w:space="0" w:color="auto"/>
        <w:bottom w:val="none" w:sz="0" w:space="0" w:color="auto"/>
        <w:right w:val="none" w:sz="0" w:space="0" w:color="auto"/>
      </w:divBdr>
    </w:div>
    <w:div w:id="1277520496">
      <w:bodyDiv w:val="1"/>
      <w:marLeft w:val="0"/>
      <w:marRight w:val="0"/>
      <w:marTop w:val="0"/>
      <w:marBottom w:val="0"/>
      <w:divBdr>
        <w:top w:val="none" w:sz="0" w:space="0" w:color="auto"/>
        <w:left w:val="none" w:sz="0" w:space="0" w:color="auto"/>
        <w:bottom w:val="none" w:sz="0" w:space="0" w:color="auto"/>
        <w:right w:val="none" w:sz="0" w:space="0" w:color="auto"/>
      </w:divBdr>
    </w:div>
    <w:div w:id="1310551478">
      <w:bodyDiv w:val="1"/>
      <w:marLeft w:val="0"/>
      <w:marRight w:val="0"/>
      <w:marTop w:val="0"/>
      <w:marBottom w:val="0"/>
      <w:divBdr>
        <w:top w:val="none" w:sz="0" w:space="0" w:color="auto"/>
        <w:left w:val="none" w:sz="0" w:space="0" w:color="auto"/>
        <w:bottom w:val="none" w:sz="0" w:space="0" w:color="auto"/>
        <w:right w:val="none" w:sz="0" w:space="0" w:color="auto"/>
      </w:divBdr>
      <w:divsChild>
        <w:div w:id="1050496504">
          <w:marLeft w:val="0"/>
          <w:marRight w:val="0"/>
          <w:marTop w:val="0"/>
          <w:marBottom w:val="0"/>
          <w:divBdr>
            <w:top w:val="none" w:sz="0" w:space="0" w:color="auto"/>
            <w:left w:val="none" w:sz="0" w:space="0" w:color="auto"/>
            <w:bottom w:val="none" w:sz="0" w:space="0" w:color="auto"/>
            <w:right w:val="none" w:sz="0" w:space="0" w:color="auto"/>
          </w:divBdr>
          <w:divsChild>
            <w:div w:id="329064175">
              <w:marLeft w:val="0"/>
              <w:marRight w:val="0"/>
              <w:marTop w:val="0"/>
              <w:marBottom w:val="0"/>
              <w:divBdr>
                <w:top w:val="none" w:sz="0" w:space="0" w:color="auto"/>
                <w:left w:val="none" w:sz="0" w:space="0" w:color="auto"/>
                <w:bottom w:val="none" w:sz="0" w:space="0" w:color="auto"/>
                <w:right w:val="none" w:sz="0" w:space="0" w:color="auto"/>
              </w:divBdr>
              <w:divsChild>
                <w:div w:id="54310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954802">
      <w:bodyDiv w:val="1"/>
      <w:marLeft w:val="0"/>
      <w:marRight w:val="0"/>
      <w:marTop w:val="0"/>
      <w:marBottom w:val="0"/>
      <w:divBdr>
        <w:top w:val="none" w:sz="0" w:space="0" w:color="auto"/>
        <w:left w:val="none" w:sz="0" w:space="0" w:color="auto"/>
        <w:bottom w:val="none" w:sz="0" w:space="0" w:color="auto"/>
        <w:right w:val="none" w:sz="0" w:space="0" w:color="auto"/>
      </w:divBdr>
    </w:div>
    <w:div w:id="1326006613">
      <w:bodyDiv w:val="1"/>
      <w:marLeft w:val="0"/>
      <w:marRight w:val="0"/>
      <w:marTop w:val="0"/>
      <w:marBottom w:val="0"/>
      <w:divBdr>
        <w:top w:val="none" w:sz="0" w:space="0" w:color="auto"/>
        <w:left w:val="none" w:sz="0" w:space="0" w:color="auto"/>
        <w:bottom w:val="none" w:sz="0" w:space="0" w:color="auto"/>
        <w:right w:val="none" w:sz="0" w:space="0" w:color="auto"/>
      </w:divBdr>
    </w:div>
    <w:div w:id="1339699186">
      <w:bodyDiv w:val="1"/>
      <w:marLeft w:val="0"/>
      <w:marRight w:val="0"/>
      <w:marTop w:val="0"/>
      <w:marBottom w:val="0"/>
      <w:divBdr>
        <w:top w:val="none" w:sz="0" w:space="0" w:color="auto"/>
        <w:left w:val="none" w:sz="0" w:space="0" w:color="auto"/>
        <w:bottom w:val="none" w:sz="0" w:space="0" w:color="auto"/>
        <w:right w:val="none" w:sz="0" w:space="0" w:color="auto"/>
      </w:divBdr>
    </w:div>
    <w:div w:id="1368599768">
      <w:bodyDiv w:val="1"/>
      <w:marLeft w:val="0"/>
      <w:marRight w:val="0"/>
      <w:marTop w:val="0"/>
      <w:marBottom w:val="0"/>
      <w:divBdr>
        <w:top w:val="none" w:sz="0" w:space="0" w:color="auto"/>
        <w:left w:val="none" w:sz="0" w:space="0" w:color="auto"/>
        <w:bottom w:val="none" w:sz="0" w:space="0" w:color="auto"/>
        <w:right w:val="none" w:sz="0" w:space="0" w:color="auto"/>
      </w:divBdr>
    </w:div>
    <w:div w:id="1373113891">
      <w:bodyDiv w:val="1"/>
      <w:marLeft w:val="0"/>
      <w:marRight w:val="0"/>
      <w:marTop w:val="0"/>
      <w:marBottom w:val="0"/>
      <w:divBdr>
        <w:top w:val="none" w:sz="0" w:space="0" w:color="auto"/>
        <w:left w:val="none" w:sz="0" w:space="0" w:color="auto"/>
        <w:bottom w:val="none" w:sz="0" w:space="0" w:color="auto"/>
        <w:right w:val="none" w:sz="0" w:space="0" w:color="auto"/>
      </w:divBdr>
    </w:div>
    <w:div w:id="1374840312">
      <w:bodyDiv w:val="1"/>
      <w:marLeft w:val="0"/>
      <w:marRight w:val="0"/>
      <w:marTop w:val="0"/>
      <w:marBottom w:val="0"/>
      <w:divBdr>
        <w:top w:val="none" w:sz="0" w:space="0" w:color="auto"/>
        <w:left w:val="none" w:sz="0" w:space="0" w:color="auto"/>
        <w:bottom w:val="none" w:sz="0" w:space="0" w:color="auto"/>
        <w:right w:val="none" w:sz="0" w:space="0" w:color="auto"/>
      </w:divBdr>
    </w:div>
    <w:div w:id="1397970804">
      <w:bodyDiv w:val="1"/>
      <w:marLeft w:val="0"/>
      <w:marRight w:val="0"/>
      <w:marTop w:val="0"/>
      <w:marBottom w:val="0"/>
      <w:divBdr>
        <w:top w:val="none" w:sz="0" w:space="0" w:color="auto"/>
        <w:left w:val="none" w:sz="0" w:space="0" w:color="auto"/>
        <w:bottom w:val="none" w:sz="0" w:space="0" w:color="auto"/>
        <w:right w:val="none" w:sz="0" w:space="0" w:color="auto"/>
      </w:divBdr>
    </w:div>
    <w:div w:id="1412851669">
      <w:bodyDiv w:val="1"/>
      <w:marLeft w:val="0"/>
      <w:marRight w:val="0"/>
      <w:marTop w:val="0"/>
      <w:marBottom w:val="0"/>
      <w:divBdr>
        <w:top w:val="none" w:sz="0" w:space="0" w:color="auto"/>
        <w:left w:val="none" w:sz="0" w:space="0" w:color="auto"/>
        <w:bottom w:val="none" w:sz="0" w:space="0" w:color="auto"/>
        <w:right w:val="none" w:sz="0" w:space="0" w:color="auto"/>
      </w:divBdr>
    </w:div>
    <w:div w:id="1444183936">
      <w:bodyDiv w:val="1"/>
      <w:marLeft w:val="0"/>
      <w:marRight w:val="0"/>
      <w:marTop w:val="0"/>
      <w:marBottom w:val="0"/>
      <w:divBdr>
        <w:top w:val="none" w:sz="0" w:space="0" w:color="auto"/>
        <w:left w:val="none" w:sz="0" w:space="0" w:color="auto"/>
        <w:bottom w:val="none" w:sz="0" w:space="0" w:color="auto"/>
        <w:right w:val="none" w:sz="0" w:space="0" w:color="auto"/>
      </w:divBdr>
    </w:div>
    <w:div w:id="1464809063">
      <w:bodyDiv w:val="1"/>
      <w:marLeft w:val="0"/>
      <w:marRight w:val="0"/>
      <w:marTop w:val="0"/>
      <w:marBottom w:val="0"/>
      <w:divBdr>
        <w:top w:val="none" w:sz="0" w:space="0" w:color="auto"/>
        <w:left w:val="none" w:sz="0" w:space="0" w:color="auto"/>
        <w:bottom w:val="none" w:sz="0" w:space="0" w:color="auto"/>
        <w:right w:val="none" w:sz="0" w:space="0" w:color="auto"/>
      </w:divBdr>
    </w:div>
    <w:div w:id="1468351561">
      <w:bodyDiv w:val="1"/>
      <w:marLeft w:val="0"/>
      <w:marRight w:val="0"/>
      <w:marTop w:val="0"/>
      <w:marBottom w:val="0"/>
      <w:divBdr>
        <w:top w:val="none" w:sz="0" w:space="0" w:color="auto"/>
        <w:left w:val="none" w:sz="0" w:space="0" w:color="auto"/>
        <w:bottom w:val="none" w:sz="0" w:space="0" w:color="auto"/>
        <w:right w:val="none" w:sz="0" w:space="0" w:color="auto"/>
      </w:divBdr>
    </w:div>
    <w:div w:id="1470828818">
      <w:bodyDiv w:val="1"/>
      <w:marLeft w:val="0"/>
      <w:marRight w:val="0"/>
      <w:marTop w:val="0"/>
      <w:marBottom w:val="0"/>
      <w:divBdr>
        <w:top w:val="none" w:sz="0" w:space="0" w:color="auto"/>
        <w:left w:val="none" w:sz="0" w:space="0" w:color="auto"/>
        <w:bottom w:val="none" w:sz="0" w:space="0" w:color="auto"/>
        <w:right w:val="none" w:sz="0" w:space="0" w:color="auto"/>
      </w:divBdr>
    </w:div>
    <w:div w:id="1494637095">
      <w:bodyDiv w:val="1"/>
      <w:marLeft w:val="0"/>
      <w:marRight w:val="0"/>
      <w:marTop w:val="0"/>
      <w:marBottom w:val="0"/>
      <w:divBdr>
        <w:top w:val="none" w:sz="0" w:space="0" w:color="auto"/>
        <w:left w:val="none" w:sz="0" w:space="0" w:color="auto"/>
        <w:bottom w:val="none" w:sz="0" w:space="0" w:color="auto"/>
        <w:right w:val="none" w:sz="0" w:space="0" w:color="auto"/>
      </w:divBdr>
    </w:div>
    <w:div w:id="1496531995">
      <w:bodyDiv w:val="1"/>
      <w:marLeft w:val="0"/>
      <w:marRight w:val="0"/>
      <w:marTop w:val="0"/>
      <w:marBottom w:val="0"/>
      <w:divBdr>
        <w:top w:val="none" w:sz="0" w:space="0" w:color="auto"/>
        <w:left w:val="none" w:sz="0" w:space="0" w:color="auto"/>
        <w:bottom w:val="none" w:sz="0" w:space="0" w:color="auto"/>
        <w:right w:val="none" w:sz="0" w:space="0" w:color="auto"/>
      </w:divBdr>
    </w:div>
    <w:div w:id="1506746870">
      <w:bodyDiv w:val="1"/>
      <w:marLeft w:val="0"/>
      <w:marRight w:val="0"/>
      <w:marTop w:val="0"/>
      <w:marBottom w:val="0"/>
      <w:divBdr>
        <w:top w:val="none" w:sz="0" w:space="0" w:color="auto"/>
        <w:left w:val="none" w:sz="0" w:space="0" w:color="auto"/>
        <w:bottom w:val="none" w:sz="0" w:space="0" w:color="auto"/>
        <w:right w:val="none" w:sz="0" w:space="0" w:color="auto"/>
      </w:divBdr>
    </w:div>
    <w:div w:id="1514299137">
      <w:bodyDiv w:val="1"/>
      <w:marLeft w:val="0"/>
      <w:marRight w:val="0"/>
      <w:marTop w:val="0"/>
      <w:marBottom w:val="0"/>
      <w:divBdr>
        <w:top w:val="none" w:sz="0" w:space="0" w:color="auto"/>
        <w:left w:val="none" w:sz="0" w:space="0" w:color="auto"/>
        <w:bottom w:val="none" w:sz="0" w:space="0" w:color="auto"/>
        <w:right w:val="none" w:sz="0" w:space="0" w:color="auto"/>
      </w:divBdr>
    </w:div>
    <w:div w:id="1517698098">
      <w:bodyDiv w:val="1"/>
      <w:marLeft w:val="0"/>
      <w:marRight w:val="0"/>
      <w:marTop w:val="0"/>
      <w:marBottom w:val="0"/>
      <w:divBdr>
        <w:top w:val="none" w:sz="0" w:space="0" w:color="auto"/>
        <w:left w:val="none" w:sz="0" w:space="0" w:color="auto"/>
        <w:bottom w:val="none" w:sz="0" w:space="0" w:color="auto"/>
        <w:right w:val="none" w:sz="0" w:space="0" w:color="auto"/>
      </w:divBdr>
    </w:div>
    <w:div w:id="1520924277">
      <w:bodyDiv w:val="1"/>
      <w:marLeft w:val="0"/>
      <w:marRight w:val="0"/>
      <w:marTop w:val="0"/>
      <w:marBottom w:val="0"/>
      <w:divBdr>
        <w:top w:val="none" w:sz="0" w:space="0" w:color="auto"/>
        <w:left w:val="none" w:sz="0" w:space="0" w:color="auto"/>
        <w:bottom w:val="none" w:sz="0" w:space="0" w:color="auto"/>
        <w:right w:val="none" w:sz="0" w:space="0" w:color="auto"/>
      </w:divBdr>
    </w:div>
    <w:div w:id="1565722884">
      <w:bodyDiv w:val="1"/>
      <w:marLeft w:val="0"/>
      <w:marRight w:val="0"/>
      <w:marTop w:val="0"/>
      <w:marBottom w:val="0"/>
      <w:divBdr>
        <w:top w:val="none" w:sz="0" w:space="0" w:color="auto"/>
        <w:left w:val="none" w:sz="0" w:space="0" w:color="auto"/>
        <w:bottom w:val="none" w:sz="0" w:space="0" w:color="auto"/>
        <w:right w:val="none" w:sz="0" w:space="0" w:color="auto"/>
      </w:divBdr>
    </w:div>
    <w:div w:id="1567371726">
      <w:bodyDiv w:val="1"/>
      <w:marLeft w:val="0"/>
      <w:marRight w:val="0"/>
      <w:marTop w:val="0"/>
      <w:marBottom w:val="0"/>
      <w:divBdr>
        <w:top w:val="none" w:sz="0" w:space="0" w:color="auto"/>
        <w:left w:val="none" w:sz="0" w:space="0" w:color="auto"/>
        <w:bottom w:val="none" w:sz="0" w:space="0" w:color="auto"/>
        <w:right w:val="none" w:sz="0" w:space="0" w:color="auto"/>
      </w:divBdr>
    </w:div>
    <w:div w:id="1569416070">
      <w:bodyDiv w:val="1"/>
      <w:marLeft w:val="0"/>
      <w:marRight w:val="0"/>
      <w:marTop w:val="0"/>
      <w:marBottom w:val="0"/>
      <w:divBdr>
        <w:top w:val="none" w:sz="0" w:space="0" w:color="auto"/>
        <w:left w:val="none" w:sz="0" w:space="0" w:color="auto"/>
        <w:bottom w:val="none" w:sz="0" w:space="0" w:color="auto"/>
        <w:right w:val="none" w:sz="0" w:space="0" w:color="auto"/>
      </w:divBdr>
      <w:divsChild>
        <w:div w:id="1326743066">
          <w:marLeft w:val="0"/>
          <w:marRight w:val="0"/>
          <w:marTop w:val="0"/>
          <w:marBottom w:val="0"/>
          <w:divBdr>
            <w:top w:val="none" w:sz="0" w:space="0" w:color="auto"/>
            <w:left w:val="none" w:sz="0" w:space="0" w:color="auto"/>
            <w:bottom w:val="none" w:sz="0" w:space="0" w:color="auto"/>
            <w:right w:val="none" w:sz="0" w:space="0" w:color="auto"/>
          </w:divBdr>
          <w:divsChild>
            <w:div w:id="1018696378">
              <w:marLeft w:val="0"/>
              <w:marRight w:val="0"/>
              <w:marTop w:val="0"/>
              <w:marBottom w:val="0"/>
              <w:divBdr>
                <w:top w:val="none" w:sz="0" w:space="0" w:color="auto"/>
                <w:left w:val="none" w:sz="0" w:space="0" w:color="auto"/>
                <w:bottom w:val="none" w:sz="0" w:space="0" w:color="auto"/>
                <w:right w:val="none" w:sz="0" w:space="0" w:color="auto"/>
              </w:divBdr>
            </w:div>
            <w:div w:id="2122843391">
              <w:marLeft w:val="0"/>
              <w:marRight w:val="0"/>
              <w:marTop w:val="0"/>
              <w:marBottom w:val="0"/>
              <w:divBdr>
                <w:top w:val="none" w:sz="0" w:space="0" w:color="auto"/>
                <w:left w:val="none" w:sz="0" w:space="0" w:color="auto"/>
                <w:bottom w:val="none" w:sz="0" w:space="0" w:color="auto"/>
                <w:right w:val="none" w:sz="0" w:space="0" w:color="auto"/>
              </w:divBdr>
            </w:div>
            <w:div w:id="57130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3332">
      <w:bodyDiv w:val="1"/>
      <w:marLeft w:val="0"/>
      <w:marRight w:val="0"/>
      <w:marTop w:val="0"/>
      <w:marBottom w:val="0"/>
      <w:divBdr>
        <w:top w:val="none" w:sz="0" w:space="0" w:color="auto"/>
        <w:left w:val="none" w:sz="0" w:space="0" w:color="auto"/>
        <w:bottom w:val="none" w:sz="0" w:space="0" w:color="auto"/>
        <w:right w:val="none" w:sz="0" w:space="0" w:color="auto"/>
      </w:divBdr>
    </w:div>
    <w:div w:id="1584488880">
      <w:bodyDiv w:val="1"/>
      <w:marLeft w:val="0"/>
      <w:marRight w:val="0"/>
      <w:marTop w:val="0"/>
      <w:marBottom w:val="0"/>
      <w:divBdr>
        <w:top w:val="none" w:sz="0" w:space="0" w:color="auto"/>
        <w:left w:val="none" w:sz="0" w:space="0" w:color="auto"/>
        <w:bottom w:val="none" w:sz="0" w:space="0" w:color="auto"/>
        <w:right w:val="none" w:sz="0" w:space="0" w:color="auto"/>
      </w:divBdr>
    </w:div>
    <w:div w:id="1619215480">
      <w:bodyDiv w:val="1"/>
      <w:marLeft w:val="0"/>
      <w:marRight w:val="0"/>
      <w:marTop w:val="0"/>
      <w:marBottom w:val="0"/>
      <w:divBdr>
        <w:top w:val="none" w:sz="0" w:space="0" w:color="auto"/>
        <w:left w:val="none" w:sz="0" w:space="0" w:color="auto"/>
        <w:bottom w:val="none" w:sz="0" w:space="0" w:color="auto"/>
        <w:right w:val="none" w:sz="0" w:space="0" w:color="auto"/>
      </w:divBdr>
    </w:div>
    <w:div w:id="1626764997">
      <w:bodyDiv w:val="1"/>
      <w:marLeft w:val="0"/>
      <w:marRight w:val="0"/>
      <w:marTop w:val="0"/>
      <w:marBottom w:val="0"/>
      <w:divBdr>
        <w:top w:val="none" w:sz="0" w:space="0" w:color="auto"/>
        <w:left w:val="none" w:sz="0" w:space="0" w:color="auto"/>
        <w:bottom w:val="none" w:sz="0" w:space="0" w:color="auto"/>
        <w:right w:val="none" w:sz="0" w:space="0" w:color="auto"/>
      </w:divBdr>
      <w:divsChild>
        <w:div w:id="230310425">
          <w:marLeft w:val="0"/>
          <w:marRight w:val="0"/>
          <w:marTop w:val="0"/>
          <w:marBottom w:val="0"/>
          <w:divBdr>
            <w:top w:val="none" w:sz="0" w:space="0" w:color="auto"/>
            <w:left w:val="none" w:sz="0" w:space="0" w:color="auto"/>
            <w:bottom w:val="none" w:sz="0" w:space="0" w:color="auto"/>
            <w:right w:val="none" w:sz="0" w:space="0" w:color="auto"/>
          </w:divBdr>
        </w:div>
        <w:div w:id="2040811381">
          <w:marLeft w:val="0"/>
          <w:marRight w:val="0"/>
          <w:marTop w:val="0"/>
          <w:marBottom w:val="0"/>
          <w:divBdr>
            <w:top w:val="none" w:sz="0" w:space="0" w:color="auto"/>
            <w:left w:val="none" w:sz="0" w:space="0" w:color="auto"/>
            <w:bottom w:val="none" w:sz="0" w:space="0" w:color="auto"/>
            <w:right w:val="none" w:sz="0" w:space="0" w:color="auto"/>
          </w:divBdr>
          <w:divsChild>
            <w:div w:id="835223324">
              <w:marLeft w:val="0"/>
              <w:marRight w:val="0"/>
              <w:marTop w:val="0"/>
              <w:marBottom w:val="0"/>
              <w:divBdr>
                <w:top w:val="none" w:sz="0" w:space="0" w:color="auto"/>
                <w:left w:val="none" w:sz="0" w:space="0" w:color="auto"/>
                <w:bottom w:val="none" w:sz="0" w:space="0" w:color="auto"/>
                <w:right w:val="none" w:sz="0" w:space="0" w:color="auto"/>
              </w:divBdr>
              <w:divsChild>
                <w:div w:id="1487672034">
                  <w:marLeft w:val="0"/>
                  <w:marRight w:val="0"/>
                  <w:marTop w:val="0"/>
                  <w:marBottom w:val="0"/>
                  <w:divBdr>
                    <w:top w:val="none" w:sz="0" w:space="0" w:color="auto"/>
                    <w:left w:val="none" w:sz="0" w:space="0" w:color="auto"/>
                    <w:bottom w:val="none" w:sz="0" w:space="0" w:color="auto"/>
                    <w:right w:val="none" w:sz="0" w:space="0" w:color="auto"/>
                  </w:divBdr>
                </w:div>
                <w:div w:id="1670208616">
                  <w:marLeft w:val="0"/>
                  <w:marRight w:val="0"/>
                  <w:marTop w:val="0"/>
                  <w:marBottom w:val="0"/>
                  <w:divBdr>
                    <w:top w:val="none" w:sz="0" w:space="0" w:color="auto"/>
                    <w:left w:val="none" w:sz="0" w:space="0" w:color="auto"/>
                    <w:bottom w:val="none" w:sz="0" w:space="0" w:color="auto"/>
                    <w:right w:val="none" w:sz="0" w:space="0" w:color="auto"/>
                  </w:divBdr>
                </w:div>
                <w:div w:id="846869762">
                  <w:marLeft w:val="0"/>
                  <w:marRight w:val="0"/>
                  <w:marTop w:val="0"/>
                  <w:marBottom w:val="0"/>
                  <w:divBdr>
                    <w:top w:val="none" w:sz="0" w:space="0" w:color="auto"/>
                    <w:left w:val="none" w:sz="0" w:space="0" w:color="auto"/>
                    <w:bottom w:val="none" w:sz="0" w:space="0" w:color="auto"/>
                    <w:right w:val="none" w:sz="0" w:space="0" w:color="auto"/>
                  </w:divBdr>
                </w:div>
                <w:div w:id="90256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13982">
          <w:marLeft w:val="0"/>
          <w:marRight w:val="0"/>
          <w:marTop w:val="0"/>
          <w:marBottom w:val="0"/>
          <w:divBdr>
            <w:top w:val="none" w:sz="0" w:space="0" w:color="auto"/>
            <w:left w:val="none" w:sz="0" w:space="0" w:color="auto"/>
            <w:bottom w:val="none" w:sz="0" w:space="0" w:color="auto"/>
            <w:right w:val="none" w:sz="0" w:space="0" w:color="auto"/>
          </w:divBdr>
          <w:divsChild>
            <w:div w:id="13018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46302">
      <w:bodyDiv w:val="1"/>
      <w:marLeft w:val="0"/>
      <w:marRight w:val="0"/>
      <w:marTop w:val="0"/>
      <w:marBottom w:val="0"/>
      <w:divBdr>
        <w:top w:val="none" w:sz="0" w:space="0" w:color="auto"/>
        <w:left w:val="none" w:sz="0" w:space="0" w:color="auto"/>
        <w:bottom w:val="none" w:sz="0" w:space="0" w:color="auto"/>
        <w:right w:val="none" w:sz="0" w:space="0" w:color="auto"/>
      </w:divBdr>
      <w:divsChild>
        <w:div w:id="353118540">
          <w:marLeft w:val="0"/>
          <w:marRight w:val="0"/>
          <w:marTop w:val="0"/>
          <w:marBottom w:val="0"/>
          <w:divBdr>
            <w:top w:val="none" w:sz="0" w:space="0" w:color="auto"/>
            <w:left w:val="none" w:sz="0" w:space="0" w:color="auto"/>
            <w:bottom w:val="none" w:sz="0" w:space="0" w:color="auto"/>
            <w:right w:val="none" w:sz="0" w:space="0" w:color="auto"/>
          </w:divBdr>
          <w:divsChild>
            <w:div w:id="323778722">
              <w:marLeft w:val="0"/>
              <w:marRight w:val="0"/>
              <w:marTop w:val="0"/>
              <w:marBottom w:val="0"/>
              <w:divBdr>
                <w:top w:val="none" w:sz="0" w:space="0" w:color="auto"/>
                <w:left w:val="none" w:sz="0" w:space="0" w:color="auto"/>
                <w:bottom w:val="none" w:sz="0" w:space="0" w:color="auto"/>
                <w:right w:val="none" w:sz="0" w:space="0" w:color="auto"/>
              </w:divBdr>
              <w:divsChild>
                <w:div w:id="119939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105642">
      <w:bodyDiv w:val="1"/>
      <w:marLeft w:val="0"/>
      <w:marRight w:val="0"/>
      <w:marTop w:val="0"/>
      <w:marBottom w:val="0"/>
      <w:divBdr>
        <w:top w:val="none" w:sz="0" w:space="0" w:color="auto"/>
        <w:left w:val="none" w:sz="0" w:space="0" w:color="auto"/>
        <w:bottom w:val="none" w:sz="0" w:space="0" w:color="auto"/>
        <w:right w:val="none" w:sz="0" w:space="0" w:color="auto"/>
      </w:divBdr>
    </w:div>
    <w:div w:id="1661806406">
      <w:bodyDiv w:val="1"/>
      <w:marLeft w:val="0"/>
      <w:marRight w:val="0"/>
      <w:marTop w:val="0"/>
      <w:marBottom w:val="0"/>
      <w:divBdr>
        <w:top w:val="none" w:sz="0" w:space="0" w:color="auto"/>
        <w:left w:val="none" w:sz="0" w:space="0" w:color="auto"/>
        <w:bottom w:val="none" w:sz="0" w:space="0" w:color="auto"/>
        <w:right w:val="none" w:sz="0" w:space="0" w:color="auto"/>
      </w:divBdr>
    </w:div>
    <w:div w:id="1673340936">
      <w:bodyDiv w:val="1"/>
      <w:marLeft w:val="0"/>
      <w:marRight w:val="0"/>
      <w:marTop w:val="0"/>
      <w:marBottom w:val="0"/>
      <w:divBdr>
        <w:top w:val="none" w:sz="0" w:space="0" w:color="auto"/>
        <w:left w:val="none" w:sz="0" w:space="0" w:color="auto"/>
        <w:bottom w:val="none" w:sz="0" w:space="0" w:color="auto"/>
        <w:right w:val="none" w:sz="0" w:space="0" w:color="auto"/>
      </w:divBdr>
    </w:div>
    <w:div w:id="1675646056">
      <w:bodyDiv w:val="1"/>
      <w:marLeft w:val="0"/>
      <w:marRight w:val="0"/>
      <w:marTop w:val="0"/>
      <w:marBottom w:val="0"/>
      <w:divBdr>
        <w:top w:val="none" w:sz="0" w:space="0" w:color="auto"/>
        <w:left w:val="none" w:sz="0" w:space="0" w:color="auto"/>
        <w:bottom w:val="none" w:sz="0" w:space="0" w:color="auto"/>
        <w:right w:val="none" w:sz="0" w:space="0" w:color="auto"/>
      </w:divBdr>
    </w:div>
    <w:div w:id="1703943791">
      <w:bodyDiv w:val="1"/>
      <w:marLeft w:val="0"/>
      <w:marRight w:val="0"/>
      <w:marTop w:val="0"/>
      <w:marBottom w:val="0"/>
      <w:divBdr>
        <w:top w:val="none" w:sz="0" w:space="0" w:color="auto"/>
        <w:left w:val="none" w:sz="0" w:space="0" w:color="auto"/>
        <w:bottom w:val="none" w:sz="0" w:space="0" w:color="auto"/>
        <w:right w:val="none" w:sz="0" w:space="0" w:color="auto"/>
      </w:divBdr>
    </w:div>
    <w:div w:id="1707369595">
      <w:bodyDiv w:val="1"/>
      <w:marLeft w:val="0"/>
      <w:marRight w:val="0"/>
      <w:marTop w:val="0"/>
      <w:marBottom w:val="0"/>
      <w:divBdr>
        <w:top w:val="none" w:sz="0" w:space="0" w:color="auto"/>
        <w:left w:val="none" w:sz="0" w:space="0" w:color="auto"/>
        <w:bottom w:val="none" w:sz="0" w:space="0" w:color="auto"/>
        <w:right w:val="none" w:sz="0" w:space="0" w:color="auto"/>
      </w:divBdr>
    </w:div>
    <w:div w:id="1782334062">
      <w:bodyDiv w:val="1"/>
      <w:marLeft w:val="0"/>
      <w:marRight w:val="0"/>
      <w:marTop w:val="0"/>
      <w:marBottom w:val="0"/>
      <w:divBdr>
        <w:top w:val="none" w:sz="0" w:space="0" w:color="auto"/>
        <w:left w:val="none" w:sz="0" w:space="0" w:color="auto"/>
        <w:bottom w:val="none" w:sz="0" w:space="0" w:color="auto"/>
        <w:right w:val="none" w:sz="0" w:space="0" w:color="auto"/>
      </w:divBdr>
    </w:div>
    <w:div w:id="1784884821">
      <w:bodyDiv w:val="1"/>
      <w:marLeft w:val="0"/>
      <w:marRight w:val="0"/>
      <w:marTop w:val="0"/>
      <w:marBottom w:val="0"/>
      <w:divBdr>
        <w:top w:val="none" w:sz="0" w:space="0" w:color="auto"/>
        <w:left w:val="none" w:sz="0" w:space="0" w:color="auto"/>
        <w:bottom w:val="none" w:sz="0" w:space="0" w:color="auto"/>
        <w:right w:val="none" w:sz="0" w:space="0" w:color="auto"/>
      </w:divBdr>
    </w:div>
    <w:div w:id="1809010069">
      <w:bodyDiv w:val="1"/>
      <w:marLeft w:val="0"/>
      <w:marRight w:val="0"/>
      <w:marTop w:val="0"/>
      <w:marBottom w:val="0"/>
      <w:divBdr>
        <w:top w:val="none" w:sz="0" w:space="0" w:color="auto"/>
        <w:left w:val="none" w:sz="0" w:space="0" w:color="auto"/>
        <w:bottom w:val="none" w:sz="0" w:space="0" w:color="auto"/>
        <w:right w:val="none" w:sz="0" w:space="0" w:color="auto"/>
      </w:divBdr>
    </w:div>
    <w:div w:id="1811434741">
      <w:bodyDiv w:val="1"/>
      <w:marLeft w:val="0"/>
      <w:marRight w:val="0"/>
      <w:marTop w:val="0"/>
      <w:marBottom w:val="0"/>
      <w:divBdr>
        <w:top w:val="none" w:sz="0" w:space="0" w:color="auto"/>
        <w:left w:val="none" w:sz="0" w:space="0" w:color="auto"/>
        <w:bottom w:val="none" w:sz="0" w:space="0" w:color="auto"/>
        <w:right w:val="none" w:sz="0" w:space="0" w:color="auto"/>
      </w:divBdr>
    </w:div>
    <w:div w:id="1833258998">
      <w:bodyDiv w:val="1"/>
      <w:marLeft w:val="0"/>
      <w:marRight w:val="0"/>
      <w:marTop w:val="0"/>
      <w:marBottom w:val="0"/>
      <w:divBdr>
        <w:top w:val="none" w:sz="0" w:space="0" w:color="auto"/>
        <w:left w:val="none" w:sz="0" w:space="0" w:color="auto"/>
        <w:bottom w:val="none" w:sz="0" w:space="0" w:color="auto"/>
        <w:right w:val="none" w:sz="0" w:space="0" w:color="auto"/>
      </w:divBdr>
    </w:div>
    <w:div w:id="1860503013">
      <w:bodyDiv w:val="1"/>
      <w:marLeft w:val="0"/>
      <w:marRight w:val="0"/>
      <w:marTop w:val="0"/>
      <w:marBottom w:val="0"/>
      <w:divBdr>
        <w:top w:val="none" w:sz="0" w:space="0" w:color="auto"/>
        <w:left w:val="none" w:sz="0" w:space="0" w:color="auto"/>
        <w:bottom w:val="none" w:sz="0" w:space="0" w:color="auto"/>
        <w:right w:val="none" w:sz="0" w:space="0" w:color="auto"/>
      </w:divBdr>
    </w:div>
    <w:div w:id="1893299549">
      <w:bodyDiv w:val="1"/>
      <w:marLeft w:val="0"/>
      <w:marRight w:val="0"/>
      <w:marTop w:val="0"/>
      <w:marBottom w:val="0"/>
      <w:divBdr>
        <w:top w:val="none" w:sz="0" w:space="0" w:color="auto"/>
        <w:left w:val="none" w:sz="0" w:space="0" w:color="auto"/>
        <w:bottom w:val="none" w:sz="0" w:space="0" w:color="auto"/>
        <w:right w:val="none" w:sz="0" w:space="0" w:color="auto"/>
      </w:divBdr>
    </w:div>
    <w:div w:id="1945573829">
      <w:bodyDiv w:val="1"/>
      <w:marLeft w:val="0"/>
      <w:marRight w:val="0"/>
      <w:marTop w:val="0"/>
      <w:marBottom w:val="0"/>
      <w:divBdr>
        <w:top w:val="none" w:sz="0" w:space="0" w:color="auto"/>
        <w:left w:val="none" w:sz="0" w:space="0" w:color="auto"/>
        <w:bottom w:val="none" w:sz="0" w:space="0" w:color="auto"/>
        <w:right w:val="none" w:sz="0" w:space="0" w:color="auto"/>
      </w:divBdr>
    </w:div>
    <w:div w:id="1952742137">
      <w:bodyDiv w:val="1"/>
      <w:marLeft w:val="0"/>
      <w:marRight w:val="0"/>
      <w:marTop w:val="0"/>
      <w:marBottom w:val="0"/>
      <w:divBdr>
        <w:top w:val="none" w:sz="0" w:space="0" w:color="auto"/>
        <w:left w:val="none" w:sz="0" w:space="0" w:color="auto"/>
        <w:bottom w:val="none" w:sz="0" w:space="0" w:color="auto"/>
        <w:right w:val="none" w:sz="0" w:space="0" w:color="auto"/>
      </w:divBdr>
    </w:div>
    <w:div w:id="2003045430">
      <w:bodyDiv w:val="1"/>
      <w:marLeft w:val="0"/>
      <w:marRight w:val="0"/>
      <w:marTop w:val="0"/>
      <w:marBottom w:val="0"/>
      <w:divBdr>
        <w:top w:val="none" w:sz="0" w:space="0" w:color="auto"/>
        <w:left w:val="none" w:sz="0" w:space="0" w:color="auto"/>
        <w:bottom w:val="none" w:sz="0" w:space="0" w:color="auto"/>
        <w:right w:val="none" w:sz="0" w:space="0" w:color="auto"/>
      </w:divBdr>
    </w:div>
    <w:div w:id="2012753979">
      <w:bodyDiv w:val="1"/>
      <w:marLeft w:val="0"/>
      <w:marRight w:val="0"/>
      <w:marTop w:val="0"/>
      <w:marBottom w:val="0"/>
      <w:divBdr>
        <w:top w:val="none" w:sz="0" w:space="0" w:color="auto"/>
        <w:left w:val="none" w:sz="0" w:space="0" w:color="auto"/>
        <w:bottom w:val="none" w:sz="0" w:space="0" w:color="auto"/>
        <w:right w:val="none" w:sz="0" w:space="0" w:color="auto"/>
      </w:divBdr>
    </w:div>
    <w:div w:id="2054622071">
      <w:bodyDiv w:val="1"/>
      <w:marLeft w:val="0"/>
      <w:marRight w:val="0"/>
      <w:marTop w:val="0"/>
      <w:marBottom w:val="0"/>
      <w:divBdr>
        <w:top w:val="none" w:sz="0" w:space="0" w:color="auto"/>
        <w:left w:val="none" w:sz="0" w:space="0" w:color="auto"/>
        <w:bottom w:val="none" w:sz="0" w:space="0" w:color="auto"/>
        <w:right w:val="none" w:sz="0" w:space="0" w:color="auto"/>
      </w:divBdr>
    </w:div>
    <w:div w:id="2054883495">
      <w:bodyDiv w:val="1"/>
      <w:marLeft w:val="0"/>
      <w:marRight w:val="0"/>
      <w:marTop w:val="0"/>
      <w:marBottom w:val="0"/>
      <w:divBdr>
        <w:top w:val="none" w:sz="0" w:space="0" w:color="auto"/>
        <w:left w:val="none" w:sz="0" w:space="0" w:color="auto"/>
        <w:bottom w:val="none" w:sz="0" w:space="0" w:color="auto"/>
        <w:right w:val="none" w:sz="0" w:space="0" w:color="auto"/>
      </w:divBdr>
    </w:div>
    <w:div w:id="2074960038">
      <w:bodyDiv w:val="1"/>
      <w:marLeft w:val="0"/>
      <w:marRight w:val="0"/>
      <w:marTop w:val="0"/>
      <w:marBottom w:val="0"/>
      <w:divBdr>
        <w:top w:val="none" w:sz="0" w:space="0" w:color="auto"/>
        <w:left w:val="none" w:sz="0" w:space="0" w:color="auto"/>
        <w:bottom w:val="none" w:sz="0" w:space="0" w:color="auto"/>
        <w:right w:val="none" w:sz="0" w:space="0" w:color="auto"/>
      </w:divBdr>
    </w:div>
    <w:div w:id="2082634784">
      <w:bodyDiv w:val="1"/>
      <w:marLeft w:val="0"/>
      <w:marRight w:val="0"/>
      <w:marTop w:val="0"/>
      <w:marBottom w:val="0"/>
      <w:divBdr>
        <w:top w:val="none" w:sz="0" w:space="0" w:color="auto"/>
        <w:left w:val="none" w:sz="0" w:space="0" w:color="auto"/>
        <w:bottom w:val="none" w:sz="0" w:space="0" w:color="auto"/>
        <w:right w:val="none" w:sz="0" w:space="0" w:color="auto"/>
      </w:divBdr>
    </w:div>
    <w:div w:id="2092316403">
      <w:bodyDiv w:val="1"/>
      <w:marLeft w:val="0"/>
      <w:marRight w:val="0"/>
      <w:marTop w:val="0"/>
      <w:marBottom w:val="0"/>
      <w:divBdr>
        <w:top w:val="none" w:sz="0" w:space="0" w:color="auto"/>
        <w:left w:val="none" w:sz="0" w:space="0" w:color="auto"/>
        <w:bottom w:val="none" w:sz="0" w:space="0" w:color="auto"/>
        <w:right w:val="none" w:sz="0" w:space="0" w:color="auto"/>
      </w:divBdr>
    </w:div>
    <w:div w:id="2107339090">
      <w:bodyDiv w:val="1"/>
      <w:marLeft w:val="0"/>
      <w:marRight w:val="0"/>
      <w:marTop w:val="0"/>
      <w:marBottom w:val="0"/>
      <w:divBdr>
        <w:top w:val="none" w:sz="0" w:space="0" w:color="auto"/>
        <w:left w:val="none" w:sz="0" w:space="0" w:color="auto"/>
        <w:bottom w:val="none" w:sz="0" w:space="0" w:color="auto"/>
        <w:right w:val="none" w:sz="0" w:space="0" w:color="auto"/>
      </w:divBdr>
    </w:div>
    <w:div w:id="2127845211">
      <w:bodyDiv w:val="1"/>
      <w:marLeft w:val="0"/>
      <w:marRight w:val="0"/>
      <w:marTop w:val="0"/>
      <w:marBottom w:val="0"/>
      <w:divBdr>
        <w:top w:val="none" w:sz="0" w:space="0" w:color="auto"/>
        <w:left w:val="none" w:sz="0" w:space="0" w:color="auto"/>
        <w:bottom w:val="none" w:sz="0" w:space="0" w:color="auto"/>
        <w:right w:val="none" w:sz="0" w:space="0" w:color="auto"/>
      </w:divBdr>
    </w:div>
    <w:div w:id="213648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C642D5EC-2BD2-7747-A523-38063915D372}">
  <we:reference id="wa200005287" version="1.0.0.3" store="en-GB"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312682C-2C5F-534A-A89C-0883FCFB3883}">
  <we:reference id="f78a3046-9e99-4300-aa2b-5814002b01a2" version="1.55.1.0" store="EXCatalog" storeType="EXCatalog"/>
  <we:alternateReferences>
    <we:reference id="WA104382081" version="1.55.1.0" store="en-GB" storeType="OMEX"/>
  </we:alternateReferences>
  <we:properties>
    <we:property name="MENDELEY_CITATIONS" value="[]"/>
  </we:properties>
  <we:bindings/>
  <we:snapshot xmlns:r="http://schemas.openxmlformats.org/officeDocument/2006/relationships"/>
</we:webextension>
</file>

<file path=word/webextensions/webextension3.xml><?xml version="1.0" encoding="utf-8"?>
<we:webextension xmlns:we="http://schemas.microsoft.com/office/webextensions/webextension/2010/11" id="{832A4FD3-05E0-1B46-88AB-8D5EBEE93701}">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2BAB8-F592-8F4D-936F-630B91356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36</Pages>
  <Words>12798</Words>
  <Characters>72950</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Haroun (U2363712)</dc:creator>
  <cp:keywords/>
  <dc:description/>
  <cp:lastModifiedBy>Ibrahim Haroun</cp:lastModifiedBy>
  <cp:revision>10</cp:revision>
  <cp:lastPrinted>2024-05-06T23:49:00Z</cp:lastPrinted>
  <dcterms:created xsi:type="dcterms:W3CDTF">2024-05-06T23:49:00Z</dcterms:created>
  <dcterms:modified xsi:type="dcterms:W3CDTF">2026-07-07T18:21:00Z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5cd3a0186bcf40511340c7647abe83956614db3a0b02c4970bcf73206eed9674</vt:lpwstr>
  </property>
  <property fmtid="{D5CDD505-2E9C-101B-9397-08002B2CF9AE}" pid="3" name="ZOTERO_PREF_1">
    <vt:lpwstr>&lt;data data-version="3" zotero-version="6.0.31"&gt;&lt;session id="3OgznCso"/&gt;&lt;style id="http://www.zotero.org/styles/university-of-gothenburg-apa-7th-edition-swedish-legislations" locale="en-GB" hasBibliography="1" bibliographyStyleHasBeenSet="1"/&gt;&lt;prefs&gt;&lt;pref </vt:lpwstr>
  </property>
  <property fmtid="{D5CDD505-2E9C-101B-9397-08002B2CF9AE}" pid="4" name="ZOTERO_PREF_2">
    <vt:lpwstr>name="fieldType" value="Field"/&gt;&lt;pref name="automaticJournalAbbreviations" value="true"/&gt;&lt;/prefs&gt;&lt;/data&gt;</vt:lpwstr>
  </property>
  <property fmtid="{D5CDD505-2E9C-101B-9397-08002B2CF9AE}" pid="5" name="grammarly_documentId">
    <vt:lpwstr>documentId_6975</vt:lpwstr>
  </property>
  <property fmtid="{D5CDD505-2E9C-101B-9397-08002B2CF9AE}" pid="6" name="grammarly_documentContext">
    <vt:lpwstr>{"goals":["describe"],"domain":"academic","emotions":["confident"],"dialect":"british","style":"formal"}</vt:lpwstr>
  </property>
</Properties>
</file>