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80"/>
        <w:jc w:val="center"/>
      </w:pPr>
      <w:r>
        <w:rPr>
          <w:rFonts w:ascii="Arial" w:cs="Arial" w:eastAsia="Arial" w:hAnsi="Arial"/>
          <w:b/>
          <w:bCs/>
          <w:color w:val="1E3A5F"/>
          <w:sz w:val="48"/>
          <w:szCs w:val="48"/>
        </w:rPr>
        <w:t xml:space="preserve">DATSCI7030</w:t>
      </w:r>
    </w:p>
    <w:p>
      <w:pPr>
        <w:spacing w:after="200"/>
        <w:jc w:val="center"/>
      </w:pPr>
      <w:r>
        <w:rPr>
          <w:rFonts w:ascii="Arial" w:cs="Arial" w:eastAsia="Arial" w:hAnsi="Arial"/>
          <w:color w:val="2563EB"/>
          <w:sz w:val="32"/>
          <w:szCs w:val="32"/>
        </w:rPr>
        <w:t xml:space="preserve">Causal Event-Driven Market Impact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200"/>
              <w:left w:type="dxa" w:w="360"/>
              <w:bottom w:type="dxa" w:w="200"/>
              <w:right w:type="dxa" w:w="360"/>
            </w:tcMar>
          </w:tcPr>
          <w:p>
            <w:pPr>
              <w:spacing w:after="80"/>
              <w:jc w:val="center"/>
            </w:pPr>
            <w:r>
              <w:rPr>
                <w:rFonts w:ascii="Arial" w:cs="Arial" w:eastAsia="Arial" w:hAnsi="Arial"/>
                <w:b/>
                <w:bCs/>
                <w:color w:val="FFFFFF"/>
                <w:sz w:val="28"/>
                <w:szCs w:val="28"/>
              </w:rPr>
              <w:t xml:space="preserve">Project Summary</w:t>
            </w:r>
          </w:p>
          <w:p>
            <w:pPr>
              <w:spacing w:after="80"/>
              <w:jc w:val="center"/>
            </w:pPr>
            <w:r>
              <w:rPr>
                <w:rFonts w:ascii="Arial" w:cs="Arial" w:eastAsia="Arial" w:hAnsi="Arial"/>
                <w:color w:val="DBEAFE"/>
                <w:sz w:val="22"/>
                <w:szCs w:val="22"/>
              </w:rPr>
              <w:t xml:space="preserve">Architecture · Methodology · Data Sources · Technical Stack</w:t>
            </w:r>
          </w:p>
          <w:p>
            <w:pPr>
              <w:spacing w:after="0"/>
              <w:jc w:val="center"/>
            </w:pPr>
            <w:r>
              <w:rPr>
                <w:rFonts w:ascii="Arial" w:cs="Arial" w:eastAsia="Arial" w:hAnsi="Arial"/>
                <w:color w:val="DBEAFE"/>
                <w:sz w:val="20"/>
                <w:szCs w:val="20"/>
              </w:rPr>
              <w:t xml:space="preserve">Version 1.1</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Author</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Ibrahim Haroun</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Module</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7030DATSCI — Data Science Project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Institution</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Liverpool John Moores University (LJMU)</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Year</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2025–2026</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Version</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1.1</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Date Range</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January 2015 – December 2025</w:t>
            </w:r>
          </w:p>
        </w:tc>
      </w:tr>
    </w:tbl>
    <w:p>
      <w:pPr>
        <w:spacing w:after="400"/>
      </w:pPr>
      <w:r>
        <w:t xml:space="preserve"/>
      </w:r>
    </w:p>
    <w:p>
      <w:r>
        <w:br w:type="page"/>
      </w:r>
    </w:p>
    <w:p>
      <w:pPr>
        <w:pStyle w:val="Heading1"/>
        <w:pBdr>
          <w:bottom w:val="single" w:color="2563EB" w:sz="4" w:space="4"/>
        </w:pBdr>
        <w:spacing w:after="160" w:before="320"/>
      </w:pPr>
      <w:r>
        <w:rPr>
          <w:rFonts w:ascii="Arial" w:cs="Arial" w:eastAsia="Arial" w:hAnsi="Arial"/>
          <w:b/>
          <w:bCs/>
          <w:color w:val="1E3A5F"/>
          <w:sz w:val="28"/>
          <w:szCs w:val="28"/>
        </w:rPr>
        <w:t xml:space="preserve">1. Project Overview</w:t>
      </w:r>
    </w:p>
    <w:p>
      <w:pPr>
        <w:spacing w:after="140"/>
      </w:pPr>
      <w:r>
        <w:rPr>
          <w:rFonts w:ascii="Arial" w:cs="Arial" w:eastAsia="Arial" w:hAnsi="Arial"/>
          <w:color w:val="111827"/>
          <w:sz w:val="22"/>
          <w:szCs w:val="22"/>
        </w:rPr>
        <w:t xml:space="preserve">DATSCI7030 investigates whether real-world events — presidential communications, central bank decisions, and geopolitical shocks — causally impact financial asset prices, and whether those impacts can be predicted before events occur.</w:t>
      </w:r>
    </w:p>
    <w:p>
      <w:pPr>
        <w:spacing w:after="140"/>
      </w:pPr>
      <w:r>
        <w:rPr>
          <w:rFonts w:ascii="Arial" w:cs="Arial" w:eastAsia="Arial" w:hAnsi="Arial"/>
          <w:color w:val="111827"/>
          <w:sz w:val="22"/>
          <w:szCs w:val="22"/>
        </w:rPr>
        <w:t xml:space="preserve">The project combines three methodological pillars: (i) Event Study Analysis to measure abnormal returns around event windows; (ii) Causal Inference using DoWhy to isolate causation from confounded correlation; and (iii) Predictive Modelling using XGBoost and LightGBM with SHAP explainability to forecast event impact magnitude and direction.</w:t>
      </w:r>
    </w:p>
    <w:p>
      <w:pPr>
        <w:spacing w:after="140"/>
      </w:pPr>
      <w:r>
        <w:rPr>
          <w:rFonts w:ascii="Arial" w:cs="Arial" w:eastAsia="Arial" w:hAnsi="Arial"/>
          <w:color w:val="111827"/>
          <w:sz w:val="22"/>
          <w:szCs w:val="22"/>
        </w:rPr>
        <w:t xml:space="preserve">The four target assets are SPY (S&amp;P 500 ETF), QQQ (NASDAQ ETF), GLD (Gold ETF), and TLT (Long-term Treasury ETF), chosen for their distinct sensitivities to political and macroeconomic uncertainty.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Core Research Question</w:t>
            </w:r>
          </w:p>
          <w:p>
            <w:pPr>
              <w:spacing w:after="0"/>
            </w:pPr>
            <w:r>
              <w:rPr>
                <w:rFonts w:ascii="Arial" w:cs="Arial" w:eastAsia="Arial" w:hAnsi="Arial"/>
                <w:color w:val="111827"/>
                <w:sz w:val="20"/>
                <w:szCs w:val="20"/>
              </w:rPr>
              <w:t xml:space="preserve">Do discrete political events — executive orders, FOMC rate decisions, presidential addresses, trade proclamations — causally elevate or suppress financial asset returns beyond their expected baseline, and can the direction and magnitude of this impact be predicted from event text and context?</w:t>
            </w:r>
          </w:p>
        </w:tc>
      </w:tr>
    </w:tbl>
    <w:p>
      <w:pPr>
        <w:spacing w:after="200"/>
      </w:pPr>
      <w:r>
        <w:t xml:space="preserve"/>
      </w:r>
    </w:p>
    <w:p>
      <w:pPr>
        <w:pStyle w:val="Heading1"/>
        <w:pBdr>
          <w:bottom w:val="single" w:color="2563EB" w:sz="4" w:space="4"/>
        </w:pBdr>
        <w:spacing w:after="160" w:before="320"/>
      </w:pPr>
      <w:r>
        <w:rPr>
          <w:rFonts w:ascii="Arial" w:cs="Arial" w:eastAsia="Arial" w:hAnsi="Arial"/>
          <w:b/>
          <w:bCs/>
          <w:color w:val="1E3A5F"/>
          <w:sz w:val="28"/>
          <w:szCs w:val="28"/>
        </w:rPr>
        <w:t xml:space="preserve">2. Project Objectives</w:t>
      </w:r>
    </w:p>
    <w:p>
      <w:pPr>
        <w:spacing w:after="140"/>
      </w:pPr>
      <w:r>
        <w:rPr>
          <w:rFonts w:ascii="Arial" w:cs="Arial" w:eastAsia="Arial" w:hAnsi="Arial"/>
          <w:color w:val="111827"/>
          <w:sz w:val="22"/>
          <w:szCs w:val="22"/>
        </w:rPr>
        <w:t xml:space="preserve">The project is structured around eight sequential objectives, one per notebook:</w:t>
      </w:r>
    </w:p>
    <w:p>
      <w:pPr>
        <w:spacing w:after="60"/>
      </w:pPr>
      <w:r>
        <w:t xml:space="preserve"/>
      </w:r>
    </w:p>
    <w:p>
      <w:pPr>
        <w:pStyle w:val="ListParagraph"/>
        <w:numPr>
          <w:ilvl w:val="0"/>
          <w:numId w:val="2"/>
        </w:numPr>
        <w:spacing w:after="80"/>
      </w:pPr>
      <w:r>
        <w:rPr>
          <w:rFonts w:ascii="Arial" w:cs="Arial" w:eastAsia="Arial" w:hAnsi="Arial"/>
          <w:color w:val="111827"/>
          <w:sz w:val="22"/>
          <w:szCs w:val="22"/>
        </w:rPr>
        <w:t xml:space="preserve">Collect all raw data: price data (yfinance), presidential documents (APP), macro indicators (FRED), FOMC dates, and GDELT events (2015–2025).</w:t>
      </w:r>
    </w:p>
    <w:p>
      <w:pPr>
        <w:pStyle w:val="ListParagraph"/>
        <w:numPr>
          <w:ilvl w:val="0"/>
          <w:numId w:val="2"/>
        </w:numPr>
        <w:spacing w:after="80"/>
      </w:pPr>
      <w:r>
        <w:rPr>
          <w:rFonts w:ascii="Arial" w:cs="Arial" w:eastAsia="Arial" w:hAnsi="Arial"/>
          <w:color w:val="111827"/>
          <w:sz w:val="22"/>
          <w:szCs w:val="22"/>
        </w:rPr>
        <w:t xml:space="preserve">Conduct exploratory data analysis: validate distributions, detect missing data, and characterise event density across the study period.</w:t>
      </w:r>
    </w:p>
    <w:p>
      <w:pPr>
        <w:pStyle w:val="ListParagraph"/>
        <w:numPr>
          <w:ilvl w:val="0"/>
          <w:numId w:val="2"/>
        </w:numPr>
        <w:spacing w:after="80"/>
      </w:pPr>
      <w:r>
        <w:rPr>
          <w:rFonts w:ascii="Arial" w:cs="Arial" w:eastAsia="Arial" w:hAnsi="Arial"/>
          <w:color w:val="111827"/>
          <w:sz w:val="22"/>
          <w:szCs w:val="22"/>
        </w:rPr>
        <w:t xml:space="preserve">Detect and classify market-moving events using FinBERT (ProsusAI/finbert) sentiment scoring on APP presidential documents and construct a unified event catalogue.</w:t>
      </w:r>
    </w:p>
    <w:p>
      <w:pPr>
        <w:pStyle w:val="ListParagraph"/>
        <w:numPr>
          <w:ilvl w:val="0"/>
          <w:numId w:val="2"/>
        </w:numPr>
        <w:spacing w:after="80"/>
      </w:pPr>
      <w:r>
        <w:rPr>
          <w:rFonts w:ascii="Arial" w:cs="Arial" w:eastAsia="Arial" w:hAnsi="Arial"/>
          <w:color w:val="111827"/>
          <w:sz w:val="22"/>
          <w:szCs w:val="22"/>
        </w:rPr>
        <w:t xml:space="preserve">Estimate causal market impact using Event Study (AR/CAR computation) and DoWhy structural causal modelling with identified confounders (VIX, macro regime, market return).</w:t>
      </w:r>
    </w:p>
    <w:p>
      <w:pPr>
        <w:pStyle w:val="ListParagraph"/>
        <w:numPr>
          <w:ilvl w:val="0"/>
          <w:numId w:val="2"/>
        </w:numPr>
        <w:spacing w:after="80"/>
      </w:pPr>
      <w:r>
        <w:rPr>
          <w:rFonts w:ascii="Arial" w:cs="Arial" w:eastAsia="Arial" w:hAnsi="Arial"/>
          <w:color w:val="111827"/>
          <w:sz w:val="22"/>
          <w:szCs w:val="22"/>
        </w:rPr>
        <w:t xml:space="preserve">Engineer the full feature matrix: lagged returns, FinBERT sentiment scores, event type dummies, macro features, and rolling technical indicators.</w:t>
      </w:r>
    </w:p>
    <w:p>
      <w:pPr>
        <w:pStyle w:val="ListParagraph"/>
        <w:numPr>
          <w:ilvl w:val="0"/>
          <w:numId w:val="2"/>
        </w:numPr>
        <w:spacing w:after="80"/>
      </w:pPr>
      <w:r>
        <w:rPr>
          <w:rFonts w:ascii="Arial" w:cs="Arial" w:eastAsia="Arial" w:hAnsi="Arial"/>
          <w:color w:val="111827"/>
          <w:sz w:val="22"/>
          <w:szCs w:val="22"/>
        </w:rPr>
        <w:t xml:space="preserve">Train LASSO, XGBoost, and LightGBM models with TimeSeriesSplit cross-validation to predict forward N-day returns conditioned on event features.</w:t>
      </w:r>
    </w:p>
    <w:p>
      <w:pPr>
        <w:pStyle w:val="ListParagraph"/>
        <w:numPr>
          <w:ilvl w:val="0"/>
          <w:numId w:val="2"/>
        </w:numPr>
        <w:spacing w:after="80"/>
      </w:pPr>
      <w:r>
        <w:rPr>
          <w:rFonts w:ascii="Arial" w:cs="Arial" w:eastAsia="Arial" w:hAnsi="Arial"/>
          <w:color w:val="111827"/>
          <w:sz w:val="22"/>
          <w:szCs w:val="22"/>
        </w:rPr>
        <w:t xml:space="preserve">Evaluate model performance (RMSE, MAE, R², directional accuracy) and explain predictions using SHAP feature attribution.</w:t>
      </w:r>
    </w:p>
    <w:p>
      <w:pPr>
        <w:pStyle w:val="ListParagraph"/>
        <w:numPr>
          <w:ilvl w:val="0"/>
          <w:numId w:val="2"/>
        </w:numPr>
        <w:spacing w:after="80"/>
      </w:pPr>
      <w:r>
        <w:rPr>
          <w:rFonts w:ascii="Arial" w:cs="Arial" w:eastAsia="Arial" w:hAnsi="Arial"/>
          <w:color w:val="111827"/>
          <w:sz w:val="22"/>
          <w:szCs w:val="22"/>
        </w:rPr>
        <w:t xml:space="preserve">Produce publication-quality visualisations for the dissertation: CAR plots, SHAP summaries, model comparisons, and event timelines.</w:t>
      </w:r>
    </w:p>
    <w:p>
      <w:pPr>
        <w:spacing w:after="200"/>
      </w:pPr>
      <w:r>
        <w:t xml:space="preserve"/>
      </w:r>
    </w:p>
    <w:p>
      <w:pPr>
        <w:pStyle w:val="Heading1"/>
        <w:pBdr>
          <w:bottom w:val="single" w:color="2563EB" w:sz="4" w:space="4"/>
        </w:pBdr>
        <w:spacing w:after="160" w:before="320"/>
      </w:pPr>
      <w:r>
        <w:rPr>
          <w:rFonts w:ascii="Arial" w:cs="Arial" w:eastAsia="Arial" w:hAnsi="Arial"/>
          <w:b/>
          <w:bCs/>
          <w:color w:val="1E3A5F"/>
          <w:sz w:val="28"/>
          <w:szCs w:val="28"/>
        </w:rPr>
        <w:t xml:space="preserve">3. Methodology</w:t>
      </w:r>
    </w:p>
    <w:p>
      <w:pPr>
        <w:pStyle w:val="Heading2"/>
        <w:spacing w:after="100" w:before="240"/>
      </w:pPr>
      <w:r>
        <w:rPr>
          <w:rFonts w:ascii="Arial" w:cs="Arial" w:eastAsia="Arial" w:hAnsi="Arial"/>
          <w:b/>
          <w:bCs/>
          <w:color w:val="1E3A5F"/>
          <w:sz w:val="24"/>
          <w:szCs w:val="24"/>
        </w:rPr>
        <w:t xml:space="preserve">3.1 Event Study — Abnormal Return Measurement</w:t>
      </w:r>
    </w:p>
    <w:p>
      <w:pPr>
        <w:spacing w:after="140"/>
      </w:pPr>
      <w:r>
        <w:rPr>
          <w:rFonts w:ascii="Arial" w:cs="Arial" w:eastAsia="Arial" w:hAnsi="Arial"/>
          <w:color w:val="111827"/>
          <w:sz w:val="22"/>
          <w:szCs w:val="22"/>
        </w:rPr>
        <w:t xml:space="preserve">For each event e and asset a, daily Abnormal Returns (AR) are computed as the difference between the realised log return and the expected return estimated from a 120-day pre-event estimation window. The Cumulative Abnormal Return (CAR) aggregates these over the post-event window [t₁, t₂]:</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CAR Formula</w:t>
            </w:r>
          </w:p>
          <w:p>
            <w:pPr>
              <w:spacing w:after="0"/>
            </w:pPr>
            <w:r>
              <w:rPr>
                <w:rFonts w:ascii="Arial" w:cs="Arial" w:eastAsia="Arial" w:hAnsi="Arial"/>
                <w:color w:val="111827"/>
                <w:sz w:val="20"/>
                <w:szCs w:val="20"/>
              </w:rPr>
              <w:t xml:space="preserve">CARₑₐ(t₁, t₂) = Σ (Rₜₐ − E[Rₜₐ])   where the sum is taken from t₁ to t₂ (default: t₁ = −5 days, t₂ = +10 days).</w:t>
            </w:r>
          </w:p>
        </w:tc>
      </w:tr>
    </w:tbl>
    <w:p>
      <w:pPr>
        <w:spacing w:after="120"/>
      </w:pPr>
      <w:r>
        <w:t xml:space="preserve"/>
      </w:r>
    </w:p>
    <w:p>
      <w:pPr>
        <w:spacing w:after="140"/>
      </w:pPr>
      <w:r>
        <w:rPr>
          <w:rFonts w:ascii="Arial" w:cs="Arial" w:eastAsia="Arial" w:hAnsi="Arial"/>
          <w:color w:val="111827"/>
          <w:sz w:val="22"/>
          <w:szCs w:val="22"/>
        </w:rPr>
        <w:t xml:space="preserve">Statistical significance is assessed using two-tailed t-tests and the Wilcoxon signed-rank test across the full event sample. The event window is 5 days pre-event and 10 days post-event; the estimation window is 120 trading days.</w:t>
      </w:r>
    </w:p>
    <w:p>
      <w:pPr>
        <w:spacing w:after="80"/>
      </w:pPr>
      <w:r>
        <w:t xml:space="preserve"/>
      </w:r>
    </w:p>
    <w:p>
      <w:pPr>
        <w:pStyle w:val="Heading2"/>
        <w:spacing w:after="100" w:before="240"/>
      </w:pPr>
      <w:r>
        <w:rPr>
          <w:rFonts w:ascii="Arial" w:cs="Arial" w:eastAsia="Arial" w:hAnsi="Arial"/>
          <w:b/>
          <w:bCs/>
          <w:color w:val="1E3A5F"/>
          <w:sz w:val="24"/>
          <w:szCs w:val="24"/>
        </w:rPr>
        <w:t xml:space="preserve">3.2 Causal Inference — DoWhy Framework</w:t>
      </w:r>
    </w:p>
    <w:p>
      <w:pPr>
        <w:spacing w:after="140"/>
      </w:pPr>
      <w:r>
        <w:rPr>
          <w:rFonts w:ascii="Arial" w:cs="Arial" w:eastAsia="Arial" w:hAnsi="Arial"/>
          <w:color w:val="111827"/>
          <w:sz w:val="22"/>
          <w:szCs w:val="22"/>
        </w:rPr>
        <w:t xml:space="preserve">Correlation between events and returns does not establish causation. Confounders — VIX (market fear), concurrent macro regime, and broad market return — must be controlled. The causal DAG specifies:</w:t>
      </w:r>
    </w:p>
    <w:p>
      <w:pPr>
        <w:spacing w:after="60"/>
      </w:pPr>
      <w:r>
        <w:t xml:space="preserve"/>
      </w:r>
    </w:p>
    <w:p>
      <w:pPr>
        <w:pStyle w:val="ListParagraph"/>
        <w:numPr>
          <w:ilvl w:val="0"/>
          <w:numId w:val="2"/>
        </w:numPr>
        <w:spacing w:after="80"/>
      </w:pPr>
      <w:r>
        <w:rPr>
          <w:rFonts w:ascii="Arial" w:cs="Arial" w:eastAsia="Arial" w:hAnsi="Arial"/>
          <w:color w:val="111827"/>
          <w:sz w:val="22"/>
          <w:szCs w:val="22"/>
        </w:rPr>
        <w:t xml:space="preserve">Treatment (T): event occurrence (binary)</w:t>
      </w:r>
    </w:p>
    <w:p>
      <w:pPr>
        <w:pStyle w:val="ListParagraph"/>
        <w:numPr>
          <w:ilvl w:val="0"/>
          <w:numId w:val="2"/>
        </w:numPr>
        <w:spacing w:after="80"/>
      </w:pPr>
      <w:r>
        <w:rPr>
          <w:rFonts w:ascii="Arial" w:cs="Arial" w:eastAsia="Arial" w:hAnsi="Arial"/>
          <w:color w:val="111827"/>
          <w:sz w:val="22"/>
          <w:szCs w:val="22"/>
        </w:rPr>
        <w:t xml:space="preserve">Outcome (Y): asset log return over the event window</w:t>
      </w:r>
    </w:p>
    <w:p>
      <w:pPr>
        <w:pStyle w:val="ListParagraph"/>
        <w:numPr>
          <w:ilvl w:val="0"/>
          <w:numId w:val="2"/>
        </w:numPr>
        <w:spacing w:after="80"/>
      </w:pPr>
      <w:r>
        <w:rPr>
          <w:rFonts w:ascii="Arial" w:cs="Arial" w:eastAsia="Arial" w:hAnsi="Arial"/>
          <w:color w:val="111827"/>
          <w:sz w:val="22"/>
          <w:szCs w:val="22"/>
        </w:rPr>
        <w:t xml:space="preserve">Confounders (Z₁, Z₂, Z₃): VIX level, market return, macro regime indicator</w:t>
      </w:r>
    </w:p>
    <w:p>
      <w:pPr>
        <w:pStyle w:val="ListParagraph"/>
        <w:numPr>
          <w:ilvl w:val="0"/>
          <w:numId w:val="2"/>
        </w:numPr>
        <w:spacing w:after="80"/>
      </w:pPr>
      <w:r>
        <w:rPr>
          <w:rFonts w:ascii="Arial" w:cs="Arial" w:eastAsia="Arial" w:hAnsi="Arial"/>
          <w:color w:val="111827"/>
          <w:sz w:val="22"/>
          <w:szCs w:val="22"/>
        </w:rPr>
        <w:t xml:space="preserve">Mediators (M₁, M₂): FinBERT sentiment score, event severity proxy</w:t>
      </w:r>
    </w:p>
    <w:p>
      <w:pPr>
        <w:spacing w:after="80"/>
      </w:pPr>
      <w:r>
        <w:t xml:space="preserve"/>
      </w:r>
    </w:p>
    <w:p>
      <w:pPr>
        <w:spacing w:after="140"/>
      </w:pPr>
      <w:r>
        <w:rPr>
          <w:rFonts w:ascii="Arial" w:cs="Arial" w:eastAsia="Arial" w:hAnsi="Arial"/>
          <w:color w:val="111827"/>
          <w:sz w:val="22"/>
          <w:szCs w:val="22"/>
        </w:rPr>
        <w:t xml:space="preserve">DoWhy estimation method: backdoor linear regression via identified adjustment set. Three refutation tests validate the causal estimate: random common cause, placebo treatment, and data subset.</w:t>
      </w:r>
    </w:p>
    <w:p>
      <w:pPr>
        <w:spacing w:after="80"/>
      </w:pPr>
      <w:r>
        <w:t xml:space="preserve"/>
      </w:r>
    </w:p>
    <w:p>
      <w:pPr>
        <w:pStyle w:val="Heading2"/>
        <w:spacing w:after="100" w:before="240"/>
      </w:pPr>
      <w:r>
        <w:rPr>
          <w:rFonts w:ascii="Arial" w:cs="Arial" w:eastAsia="Arial" w:hAnsi="Arial"/>
          <w:b/>
          <w:bCs/>
          <w:color w:val="1E3A5F"/>
          <w:sz w:val="24"/>
          <w:szCs w:val="24"/>
        </w:rPr>
        <w:t xml:space="preserve">3.3 NLP Event Detection — FinBERT</w:t>
      </w:r>
    </w:p>
    <w:p>
      <w:pPr>
        <w:spacing w:after="140"/>
      </w:pPr>
      <w:r>
        <w:rPr>
          <w:rFonts w:ascii="Arial" w:cs="Arial" w:eastAsia="Arial" w:hAnsi="Arial"/>
          <w:color w:val="111827"/>
          <w:sz w:val="22"/>
          <w:szCs w:val="22"/>
        </w:rPr>
        <w:t xml:space="preserve">Presidential documents collected from The American Presidency Project are scored using ProsusAI/finbert, a BERT-based model fine-tuned on financial corpora. The model assigns positive, negative, or neutral labels with confidence scores. A continuous score in [−1, +1] is derived from the confidence-weighted label polarity.</w:t>
      </w:r>
    </w:p>
    <w:p>
      <w:pPr>
        <w:spacing w:after="140"/>
      </w:pPr>
      <w:r>
        <w:rPr>
          <w:rFonts w:ascii="Arial" w:cs="Arial" w:eastAsia="Arial" w:hAnsi="Arial"/>
          <w:color w:val="111827"/>
          <w:sz w:val="22"/>
          <w:szCs w:val="22"/>
        </w:rPr>
        <w:t xml:space="preserve">Documents are batch-processed (batch size 32, max length 512 tokens). Only documents with confidence above the 0.7 threshold are included in the event catalogue. Full document text is retrieved on demand via APPCollector.fetch_document_text().</w:t>
      </w:r>
    </w:p>
    <w:p>
      <w:pPr>
        <w:spacing w:after="80"/>
      </w:pPr>
      <w:r>
        <w:t xml:space="preserve"/>
      </w:r>
    </w:p>
    <w:p>
      <w:pPr>
        <w:pStyle w:val="Heading2"/>
        <w:spacing w:after="100" w:before="240"/>
      </w:pPr>
      <w:r>
        <w:rPr>
          <w:rFonts w:ascii="Arial" w:cs="Arial" w:eastAsia="Arial" w:hAnsi="Arial"/>
          <w:b/>
          <w:bCs/>
          <w:color w:val="1E3A5F"/>
          <w:sz w:val="24"/>
          <w:szCs w:val="24"/>
        </w:rPr>
        <w:t xml:space="preserve">3.4 Predictive Modelling</w:t>
      </w:r>
    </w:p>
    <w:p>
      <w:pPr>
        <w:spacing w:after="140"/>
      </w:pPr>
      <w:r>
        <w:rPr>
          <w:rFonts w:ascii="Arial" w:cs="Arial" w:eastAsia="Arial" w:hAnsi="Arial"/>
          <w:color w:val="111827"/>
          <w:sz w:val="22"/>
          <w:szCs w:val="22"/>
        </w:rPr>
        <w:t xml:space="preserve">Three models are trained and compared using TimeSeriesSplit (5 folds) to prevent data leakage:</w:t>
      </w:r>
    </w:p>
    <w:p>
      <w:pPr>
        <w:spacing w:after="60"/>
      </w:pPr>
      <w:r>
        <w:t xml:space="preserve"/>
      </w:r>
    </w:p>
    <w:p>
      <w:pPr>
        <w:pStyle w:val="ListParagraph"/>
        <w:numPr>
          <w:ilvl w:val="0"/>
          <w:numId w:val="2"/>
        </w:numPr>
        <w:spacing w:after="80"/>
      </w:pPr>
      <w:r>
        <w:rPr>
          <w:rFonts w:ascii="Arial" w:cs="Arial" w:eastAsia="Arial" w:hAnsi="Arial"/>
          <w:color w:val="111827"/>
          <w:sz w:val="22"/>
          <w:szCs w:val="22"/>
        </w:rPr>
        <w:t xml:space="preserve">LASSO: regularised linear baseline, interpretable coefficient vector</w:t>
      </w:r>
    </w:p>
    <w:p>
      <w:pPr>
        <w:pStyle w:val="ListParagraph"/>
        <w:numPr>
          <w:ilvl w:val="0"/>
          <w:numId w:val="2"/>
        </w:numPr>
        <w:spacing w:after="80"/>
      </w:pPr>
      <w:r>
        <w:rPr>
          <w:rFonts w:ascii="Arial" w:cs="Arial" w:eastAsia="Arial" w:hAnsi="Arial"/>
          <w:color w:val="111827"/>
          <w:sz w:val="22"/>
          <w:szCs w:val="22"/>
        </w:rPr>
        <w:t xml:space="preserve">XGBoost: gradient boosted trees, 500 estimators, early stopping at 50 rounds</w:t>
      </w:r>
    </w:p>
    <w:p>
      <w:pPr>
        <w:pStyle w:val="ListParagraph"/>
        <w:numPr>
          <w:ilvl w:val="0"/>
          <w:numId w:val="2"/>
        </w:numPr>
        <w:spacing w:after="80"/>
      </w:pPr>
      <w:r>
        <w:rPr>
          <w:rFonts w:ascii="Arial" w:cs="Arial" w:eastAsia="Arial" w:hAnsi="Arial"/>
          <w:color w:val="111827"/>
          <w:sz w:val="22"/>
          <w:szCs w:val="22"/>
        </w:rPr>
        <w:t xml:space="preserve">LightGBM: fast gradient boosting, 63 leaves, comparable to XGBoost for benchmarking</w:t>
      </w:r>
    </w:p>
    <w:p>
      <w:pPr>
        <w:spacing w:after="80"/>
      </w:pPr>
      <w:r>
        <w:t xml:space="preserve"/>
      </w:r>
    </w:p>
    <w:p>
      <w:pPr>
        <w:spacing w:after="140"/>
      </w:pPr>
      <w:r>
        <w:rPr>
          <w:rFonts w:ascii="Arial" w:cs="Arial" w:eastAsia="Arial" w:hAnsi="Arial"/>
          <w:color w:val="111827"/>
          <w:sz w:val="22"/>
          <w:szCs w:val="22"/>
        </w:rPr>
        <w:t xml:space="preserve">Target variable: forward 5-day and 10-day log return. Features: lagged returns (1, 3, 5, 10d), FinBERT scores (raw + rolling), event type dummies, VIX level, Federal Funds Rate, CPI change, rolling volatility (21d), and momentum (63d). SHAP values provide post-hoc interpretability at both global and per-prediction level.</w:t>
      </w:r>
    </w:p>
    <w:p>
      <w:pPr>
        <w:spacing w:after="200"/>
      </w:pPr>
      <w:r>
        <w:t xml:space="preserve"/>
      </w:r>
    </w:p>
    <w:p>
      <w:pPr>
        <w:pStyle w:val="Heading1"/>
        <w:pBdr>
          <w:bottom w:val="single" w:color="2563EB" w:sz="4" w:space="4"/>
        </w:pBdr>
        <w:spacing w:after="160" w:before="320"/>
      </w:pPr>
      <w:r>
        <w:rPr>
          <w:rFonts w:ascii="Arial" w:cs="Arial" w:eastAsia="Arial" w:hAnsi="Arial"/>
          <w:b/>
          <w:bCs/>
          <w:color w:val="1E3A5F"/>
          <w:sz w:val="28"/>
          <w:szCs w:val="28"/>
        </w:rPr>
        <w:t xml:space="preserve">4. Data Sources</w:t>
      </w:r>
    </w:p>
    <w:p>
      <w:pPr>
        <w:spacing w:after="140"/>
      </w:pPr>
      <w:r>
        <w:rPr>
          <w:rFonts w:ascii="Arial" w:cs="Arial" w:eastAsia="Arial" w:hAnsi="Arial"/>
          <w:color w:val="111827"/>
          <w:sz w:val="22"/>
          <w:szCs w:val="22"/>
        </w:rPr>
        <w:t xml:space="preserve">All data spans January 2015 – December 2025. No paid subscriptions are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400"/>
        <w:gridCol w:w="19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1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Volume (est.)</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Yahoo Finance (yfinance)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Daily OHLCV — SPY, QQQ, GLD, TLT, VIX</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Free, no key</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~2,600 rows/ticker</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American Presidency Project (APP)</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Presidential speeches, EOs, press conferences, proclamations, signing statements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Free, no key, scraped</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~3,000–6,000 documents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FRED (Federal Reserve)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Federal Funds Rate, CPI, Unemployment Rate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Free, API key optional</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Monthly series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FOMC Calendar (Federal Reserve)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Meeting dates with rate decisions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Free, manual/public</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~100 events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GDELT 2.0</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Geopolitical event data, Goldstein scale, actor codes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Free, CSV download</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Sampled by date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Why APP Replaces NewsAPI</w:t>
            </w:r>
          </w:p>
          <w:p>
            <w:pPr>
              <w:spacing w:after="0"/>
            </w:pPr>
            <w:r>
              <w:rPr>
                <w:rFonts w:ascii="Arial" w:cs="Arial" w:eastAsia="Arial" w:hAnsi="Arial"/>
                <w:color w:val="111827"/>
                <w:sz w:val="20"/>
                <w:szCs w:val="20"/>
              </w:rPr>
              <w:t xml:space="preserve">NewsAPI free tier covers only 1 month of history (100 articles/request). For the 2015–2025 date range this project requires, it is completely unusable. The American Presidency Project provides the full historical archive — free, structured, and covering every presidential administration — making it the correct primary text source for this research.</w:t>
            </w:r>
          </w:p>
        </w:tc>
      </w:tr>
    </w:tbl>
    <w:p>
      <w:pPr>
        <w:spacing w:after="200"/>
      </w:pPr>
      <w:r>
        <w:t xml:space="preserve"/>
      </w:r>
    </w:p>
    <w:p>
      <w:pPr>
        <w:pStyle w:val="Heading1"/>
        <w:pBdr>
          <w:bottom w:val="single" w:color="2563EB" w:sz="4" w:space="4"/>
        </w:pBdr>
        <w:spacing w:after="160" w:before="320"/>
      </w:pPr>
      <w:r>
        <w:rPr>
          <w:rFonts w:ascii="Arial" w:cs="Arial" w:eastAsia="Arial" w:hAnsi="Arial"/>
          <w:b/>
          <w:bCs/>
          <w:color w:val="1E3A5F"/>
          <w:sz w:val="28"/>
          <w:szCs w:val="28"/>
        </w:rPr>
        <w:t xml:space="preserve">5. Technical Stack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Python 3.13</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Primary implementation language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Time Series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statsmodels (SARIMAX)</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ARIMA baseline, intervention variables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Causal Inference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DoWhy (Microsoft Research)</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Structural causal modelling, refutation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Causal ML</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CausalML (Uber)</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Meta-learner uplift models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ML / Gradient Boost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XGBoost, LightGBM, scikit-learn</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Predictive modelling, CV pipeline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NLP / Sentiment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HuggingFace Transformers (FinBERT)</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Presidential document sentiment scoring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Explainability</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SHAP</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Feature attribution, model interpretability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Data Processing</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pandas, numpy, scipy</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Data wrangling, feature construction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Visualisation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matplotlib, seaborn, plotly</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Abnormal return charts, SHAP plots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Market Data</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yfinance</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OHLCV prices, VIX (2015–2025)</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Macro Data</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fredapi</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CPI, Federal Funds Rate, Unemployment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Text Data</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APPCollector (custom scraper)</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Presidential documents from presidency.ucsb.edu</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HTML Parsing</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beautifulsoup4, lxml</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APP document scraping backend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Storage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pyarrow, fastparquet</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Parquet file I/O (engine fallback chain)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Config</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PyYAML, python-dotenv</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YAML config, API key management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Testing</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pytest, pytest-cov</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Unit tests for src/ modules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Development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JupyterLab, VS Code</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Notebook experimentation and final pipeline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Version Control</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Git / GitHub</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Full reproducibility</w:t>
            </w:r>
          </w:p>
        </w:tc>
      </w:tr>
    </w:tbl>
    <w:p>
      <w:pPr>
        <w:spacing w:after="200"/>
      </w:pPr>
      <w:r>
        <w:t xml:space="preserve"/>
      </w:r>
    </w:p>
    <w:p>
      <w:pPr>
        <w:pStyle w:val="Heading1"/>
        <w:pBdr>
          <w:bottom w:val="single" w:color="2563EB" w:sz="4" w:space="4"/>
        </w:pBdr>
        <w:spacing w:after="160" w:before="320"/>
      </w:pPr>
      <w:r>
        <w:rPr>
          <w:rFonts w:ascii="Arial" w:cs="Arial" w:eastAsia="Arial" w:hAnsi="Arial"/>
          <w:b/>
          <w:bCs/>
          <w:color w:val="1E3A5F"/>
          <w:sz w:val="28"/>
          <w:szCs w:val="28"/>
        </w:rPr>
        <w:t xml:space="preserve">6. Project Structure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Notebook</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01_data_collection.ipynb</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Data Ingestion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yfinance, APP, FRED, FOMC, GDELT — saved to data/raw/</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02_eda.ipynb</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Exploration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Distributions, volatility regimes, event density, missing data</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03_event_detection.ipynb</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NLP / Event Catalogue</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FinBERT scoring, event classification, unified catalogue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04_causal_analysis.ipynb</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Causal Inference</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AR/CAR computation, DoWhy DAG, refutation tests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05_feature_engineering.ipynb</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Feature Matrix</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Lagged returns, sentiment, event dummies, macro features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06_model_training.ipynb</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Model Training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LASSO, XGBoost, LightGBM with TimeSeriesSplit CV</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07_model_evaluation.ipynb</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Evaluation &amp; XAI</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RMSE/MAE/R², directional accuracy, SHAP attribution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08_results_visualisation.ipynb</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Publication Figures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CAR plots, SHAP summaries, model comparison, event timeline</w:t>
            </w:r>
          </w:p>
        </w:tc>
      </w:tr>
    </w:tbl>
    <w:p>
      <w:pPr>
        <w:spacing w:after="200"/>
      </w:pPr>
      <w:r>
        <w:t xml:space="preserve"/>
      </w:r>
    </w:p>
    <w:p>
      <w:pPr>
        <w:pStyle w:val="Heading1"/>
        <w:pBdr>
          <w:bottom w:val="single" w:color="2563EB" w:sz="4" w:space="4"/>
        </w:pBdr>
        <w:spacing w:after="160" w:before="320"/>
      </w:pPr>
      <w:r>
        <w:rPr>
          <w:rFonts w:ascii="Arial" w:cs="Arial" w:eastAsia="Arial" w:hAnsi="Arial"/>
          <w:b/>
          <w:bCs/>
          <w:color w:val="1E3A5F"/>
          <w:sz w:val="28"/>
          <w:szCs w:val="28"/>
        </w:rPr>
        <w:t xml:space="preserve">7. Risk Register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APP scraper may fail if site structure changes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Data availability</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Fallback: manual CSV download from presidency.ucsb.edu; structure stable since 2010</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SSL certificate errors on macOS Python 3.13 (FRED API)</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Technical / macOS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Run Install Certificates.command; certifi env vars as interim fix</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FinBERT trained on financial news, not political speech — domain mismatch</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NLP model</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Evaluate on labelled political speech subset; fine-tune if F1 &lt; 0.75</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Small event sample may limit statistical power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Statistical</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Bonferroni correction; report effect sizes alongside p-values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Structural breaks (COVID-19 2020, GFC 2008) may violate model assumptions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Model generalisation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COVID period (Feb–Apr 2020) flagged; treated as robustness sub-sample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pyarrow version clash with pandas on Python 3.13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Technical / Python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11827"/>
                <w:sz w:val="20"/>
                <w:szCs w:val="20"/>
              </w:rPr>
              <w:t xml:space="preserve">Resolved: pyarrow ≥20.0.0 + pandas ≥2.3.0; fastparquet as engine fallback</w:t>
            </w:r>
          </w:p>
        </w:tc>
      </w:tr>
    </w:tbl>
    <w:p>
      <w:pPr>
        <w:spacing w:after="200"/>
      </w:pPr>
      <w:r>
        <w:t xml:space="preserve"/>
      </w:r>
    </w:p>
    <w:p>
      <w:pPr>
        <w:pStyle w:val="Heading1"/>
        <w:pBdr>
          <w:bottom w:val="single" w:color="2563EB" w:sz="4" w:space="4"/>
        </w:pBdr>
        <w:spacing w:after="160" w:before="320"/>
      </w:pPr>
      <w:r>
        <w:rPr>
          <w:rFonts w:ascii="Arial" w:cs="Arial" w:eastAsia="Arial" w:hAnsi="Arial"/>
          <w:b/>
          <w:bCs/>
          <w:color w:val="1E3A5F"/>
          <w:sz w:val="28"/>
          <w:szCs w:val="28"/>
        </w:rPr>
        <w:t xml:space="preserve">8. Deliverables</w:t>
      </w:r>
    </w:p>
    <w:p>
      <w:pPr>
        <w:pStyle w:val="ListParagraph"/>
        <w:numPr>
          <w:ilvl w:val="0"/>
          <w:numId w:val="2"/>
        </w:numPr>
        <w:spacing w:after="80"/>
      </w:pPr>
      <w:r>
        <w:rPr>
          <w:rFonts w:ascii="Arial" w:cs="Arial" w:eastAsia="Arial" w:hAnsi="Arial"/>
          <w:color w:val="111827"/>
          <w:sz w:val="22"/>
          <w:szCs w:val="22"/>
        </w:rPr>
        <w:t xml:space="preserve">Documented Python codebase (8 notebooks + src/ package) implementing the full pipeline from data collection to publication figures.</w:t>
      </w:r>
    </w:p>
    <w:p>
      <w:pPr>
        <w:pStyle w:val="ListParagraph"/>
        <w:numPr>
          <w:ilvl w:val="0"/>
          <w:numId w:val="2"/>
        </w:numPr>
        <w:spacing w:after="80"/>
      </w:pPr>
      <w:r>
        <w:rPr>
          <w:rFonts w:ascii="Arial" w:cs="Arial" w:eastAsia="Arial" w:hAnsi="Arial"/>
          <w:color w:val="111827"/>
          <w:sz w:val="22"/>
          <w:szCs w:val="22"/>
        </w:rPr>
        <w:t xml:space="preserve">Unified event catalogue: presidential documents (APP), FOMC decisions, and GDELT events for 2015–2025 with FinBERT scores and CAR values per event.</w:t>
      </w:r>
    </w:p>
    <w:p>
      <w:pPr>
        <w:pStyle w:val="ListParagraph"/>
        <w:numPr>
          <w:ilvl w:val="0"/>
          <w:numId w:val="2"/>
        </w:numPr>
        <w:spacing w:after="80"/>
      </w:pPr>
      <w:r>
        <w:rPr>
          <w:rFonts w:ascii="Arial" w:cs="Arial" w:eastAsia="Arial" w:hAnsi="Arial"/>
          <w:color w:val="111827"/>
          <w:sz w:val="22"/>
          <w:szCs w:val="22"/>
        </w:rPr>
        <w:t xml:space="preserve">Causal effect estimates per event type (executive orders, FOMC, press conferences, etc.) with DoWhy refutation test results.</w:t>
      </w:r>
    </w:p>
    <w:p>
      <w:pPr>
        <w:pStyle w:val="ListParagraph"/>
        <w:numPr>
          <w:ilvl w:val="0"/>
          <w:numId w:val="2"/>
        </w:numPr>
        <w:spacing w:after="80"/>
      </w:pPr>
      <w:r>
        <w:rPr>
          <w:rFonts w:ascii="Arial" w:cs="Arial" w:eastAsia="Arial" w:hAnsi="Arial"/>
          <w:color w:val="111827"/>
          <w:sz w:val="22"/>
          <w:szCs w:val="22"/>
        </w:rPr>
        <w:t xml:space="preserve">Trained predictive models (LASSO, XGBoost, LightGBM) with TimeSeriesSplit CV results and SHAP feature attribution.</w:t>
      </w:r>
    </w:p>
    <w:p>
      <w:pPr>
        <w:pStyle w:val="ListParagraph"/>
        <w:numPr>
          <w:ilvl w:val="0"/>
          <w:numId w:val="2"/>
        </w:numPr>
        <w:spacing w:after="80"/>
      </w:pPr>
      <w:r>
        <w:rPr>
          <w:rFonts w:ascii="Arial" w:cs="Arial" w:eastAsia="Arial" w:hAnsi="Arial"/>
          <w:color w:val="111827"/>
          <w:sz w:val="22"/>
          <w:szCs w:val="22"/>
        </w:rPr>
        <w:t xml:space="preserve">Academic dissertation presenting empirical findings, methodology, model diagnostics, and policy implications.</w:t>
      </w:r>
    </w:p>
    <w:p>
      <w:pPr>
        <w:pStyle w:val="ListParagraph"/>
        <w:numPr>
          <w:ilvl w:val="0"/>
          <w:numId w:val="2"/>
        </w:numPr>
        <w:spacing w:after="80"/>
      </w:pPr>
      <w:r>
        <w:rPr>
          <w:rFonts w:ascii="Arial" w:cs="Arial" w:eastAsia="Arial" w:hAnsi="Arial"/>
          <w:color w:val="111827"/>
          <w:sz w:val="22"/>
          <w:szCs w:val="22"/>
        </w:rPr>
        <w:t xml:space="preserve">Publication-quality figures for dissertation: CAR plots, SHAP summaries, model comparisons, event timelines (saved at 300 DPI).</w:t>
      </w:r>
    </w:p>
    <w:p>
      <w:pPr>
        <w:spacing w:after="200"/>
      </w:pPr>
      <w:r>
        <w:t xml:space="preserve"/>
      </w:r>
    </w:p>
    <w:p>
      <w:pPr>
        <w:pStyle w:val="Heading1"/>
        <w:pBdr>
          <w:bottom w:val="single" w:color="2563EB" w:sz="4" w:space="4"/>
        </w:pBdr>
        <w:spacing w:after="160" w:before="320"/>
      </w:pPr>
      <w:r>
        <w:rPr>
          <w:rFonts w:ascii="Arial" w:cs="Arial" w:eastAsia="Arial" w:hAnsi="Arial"/>
          <w:b/>
          <w:bCs/>
          <w:color w:val="1E3A5F"/>
          <w:sz w:val="28"/>
          <w:szCs w:val="28"/>
        </w:rPr>
        <w:t xml:space="preserve">9. References</w:t>
      </w:r>
    </w:p>
    <w:p>
      <w:pPr>
        <w:pStyle w:val="Heading2"/>
        <w:spacing w:after="100" w:before="240"/>
      </w:pPr>
      <w:r>
        <w:rPr>
          <w:rFonts w:ascii="Arial" w:cs="Arial" w:eastAsia="Arial" w:hAnsi="Arial"/>
          <w:b/>
          <w:bCs/>
          <w:color w:val="1E3A5F"/>
          <w:sz w:val="24"/>
          <w:szCs w:val="24"/>
        </w:rPr>
        <w:t xml:space="preserve">Econometric and Statistical Methods</w:t>
      </w:r>
    </w:p>
    <w:p>
      <w:pPr>
        <w:pStyle w:val="ListParagraph"/>
        <w:numPr>
          <w:ilvl w:val="0"/>
          <w:numId w:val="2"/>
        </w:numPr>
        <w:spacing w:after="80"/>
      </w:pPr>
      <w:r>
        <w:rPr>
          <w:rFonts w:ascii="Arial" w:cs="Arial" w:eastAsia="Arial" w:hAnsi="Arial"/>
          <w:color w:val="111827"/>
          <w:sz w:val="22"/>
          <w:szCs w:val="22"/>
        </w:rPr>
        <w:t xml:space="preserve">Box, G.E.P. and Tiao, G.C. (1975). Intervention Analysis with Applications to Economic and Environmental Problems. Journal of the American Statistical Association, 70(349), pp. 70–79.</w:t>
      </w:r>
    </w:p>
    <w:p>
      <w:pPr>
        <w:pStyle w:val="ListParagraph"/>
        <w:numPr>
          <w:ilvl w:val="0"/>
          <w:numId w:val="2"/>
        </w:numPr>
        <w:spacing w:after="80"/>
      </w:pPr>
      <w:r>
        <w:rPr>
          <w:rFonts w:ascii="Arial" w:cs="Arial" w:eastAsia="Arial" w:hAnsi="Arial"/>
          <w:color w:val="111827"/>
          <w:sz w:val="22"/>
          <w:szCs w:val="22"/>
        </w:rPr>
        <w:t xml:space="preserve">MacKinlay, A.C. (1997). Event Studies in Economics and Finance. Journal of Economic Literature, 35(1), pp. 13–39.</w:t>
      </w:r>
    </w:p>
    <w:p>
      <w:pPr>
        <w:pStyle w:val="ListParagraph"/>
        <w:numPr>
          <w:ilvl w:val="0"/>
          <w:numId w:val="2"/>
        </w:numPr>
        <w:spacing w:after="80"/>
      </w:pPr>
      <w:r>
        <w:rPr>
          <w:rFonts w:ascii="Arial" w:cs="Arial" w:eastAsia="Arial" w:hAnsi="Arial"/>
          <w:color w:val="111827"/>
          <w:sz w:val="22"/>
          <w:szCs w:val="22"/>
        </w:rPr>
        <w:t xml:space="preserve">Peters, J., Janzing, D. and Schölkopf, B. (2017). Elements of Causal Inference. MIT Press.</w:t>
      </w:r>
    </w:p>
    <w:p>
      <w:pPr>
        <w:spacing w:after="80"/>
      </w:pPr>
      <w:r>
        <w:t xml:space="preserve"/>
      </w:r>
    </w:p>
    <w:p>
      <w:pPr>
        <w:pStyle w:val="Heading2"/>
        <w:spacing w:after="100" w:before="240"/>
      </w:pPr>
      <w:r>
        <w:rPr>
          <w:rFonts w:ascii="Arial" w:cs="Arial" w:eastAsia="Arial" w:hAnsi="Arial"/>
          <w:b/>
          <w:bCs/>
          <w:color w:val="1E3A5F"/>
          <w:sz w:val="24"/>
          <w:szCs w:val="24"/>
        </w:rPr>
        <w:t xml:space="preserve">Natural Language Processing</w:t>
      </w:r>
    </w:p>
    <w:p>
      <w:pPr>
        <w:pStyle w:val="ListParagraph"/>
        <w:numPr>
          <w:ilvl w:val="0"/>
          <w:numId w:val="2"/>
        </w:numPr>
        <w:spacing w:after="80"/>
      </w:pPr>
      <w:r>
        <w:rPr>
          <w:rFonts w:ascii="Arial" w:cs="Arial" w:eastAsia="Arial" w:hAnsi="Arial"/>
          <w:color w:val="111827"/>
          <w:sz w:val="22"/>
          <w:szCs w:val="22"/>
        </w:rPr>
        <w:t xml:space="preserve">Araci, D. (2019). FinBERT: Financial Sentiment Analysis with Pre-trained Language Models. arXiv:1908.10063.</w:t>
      </w:r>
    </w:p>
    <w:p>
      <w:pPr>
        <w:pStyle w:val="ListParagraph"/>
        <w:numPr>
          <w:ilvl w:val="0"/>
          <w:numId w:val="2"/>
        </w:numPr>
        <w:spacing w:after="80"/>
      </w:pPr>
      <w:r>
        <w:rPr>
          <w:rFonts w:ascii="Arial" w:cs="Arial" w:eastAsia="Arial" w:hAnsi="Arial"/>
          <w:color w:val="111827"/>
          <w:sz w:val="22"/>
          <w:szCs w:val="22"/>
        </w:rPr>
        <w:t xml:space="preserve">Devlin, J. et al. (2019). BERT: Pre-training of Deep Bidirectional Transformers for Language Understanding. NAACL-HLT 2019, pp. 4171–4186.</w:t>
      </w:r>
    </w:p>
    <w:p>
      <w:pPr>
        <w:spacing w:after="80"/>
      </w:pPr>
      <w:r>
        <w:t xml:space="preserve"/>
      </w:r>
    </w:p>
    <w:p>
      <w:pPr>
        <w:pStyle w:val="Heading2"/>
        <w:spacing w:after="100" w:before="240"/>
      </w:pPr>
      <w:r>
        <w:rPr>
          <w:rFonts w:ascii="Arial" w:cs="Arial" w:eastAsia="Arial" w:hAnsi="Arial"/>
          <w:b/>
          <w:bCs/>
          <w:color w:val="1E3A5F"/>
          <w:sz w:val="24"/>
          <w:szCs w:val="24"/>
        </w:rPr>
        <w:t xml:space="preserve">Machine Learning and Interpretability</w:t>
      </w:r>
    </w:p>
    <w:p>
      <w:pPr>
        <w:pStyle w:val="ListParagraph"/>
        <w:numPr>
          <w:ilvl w:val="0"/>
          <w:numId w:val="2"/>
        </w:numPr>
        <w:spacing w:after="80"/>
      </w:pPr>
      <w:r>
        <w:rPr>
          <w:rFonts w:ascii="Arial" w:cs="Arial" w:eastAsia="Arial" w:hAnsi="Arial"/>
          <w:color w:val="111827"/>
          <w:sz w:val="22"/>
          <w:szCs w:val="22"/>
        </w:rPr>
        <w:t xml:space="preserve">Chen, T. and Guestrin, C. (2016). XGBoost: A Scalable Tree Boosting System. KDD 2016, pp. 785–794.</w:t>
      </w:r>
    </w:p>
    <w:p>
      <w:pPr>
        <w:pStyle w:val="ListParagraph"/>
        <w:numPr>
          <w:ilvl w:val="0"/>
          <w:numId w:val="2"/>
        </w:numPr>
        <w:spacing w:after="80"/>
      </w:pPr>
      <w:r>
        <w:rPr>
          <w:rFonts w:ascii="Arial" w:cs="Arial" w:eastAsia="Arial" w:hAnsi="Arial"/>
          <w:color w:val="111827"/>
          <w:sz w:val="22"/>
          <w:szCs w:val="22"/>
        </w:rPr>
        <w:t xml:space="preserve">Ke, G. et al. (2017). LightGBM: A Highly Efficient Gradient Boosting Decision Tree. NeurIPS 2017.</w:t>
      </w:r>
    </w:p>
    <w:p>
      <w:pPr>
        <w:pStyle w:val="ListParagraph"/>
        <w:numPr>
          <w:ilvl w:val="0"/>
          <w:numId w:val="2"/>
        </w:numPr>
        <w:spacing w:after="80"/>
      </w:pPr>
      <w:r>
        <w:rPr>
          <w:rFonts w:ascii="Arial" w:cs="Arial" w:eastAsia="Arial" w:hAnsi="Arial"/>
          <w:color w:val="111827"/>
          <w:sz w:val="22"/>
          <w:szCs w:val="22"/>
        </w:rPr>
        <w:t xml:space="preserve">Lundberg, S.M. and Lee, S.I. (2017). A Unified Approach to Interpreting Model Predictions. NeurIPS 30, pp. 4765–4774.</w:t>
      </w:r>
    </w:p>
    <w:p>
      <w:pPr>
        <w:spacing w:after="80"/>
      </w:pPr>
      <w:r>
        <w:t xml:space="preserve"/>
      </w:r>
    </w:p>
    <w:p>
      <w:pPr>
        <w:pStyle w:val="Heading2"/>
        <w:spacing w:after="100" w:before="240"/>
      </w:pPr>
      <w:r>
        <w:rPr>
          <w:rFonts w:ascii="Arial" w:cs="Arial" w:eastAsia="Arial" w:hAnsi="Arial"/>
          <w:b/>
          <w:bCs/>
          <w:color w:val="1E3A5F"/>
          <w:sz w:val="24"/>
          <w:szCs w:val="24"/>
        </w:rPr>
        <w:t xml:space="preserve">Causal Inference</w:t>
      </w:r>
    </w:p>
    <w:p>
      <w:pPr>
        <w:pStyle w:val="ListParagraph"/>
        <w:numPr>
          <w:ilvl w:val="0"/>
          <w:numId w:val="2"/>
        </w:numPr>
        <w:spacing w:after="80"/>
      </w:pPr>
      <w:r>
        <w:rPr>
          <w:rFonts w:ascii="Arial" w:cs="Arial" w:eastAsia="Arial" w:hAnsi="Arial"/>
          <w:color w:val="111827"/>
          <w:sz w:val="22"/>
          <w:szCs w:val="22"/>
        </w:rPr>
        <w:t xml:space="preserve">Sharma, A. and Kiciman, E. (2020). DoWhy: An End-to-End Library for Causal Inference. arXiv:2011.04216.</w:t>
      </w:r>
    </w:p>
    <w:p>
      <w:pPr>
        <w:pStyle w:val="ListParagraph"/>
        <w:numPr>
          <w:ilvl w:val="0"/>
          <w:numId w:val="2"/>
        </w:numPr>
        <w:spacing w:after="80"/>
      </w:pPr>
      <w:r>
        <w:rPr>
          <w:rFonts w:ascii="Arial" w:cs="Arial" w:eastAsia="Arial" w:hAnsi="Arial"/>
          <w:color w:val="111827"/>
          <w:sz w:val="22"/>
          <w:szCs w:val="22"/>
        </w:rPr>
        <w:t xml:space="preserve">Pearl, J. (2009). Causality: Models, Reasoning and Inference. 2nd ed. Cambridge University Press.</w:t>
      </w:r>
    </w:p>
    <w:p>
      <w:pPr>
        <w:spacing w:after="80"/>
      </w:pPr>
      <w:r>
        <w:t xml:space="preserve"/>
      </w:r>
    </w:p>
    <w:p>
      <w:pPr>
        <w:pStyle w:val="Heading2"/>
        <w:spacing w:after="100" w:before="240"/>
      </w:pPr>
      <w:r>
        <w:rPr>
          <w:rFonts w:ascii="Arial" w:cs="Arial" w:eastAsia="Arial" w:hAnsi="Arial"/>
          <w:b/>
          <w:bCs/>
          <w:color w:val="1E3A5F"/>
          <w:sz w:val="24"/>
          <w:szCs w:val="24"/>
        </w:rPr>
        <w:t xml:space="preserve">Political Risk and Financial Markets</w:t>
      </w:r>
    </w:p>
    <w:p>
      <w:pPr>
        <w:pStyle w:val="ListParagraph"/>
        <w:numPr>
          <w:ilvl w:val="0"/>
          <w:numId w:val="2"/>
        </w:numPr>
        <w:spacing w:after="80"/>
      </w:pPr>
      <w:r>
        <w:rPr>
          <w:rFonts w:ascii="Arial" w:cs="Arial" w:eastAsia="Arial" w:hAnsi="Arial"/>
          <w:color w:val="111827"/>
          <w:sz w:val="22"/>
          <w:szCs w:val="22"/>
        </w:rPr>
        <w:t xml:space="preserve">Baker, S.R., Bloom, N. and Davis, S.J. (2016). Measuring Economic Policy Uncertainty. The Quarterly Journal of Economics, 131(4), pp. 1593–1636.</w:t>
      </w:r>
    </w:p>
    <w:p>
      <w:pPr>
        <w:pStyle w:val="ListParagraph"/>
        <w:numPr>
          <w:ilvl w:val="0"/>
          <w:numId w:val="2"/>
        </w:numPr>
        <w:spacing w:after="80"/>
      </w:pPr>
      <w:r>
        <w:rPr>
          <w:rFonts w:ascii="Arial" w:cs="Arial" w:eastAsia="Arial" w:hAnsi="Arial"/>
          <w:color w:val="111827"/>
          <w:sz w:val="22"/>
          <w:szCs w:val="22"/>
        </w:rPr>
        <w:t xml:space="preserve">Pástor, L. and Veronesi, P. (2013). Political Uncertainty and Risk Premia. Journal of Financial Economics, 110(3), pp. 520–545.</w:t>
      </w:r>
    </w:p>
    <w:p>
      <w:pPr>
        <w:spacing w:after="80"/>
      </w:pPr>
      <w:r>
        <w:t xml:space="preserve"/>
      </w:r>
    </w:p>
    <w:p>
      <w:pPr>
        <w:pStyle w:val="Heading2"/>
        <w:spacing w:after="100" w:before="240"/>
      </w:pPr>
      <w:r>
        <w:rPr>
          <w:rFonts w:ascii="Arial" w:cs="Arial" w:eastAsia="Arial" w:hAnsi="Arial"/>
          <w:b/>
          <w:bCs/>
          <w:color w:val="1E3A5F"/>
          <w:sz w:val="24"/>
          <w:szCs w:val="24"/>
        </w:rPr>
        <w:t xml:space="preserve">Data Sources</w:t>
      </w:r>
    </w:p>
    <w:p>
      <w:pPr>
        <w:pStyle w:val="ListParagraph"/>
        <w:numPr>
          <w:ilvl w:val="0"/>
          <w:numId w:val="2"/>
        </w:numPr>
        <w:spacing w:after="80"/>
      </w:pPr>
      <w:r>
        <w:rPr>
          <w:rFonts w:ascii="Arial" w:cs="Arial" w:eastAsia="Arial" w:hAnsi="Arial"/>
          <w:color w:val="111827"/>
          <w:sz w:val="22"/>
          <w:szCs w:val="22"/>
        </w:rPr>
        <w:t xml:space="preserve">The American Presidency Project: https://www.presidency.ucsb.edu</w:t>
      </w:r>
    </w:p>
    <w:p>
      <w:pPr>
        <w:pStyle w:val="ListParagraph"/>
        <w:numPr>
          <w:ilvl w:val="0"/>
          <w:numId w:val="2"/>
        </w:numPr>
        <w:spacing w:after="80"/>
      </w:pPr>
      <w:r>
        <w:rPr>
          <w:rFonts w:ascii="Arial" w:cs="Arial" w:eastAsia="Arial" w:hAnsi="Arial"/>
          <w:color w:val="111827"/>
          <w:sz w:val="22"/>
          <w:szCs w:val="22"/>
        </w:rPr>
        <w:t xml:space="preserve">Federal Reserve Economic Data (FRED): https://fred.stlouisfed.org</w:t>
      </w:r>
    </w:p>
    <w:p>
      <w:pPr>
        <w:pStyle w:val="ListParagraph"/>
        <w:numPr>
          <w:ilvl w:val="0"/>
          <w:numId w:val="2"/>
        </w:numPr>
        <w:spacing w:after="80"/>
      </w:pPr>
      <w:r>
        <w:rPr>
          <w:rFonts w:ascii="Arial" w:cs="Arial" w:eastAsia="Arial" w:hAnsi="Arial"/>
          <w:color w:val="111827"/>
          <w:sz w:val="22"/>
          <w:szCs w:val="22"/>
        </w:rPr>
        <w:t xml:space="preserve">GDELT Project: https://www.gdeltproject.org</w:t>
      </w:r>
    </w:p>
    <w:p>
      <w:pPr>
        <w:pStyle w:val="ListParagraph"/>
        <w:numPr>
          <w:ilvl w:val="0"/>
          <w:numId w:val="2"/>
        </w:numPr>
        <w:spacing w:after="80"/>
      </w:pPr>
      <w:r>
        <w:rPr>
          <w:rFonts w:ascii="Arial" w:cs="Arial" w:eastAsia="Arial" w:hAnsi="Arial"/>
          <w:color w:val="111827"/>
          <w:sz w:val="22"/>
          <w:szCs w:val="22"/>
        </w:rPr>
        <w:t xml:space="preserve">Yahoo Finance API (yfinance): https://pypi.org/project/yfinance</w:t>
      </w:r>
    </w:p>
    <w:p>
      <w:pPr>
        <w:spacing w:after="200"/>
      </w:pPr>
      <w:r>
        <w:t xml:space="preserve"/>
      </w:r>
    </w:p>
    <w:p>
      <w:pPr>
        <w:pBdr>
          <w:top w:val="single" w:color="CBD5E1" w:sz="2" w:space="6"/>
        </w:pBdr>
        <w:spacing w:after="0" w:before="400"/>
        <w:jc w:val="center"/>
      </w:pPr>
      <w:r>
        <w:rPr>
          <w:rFonts w:ascii="Arial" w:cs="Arial" w:eastAsia="Arial" w:hAnsi="Arial"/>
          <w:color w:val="6B7280"/>
          <w:sz w:val="18"/>
          <w:szCs w:val="18"/>
        </w:rPr>
        <w:t xml:space="preserve">DATSCI7030 · Project Summary · Version 1.1 · Ibrahim Haroun · LJMU 2025–2026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Arial" w:cs="Arial" w:eastAsia="Arial" w:hAnsi="Arial"/>
        <w:color w:val="6B7280"/>
        <w:sz w:val="18"/>
        <w:szCs w:val="18"/>
      </w:rPr>
      <w:t xml:space="preserve">DATSCI7030 · Project Summary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360"/>
      </w:tabs>
    </w:pPr>
    <w:r>
      <w:rPr>
        <w:rFonts w:ascii="Arial" w:cs="Arial" w:eastAsia="Arial" w:hAnsi="Arial"/>
        <w:color w:val="6B7280"/>
        <w:sz w:val="18"/>
        <w:szCs w:val="18"/>
      </w:rPr>
      <w:t xml:space="preserve">DATSCI7030 — Causal Event-Driven Market Impact Modelling</w:t>
    </w:r>
    <w:r>
      <w:rPr>
        <w:rFonts w:ascii="Arial" w:cs="Arial" w:eastAsia="Arial" w:hAnsi="Arial"/>
        <w:color w:val="6B7280"/>
        <w:sz w:val="18"/>
        <w:szCs w:val="18"/>
      </w:rPr>
      <w:t xml:space="preserve">	Version 1.1 · Ibrahim Haroun · LJMU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2026-05-04T16:27:55.359Z</dcterms:created>
  <dcterms:modified xsi:type="dcterms:W3CDTF">2026-05-04T16:27:55.359Z</dcterms:modified>
</cp:coreProperties>
</file>

<file path=docProps/custom.xml><?xml version="1.0" encoding="utf-8"?>
<Properties xmlns="http://schemas.openxmlformats.org/officeDocument/2006/custom-properties" xmlns:vt="http://schemas.openxmlformats.org/officeDocument/2006/docPropsVTypes"/>
</file>