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Résultats et analyses</w:t>
      </w:r>
    </w:p>
    <w:p>
      <w:r>
        <w:t>Le protocole décrit au chapitre précédent a été exécuté du 22 au 24 août 2026 : vingt-quatre exécutions, cent soixante-dix-sept séries, vingt-six mille cinq cent cinquante manches et vingt-sept mille deux cent quatre-vingt-dix décisions de l'agent, sur un modèle unique tenu constant (</w:t>
      </w:r>
      <w:r>
        <w:rPr>
          <w:rFonts w:ascii="Consolas" w:hAnsi="Consolas"/>
          <w:sz w:val="20"/>
        </w:rPr>
        <w:t>gpt-5.6-luna</w:t>
      </w:r>
      <w:r>
        <w:t xml:space="preserve">, effort de raisonnement </w:t>
      </w:r>
      <w:r>
        <w:rPr>
          <w:rFonts w:ascii="Consolas" w:hAnsi="Consolas"/>
          <w:sz w:val="20"/>
        </w:rPr>
        <w:t>medium</w:t>
      </w:r>
      <w:r>
        <w:t>, cent cinquante manches par série). Les trois traitements d'une même réplication ont reçu des distributions strictement identiques, manche pour manche : toutes les comparaisons qui suivent sont appariées à la carte près. La condition de réinjection d'historique n'a pas été jouée contre l'adversaire à l'équilibre, pour la raison exposée au §2.2.7. Les contrôles de conformité — rejeu intégral depuis les journaux, intégrité de clôture, absence d'action imposée — et les trois incidents d'exécution sont rapportés au §2.2.8.</w:t>
      </w:r>
    </w:p>
    <w:p>
      <w:r>
        <w:t>Les résultats sont présentés dans l'ordre du plan d'analyse arrêté avant la campagne (§2.2.9). Cet ordre n'a pas été révisé après coup : les hypothèses, leurs critères de réfutation et la séquence de leur examen ont été fixés avant que la moindre donnée ne soit collectée.</w:t>
      </w:r>
    </w:p>
    <w:p>
      <w:pPr>
        <w:pStyle w:val="Heading2"/>
      </w:pPr>
      <w:r>
        <w:t>3.1 Comment lire les deux instruments</w:t>
      </w:r>
    </w:p>
    <w:p>
      <w:r>
        <w:t>Deux quantités mesurent la politique de l'agent à chaque série, et le chapitre de méthode les a définies séparément parce qu'elles répondent à deux questions distinctes.</w:t>
      </w:r>
    </w:p>
    <w:p>
      <w:pPr>
        <w:pStyle w:val="Quote"/>
      </w:pPr>
      <w:r>
        <w:rPr>
          <w:b/>
        </w:rPr>
        <w:t>Écart d'exploitation</w:t>
      </w:r>
      <w:r>
        <w:t xml:space="preserve"> = EV(meilleure réponse à l'adversaire) − EV(politique observée). Ce que l'agent laisse sur la table à chaque manche, faute d'exploiter parfaitement. Zéro signifie exploitation optimale. </w:t>
      </w:r>
      <w:r>
        <w:rPr>
          <w:b/>
        </w:rPr>
        <w:t>Référence récitée</w:t>
      </w:r>
      <w:r>
        <w:t xml:space="preserve"> = EV(politique observée) − EV(équilibre), contre le même adversaire. La distance au comportement d'un agent qui appliquerait l'équilibre. Un pur récitant y reste à zéro quel que soit l'adversaire.</w:t>
      </w:r>
    </w:p>
    <w:p>
      <w:r>
        <w:t>Les deux sont calculées exactement, en arithmétique rationnelle, par énumération complète des douze ensembles d'information — aucune simulation, aucun intervalle de confiance sur la mesure elle-même.</w:t>
      </w:r>
    </w:p>
    <w:p>
      <w:r>
        <w:rPr>
          <w:b/>
        </w:rPr>
        <w:t>Ces deux instruments ne sont pas indépendants.</w:t>
      </w:r>
      <w:r>
        <w:t xml:space="preserve"> Leur somme vaut EV(meilleure réponse) − EV(équilibre), c'est-à-dire une constante de l'adversaire — et cette constante est précisément l'écart qu'afficherait un récitant. Vérification sur les cent soixante-dix-sept séries : la somme prend </w:t>
      </w:r>
      <w:r>
        <w:rPr>
          <w:b/>
        </w:rPr>
        <w:t>une seule valeur par adversaire</w:t>
      </w:r>
      <w:r>
        <w:t>, identique à la douzième décimale.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Adversaire</w:t>
            </w:r>
          </w:p>
        </w:tc>
        <w:tc>
          <w:tcPr>
            <w:tcW w:type="dxa" w:w="2880"/>
          </w:tcPr>
          <w:p>
            <w:r/>
            <w:r>
              <w:rPr>
                <w:b/>
              </w:rPr>
              <w:t>Écart + référence récitée</w:t>
            </w:r>
          </w:p>
        </w:tc>
        <w:tc>
          <w:tcPr>
            <w:tcW w:type="dxa" w:w="2880"/>
          </w:tcPr>
          <w:p>
            <w:r/>
            <w:r>
              <w:rPr>
                <w:b/>
              </w:rPr>
              <w:t>Soit</w:t>
            </w:r>
          </w:p>
        </w:tc>
      </w:tr>
      <w:tr>
        <w:tc>
          <w:tcPr>
            <w:tcW w:type="dxa" w:w="2880"/>
          </w:tcPr>
          <w:p>
            <w:r/>
            <w:r>
              <w:t>Over-folder</w:t>
            </w:r>
          </w:p>
        </w:tc>
        <w:tc>
          <w:tcPr>
            <w:tcW w:type="dxa" w:w="2880"/>
          </w:tcPr>
          <w:p>
            <w:r/>
            <w:r>
              <w:t>0,7778</w:t>
            </w:r>
          </w:p>
        </w:tc>
        <w:tc>
          <w:tcPr>
            <w:tcW w:type="dxa" w:w="2880"/>
          </w:tcPr>
          <w:p>
            <w:r/>
            <w:r>
              <w:t>7/9</w:t>
            </w:r>
          </w:p>
        </w:tc>
      </w:tr>
      <w:tr>
        <w:tc>
          <w:tcPr>
            <w:tcW w:type="dxa" w:w="2880"/>
          </w:tcPr>
          <w:p>
            <w:r/>
            <w:r>
              <w:t>Station</w:t>
            </w:r>
          </w:p>
        </w:tc>
        <w:tc>
          <w:tcPr>
            <w:tcW w:type="dxa" w:w="2880"/>
          </w:tcPr>
          <w:p>
            <w:r/>
            <w:r>
              <w:t>0,1111</w:t>
            </w:r>
          </w:p>
        </w:tc>
        <w:tc>
          <w:tcPr>
            <w:tcW w:type="dxa" w:w="2880"/>
          </w:tcPr>
          <w:p>
            <w:r/>
            <w:r>
              <w:t>1/9</w:t>
            </w:r>
          </w:p>
        </w:tc>
      </w:tr>
      <w:tr>
        <w:tc>
          <w:tcPr>
            <w:tcW w:type="dxa" w:w="2880"/>
          </w:tcPr>
          <w:p>
            <w:r/>
            <w:r>
              <w:t>GTO</w:t>
            </w:r>
          </w:p>
        </w:tc>
        <w:tc>
          <w:tcPr>
            <w:tcW w:type="dxa" w:w="2880"/>
          </w:tcPr>
          <w:p>
            <w:r/>
            <w:r>
              <w:t>0,0000</w:t>
            </w:r>
          </w:p>
        </w:tc>
        <w:tc>
          <w:tcPr>
            <w:tcW w:type="dxa" w:w="2880"/>
          </w:tcPr>
          <w:p>
            <w:r/>
            <w:r>
              <w:t>0</w:t>
            </w:r>
          </w:p>
        </w:tc>
      </w:tr>
    </w:tbl>
    <w:p/>
    <w:p>
      <w:r>
        <w:t xml:space="preserve">À adversaire fixé, les deux mesures n'ont donc </w:t>
      </w:r>
      <w:r>
        <w:rPr>
          <w:b/>
        </w:rPr>
        <w:t>qu'un seul degré de liberté</w:t>
      </w:r>
      <w:r>
        <w:t xml:space="preserve"> : la référence récitée est un recalage affine de l'écart, de pente −1. Ce n'est pas une seconde mesure. Trois conséquences, qu'il vaut mieux énoncer que laisser découvrir.</w:t>
      </w:r>
    </w:p>
    <w:p>
      <w:r>
        <w:t>D'abord, le point 2 du plan d'analyse prévoyait de tracer la trajectoire de l'agent dans le plan formé par les deux instruments. Cette figure ne peut être qu'une droite ; elle n'est pas produite. La référence récitée est néanmoins tracée séparément (§3.3), parce qu'elle déplace l'origine sur le comportement du récitant et rend visible un franchissement de signe que l'écart seul masque.</w:t>
      </w:r>
    </w:p>
    <w:p>
      <w:r>
        <w:t xml:space="preserve">Ensuite, le contrôle négatif énoncé au §2.4 comme deux falsifications indépendantes — une référence récitée positive contre l'adversaire à l'équilibre </w:t>
      </w:r>
      <w:r>
        <w:rPr>
          <w:i/>
        </w:rPr>
        <w:t>ou</w:t>
      </w:r>
      <w:r>
        <w:t xml:space="preserve"> un écart négatif — n'en constitue qu'une seule : contre cet adversaire la constante vaut zéro, donc la référence récitée est l'opposé exact de l'écart. Le dispositif n'offre pas deux verrous mais un, ce qui ne l'affaiblit pas mais doit être dit.</w:t>
      </w:r>
    </w:p>
    <w:p>
      <w:r>
        <w:t xml:space="preserve">Enfin, et c'est l'essentiel, </w:t>
      </w:r>
      <w:r>
        <w:rPr>
          <w:b/>
        </w:rPr>
        <w:t>H2 n'est pas testée par le couple d'instruments mais par la comparaison entre adversaires</w:t>
      </w:r>
      <w:r>
        <w:t>. C'était déjà la position du §2.2.2 : les fuites de Station et d'Over-folder sont opposées, et aucune stratégie fixe — fût-elle celle de l'équilibre — ne peut faire descendre les deux courbes simultanément. L'identification reposait au bon endroit ; seule la figure prévue la cherchait au mauvais.</w:t>
      </w:r>
    </w:p>
    <w:p>
      <w:pPr>
        <w:pStyle w:val="Heading2"/>
      </w:pPr>
      <w:r>
        <w:t>3.2 L'adaptation existe, et elle vient de la mémoire</w:t>
      </w:r>
    </w:p>
    <w:p>
      <w:r>
        <w:t>H1 énonce que l'écart d'exploitation d'un agent doté d'une mémoire persistante auto-rédigée décroît au fil des séries, tandis que celui du même modèle privé de mémoire reste stationnaire. Sa réfutation était simple : que les deux conditions ne se distinguent pas.</w:t>
      </w:r>
    </w:p>
    <w:p>
      <w:pPr>
        <w:jc w:val="center"/>
      </w:pPr>
      <w:r>
        <w:drawing>
          <wp:inline xmlns:a="http://schemas.openxmlformats.org/drawingml/2006/main" xmlns:pic="http://schemas.openxmlformats.org/drawingml/2006/picture">
            <wp:extent cx="5760000" cy="2073600"/>
            <wp:docPr id="1" name="Picture 1"/>
            <wp:cNvGraphicFramePr>
              <a:graphicFrameLocks noChangeAspect="1"/>
            </wp:cNvGraphicFramePr>
            <a:graphic>
              <a:graphicData uri="http://schemas.openxmlformats.org/drawingml/2006/picture">
                <pic:pic>
                  <pic:nvPicPr>
                    <pic:cNvPr id="0" name="fig1-trajectoires.png"/>
                    <pic:cNvPicPr/>
                  </pic:nvPicPr>
                  <pic:blipFill>
                    <a:blip r:embed="rId9"/>
                    <a:stretch>
                      <a:fillRect/>
                    </a:stretch>
                  </pic:blipFill>
                  <pic:spPr>
                    <a:xfrm>
                      <a:off x="0" y="0"/>
                      <a:ext cx="5760000" cy="2073600"/>
                    </a:xfrm>
                    <a:prstGeom prst="rect"/>
                  </pic:spPr>
                </pic:pic>
              </a:graphicData>
            </a:graphic>
          </wp:inline>
        </w:drawing>
      </w:r>
    </w:p>
    <w:p>
      <w:pPr>
        <w:jc w:val="center"/>
      </w:pPr>
      <w:r>
        <w:rPr>
          <w:i/>
          <w:sz w:val="18"/>
        </w:rPr>
        <w:t>Figure 1 — Trajectoires d'adaptation : écart d'exploitation par série</w:t>
      </w:r>
    </w:p>
    <w:p>
      <w:r>
        <w:t>La figure porte l'écart par série, un panneau par adversaire, les trois traitements sur les mêmes axes, les réplications individuelles en filigrane et leur moyenne en trait épais. Deux lignes de référence l'encadrent : zéro, qui est l'exploitation optimale, et l'écart qu'afficherait un récitant. La courbe sans mémoire s'arrête à la série 2 : le protocole n'en prévoit que trois pour cette condition (§2.2.6), puisque rien ne s'y accumule d'une série à l'autre et que trois points suffisent à établir un niveau et sa dispersion.</w:t>
      </w:r>
    </w:p>
    <w:p>
      <w:r>
        <w:t xml:space="preserve">La lecture est immédiate. </w:t>
      </w:r>
      <w:r>
        <w:rPr>
          <w:b/>
        </w:rPr>
        <w:t>La condition sans mémoire ne décroît jamais</w:t>
      </w:r>
      <w:r>
        <w:t>, contre aucun des trois adversaires. La condition à mémoire auto-écrite chute à la première frontière et atteint zéro contre les deux adversaires exploitables.</w:t>
      </w:r>
    </w:p>
    <w:p>
      <w:r>
        <w:t>L'effet apparié — écart final de la mémoire auto-écrite contre le niveau moyen sans mémoire, sur des distributions identiques — se lit ainsi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Adversaire</w:t>
            </w:r>
          </w:p>
        </w:tc>
        <w:tc>
          <w:tcPr>
            <w:tcW w:type="dxa" w:w="1728"/>
          </w:tcPr>
          <w:p>
            <w:r/>
            <w:r>
              <w:rPr>
                <w:b/>
              </w:rPr>
              <w:t>Sans mémoire</w:t>
            </w:r>
          </w:p>
        </w:tc>
        <w:tc>
          <w:tcPr>
            <w:tcW w:type="dxa" w:w="1728"/>
          </w:tcPr>
          <w:p>
            <w:r/>
            <w:r>
              <w:rPr>
                <w:b/>
              </w:rPr>
              <w:t>Mémoire auto-écrite (série 9)</w:t>
            </w:r>
          </w:p>
        </w:tc>
        <w:tc>
          <w:tcPr>
            <w:tcW w:type="dxa" w:w="1728"/>
          </w:tcPr>
          <w:p>
            <w:r/>
            <w:r>
              <w:rPr>
                <w:b/>
              </w:rPr>
              <w:t>Réduction</w:t>
            </w:r>
          </w:p>
        </w:tc>
        <w:tc>
          <w:tcPr>
            <w:tcW w:type="dxa" w:w="1728"/>
          </w:tcPr>
          <w:p>
            <w:r/>
            <w:r>
              <w:rPr>
                <w:b/>
              </w:rPr>
              <w:t>Par réplication</w:t>
            </w:r>
          </w:p>
        </w:tc>
      </w:tr>
      <w:tr>
        <w:tc>
          <w:tcPr>
            <w:tcW w:type="dxa" w:w="1728"/>
          </w:tcPr>
          <w:p>
            <w:r/>
            <w:r>
              <w:t>Over-folder</w:t>
            </w:r>
          </w:p>
        </w:tc>
        <w:tc>
          <w:tcPr>
            <w:tcW w:type="dxa" w:w="1728"/>
          </w:tcPr>
          <w:p>
            <w:r/>
            <w:r>
              <w:t>0,704</w:t>
            </w:r>
          </w:p>
        </w:tc>
        <w:tc>
          <w:tcPr>
            <w:tcW w:type="dxa" w:w="1728"/>
          </w:tcPr>
          <w:p>
            <w:r/>
            <w:r>
              <w:t>0,000</w:t>
            </w:r>
          </w:p>
        </w:tc>
        <w:tc>
          <w:tcPr>
            <w:tcW w:type="dxa" w:w="1728"/>
          </w:tcPr>
          <w:p>
            <w:r/>
            <w:r>
              <w:rPr>
                <w:b/>
              </w:rPr>
              <w:t>+0,704</w:t>
            </w:r>
          </w:p>
        </w:tc>
        <w:tc>
          <w:tcPr>
            <w:tcW w:type="dxa" w:w="1728"/>
          </w:tcPr>
          <w:p>
            <w:r/>
            <w:r>
              <w:t>+0,688 · +0,707 · +0,717</w:t>
            </w:r>
          </w:p>
        </w:tc>
      </w:tr>
      <w:tr>
        <w:tc>
          <w:tcPr>
            <w:tcW w:type="dxa" w:w="1728"/>
          </w:tcPr>
          <w:p>
            <w:r/>
            <w:r>
              <w:t>Station</w:t>
            </w:r>
          </w:p>
        </w:tc>
        <w:tc>
          <w:tcPr>
            <w:tcW w:type="dxa" w:w="1728"/>
          </w:tcPr>
          <w:p>
            <w:r/>
            <w:r>
              <w:t>0,222</w:t>
            </w:r>
          </w:p>
        </w:tc>
        <w:tc>
          <w:tcPr>
            <w:tcW w:type="dxa" w:w="1728"/>
          </w:tcPr>
          <w:p>
            <w:r/>
            <w:r>
              <w:t>0,002</w:t>
            </w:r>
          </w:p>
        </w:tc>
        <w:tc>
          <w:tcPr>
            <w:tcW w:type="dxa" w:w="1728"/>
          </w:tcPr>
          <w:p>
            <w:r/>
            <w:r>
              <w:rPr>
                <w:b/>
              </w:rPr>
              <w:t>+0,220</w:t>
            </w:r>
          </w:p>
        </w:tc>
        <w:tc>
          <w:tcPr>
            <w:tcW w:type="dxa" w:w="1728"/>
          </w:tcPr>
          <w:p>
            <w:r/>
            <w:r>
              <w:t>+0,229 · +0,207 · +0,224</w:t>
            </w:r>
          </w:p>
        </w:tc>
      </w:tr>
      <w:tr>
        <w:tc>
          <w:tcPr>
            <w:tcW w:type="dxa" w:w="1728"/>
          </w:tcPr>
          <w:p>
            <w:r/>
            <w:r>
              <w:t>GTO</w:t>
            </w:r>
          </w:p>
        </w:tc>
        <w:tc>
          <w:tcPr>
            <w:tcW w:type="dxa" w:w="1728"/>
          </w:tcPr>
          <w:p>
            <w:r/>
            <w:r>
              <w:t>0,187</w:t>
            </w:r>
          </w:p>
        </w:tc>
        <w:tc>
          <w:tcPr>
            <w:tcW w:type="dxa" w:w="1728"/>
          </w:tcPr>
          <w:p>
            <w:r/>
            <w:r>
              <w:t>0,008</w:t>
            </w:r>
          </w:p>
        </w:tc>
        <w:tc>
          <w:tcPr>
            <w:tcW w:type="dxa" w:w="1728"/>
          </w:tcPr>
          <w:p>
            <w:r/>
            <w:r>
              <w:rPr>
                <w:b/>
              </w:rPr>
              <w:t>+0,178</w:t>
            </w:r>
          </w:p>
        </w:tc>
        <w:tc>
          <w:tcPr>
            <w:tcW w:type="dxa" w:w="1728"/>
          </w:tcPr>
          <w:p>
            <w:r/>
            <w:r>
              <w:t>+0,156 · +0,195 · +0,184</w:t>
            </w:r>
          </w:p>
        </w:tc>
      </w:tr>
    </w:tbl>
    <w:p/>
    <w:p>
      <w:r>
        <w:t>Trois observations en soutiennent la lecture.</w:t>
      </w:r>
    </w:p>
    <w:p>
      <w:r>
        <w:rPr>
          <w:b/>
        </w:rPr>
        <w:t>Les neuf paires vont dans le même sens</w:t>
      </w:r>
      <w:r>
        <w:t>, avec une dispersion inter-réplications de l'ordre du centième. Trois réplications par cellule n'autorisent aucun test d'hypothèse dont la puissance ne serait décorative ; ce qui porte la conclusion est la cohérence du signe sur neuf comparaisons appariées indépendantes, et l'ordre de grandeur de l'effet rapporté à sa dispersion.</w:t>
      </w:r>
    </w:p>
    <w:p>
      <w:r>
        <w:rPr>
          <w:b/>
        </w:rPr>
        <w:t>Le témoin sans mémoire fait le travail d'identification.</w:t>
      </w:r>
      <w:r>
        <w:t xml:space="preserve"> Il tourne sur les mêmes distributions, avec le même modèle, le même harnais et le même calcul de mesure ; la seule différence est la rubrique mémoire du prompt. Si la décroissance observée venait de l'instrument, de la séquence de cartes ou d'un artefact du harnais, elle apparaîtrait aussi dans cette condition. Elle n'y apparaît pas.</w:t>
      </w:r>
    </w:p>
    <w:p>
      <w:r>
        <w:rPr>
          <w:b/>
        </w:rPr>
        <w:t>L'écart atteint zéro exactement</w:t>
      </w:r>
      <w:r>
        <w:t xml:space="preserve">, et non « une valeur proche de zéro ». La mesure étant exacte, un écart nul signifie que la politique observée </w:t>
      </w:r>
      <w:r>
        <w:rPr>
          <w:i/>
        </w:rPr>
        <w:t>est</w:t>
      </w:r>
      <w:r>
        <w:t xml:space="preserve"> une meilleure réponse à l'adversaire, au sens strict. Contre Over-folder, les trois réplications y sont ; contre Station, deux sur trois, la troisième à 0,005.</w:t>
      </w:r>
    </w:p>
    <w:p>
      <w:r>
        <w:t>H1 est établie. La question de savoir ce qui, dans la mémoire, produit cet effet est celle de la section 3.4 ; celle de savoir si l'agent exploite ou récite est celle de la section suivante.</w:t>
      </w:r>
    </w:p>
    <w:p>
      <w:pPr>
        <w:pStyle w:val="Heading2"/>
      </w:pPr>
      <w:r>
        <w:t>3.3 Elle exploite, elle ne récite pas</w:t>
      </w:r>
    </w:p>
    <w:p>
      <w:r>
        <w:t>L'objection la plus sérieuse à H1 n'est pas que l'effet soit absent, mais qu'il soit trivial. Le modèle a rencontré ce jeu et sa solution durant son pré-entraînement ; une mémoire pourrait n'avoir d'autre effet que de l'aider à se souvenir de l'équilibre. Une amélioration de l'écart serait alors une récitation mieux exécutée, non une adaptation à un adversaire particulier.</w:t>
      </w:r>
    </w:p>
    <w:p>
      <w:r>
        <w:t>H2 tranche cette question, et le plan d'adversaires a été construit pour cela.</w:t>
      </w:r>
    </w:p>
    <w:p>
      <w:pPr>
        <w:jc w:val="center"/>
      </w:pPr>
      <w:r>
        <w:drawing>
          <wp:inline xmlns:a="http://schemas.openxmlformats.org/drawingml/2006/main" xmlns:pic="http://schemas.openxmlformats.org/drawingml/2006/picture">
            <wp:extent cx="5760000" cy="1877333"/>
            <wp:docPr id="2" name="Picture 2"/>
            <wp:cNvGraphicFramePr>
              <a:graphicFrameLocks noChangeAspect="1"/>
            </wp:cNvGraphicFramePr>
            <a:graphic>
              <a:graphicData uri="http://schemas.openxmlformats.org/drawingml/2006/picture">
                <pic:pic>
                  <pic:nvPicPr>
                    <pic:cNvPr id="0" name="fig2-recitation.png"/>
                    <pic:cNvPicPr/>
                  </pic:nvPicPr>
                  <pic:blipFill>
                    <a:blip r:embed="rId10"/>
                    <a:stretch>
                      <a:fillRect/>
                    </a:stretch>
                  </pic:blipFill>
                  <pic:spPr>
                    <a:xfrm>
                      <a:off x="0" y="0"/>
                      <a:ext cx="5760000" cy="1877333"/>
                    </a:xfrm>
                    <a:prstGeom prst="rect"/>
                  </pic:spPr>
                </pic:pic>
              </a:graphicData>
            </a:graphic>
          </wp:inline>
        </w:drawing>
      </w:r>
    </w:p>
    <w:p>
      <w:pPr>
        <w:jc w:val="center"/>
      </w:pPr>
      <w:r>
        <w:rPr>
          <w:i/>
          <w:sz w:val="18"/>
        </w:rPr>
        <w:t>Figure 2 — Récitation ou exploitation : distance au comportement d'équilibre</w:t>
      </w:r>
    </w:p>
    <w:p>
      <w:r>
        <w:t xml:space="preserve">Même découpage que la figure 1, mais l'ordonnée porte la référence récitée : le zéro y est le comportement d'un récitant, et le plafond, l'exploitation parfaite. C'est un recalage de la figure 1 (§3.1) et non une mesure supplémentaire ; il est tracé parce qu'il rend visible le </w:t>
      </w:r>
      <w:r>
        <w:rPr>
          <w:b/>
        </w:rPr>
        <w:t>franchissement de signe</w:t>
      </w:r>
      <w:r>
        <w:t>, que l'échelle de la figure 1 masque.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Adversaire</w:t>
            </w:r>
          </w:p>
        </w:tc>
        <w:tc>
          <w:tcPr>
            <w:tcW w:type="dxa" w:w="2160"/>
          </w:tcPr>
          <w:p>
            <w:r/>
            <w:r>
              <w:rPr>
                <w:b/>
              </w:rPr>
              <w:t>Sans mémoire</w:t>
            </w:r>
          </w:p>
        </w:tc>
        <w:tc>
          <w:tcPr>
            <w:tcW w:type="dxa" w:w="2160"/>
          </w:tcPr>
          <w:p>
            <w:r/>
            <w:r>
              <w:rPr>
                <w:b/>
              </w:rPr>
              <w:t>Mémoire auto-écrite (séries 7-9)</w:t>
            </w:r>
          </w:p>
        </w:tc>
        <w:tc>
          <w:tcPr>
            <w:tcW w:type="dxa" w:w="2160"/>
          </w:tcPr>
          <w:p>
            <w:r/>
            <w:r>
              <w:rPr>
                <w:b/>
              </w:rPr>
              <w:t>Maximum théorique</w:t>
            </w:r>
          </w:p>
        </w:tc>
      </w:tr>
      <w:tr>
        <w:tc>
          <w:tcPr>
            <w:tcW w:type="dxa" w:w="2160"/>
          </w:tcPr>
          <w:p>
            <w:r/>
            <w:r>
              <w:t>Over-folder</w:t>
            </w:r>
          </w:p>
        </w:tc>
        <w:tc>
          <w:tcPr>
            <w:tcW w:type="dxa" w:w="2160"/>
          </w:tcPr>
          <w:p>
            <w:r/>
            <w:r>
              <w:t>+0,074</w:t>
            </w:r>
          </w:p>
        </w:tc>
        <w:tc>
          <w:tcPr>
            <w:tcW w:type="dxa" w:w="2160"/>
          </w:tcPr>
          <w:p>
            <w:r/>
            <w:r>
              <w:rPr>
                <w:b/>
              </w:rPr>
              <w:t>+0,778</w:t>
            </w:r>
          </w:p>
        </w:tc>
        <w:tc>
          <w:tcPr>
            <w:tcW w:type="dxa" w:w="2160"/>
          </w:tcPr>
          <w:p>
            <w:r/>
            <w:r>
              <w:t>+0,778 (7/9)</w:t>
            </w:r>
          </w:p>
        </w:tc>
      </w:tr>
      <w:tr>
        <w:tc>
          <w:tcPr>
            <w:tcW w:type="dxa" w:w="2160"/>
          </w:tcPr>
          <w:p>
            <w:r/>
            <w:r>
              <w:t>Station</w:t>
            </w:r>
          </w:p>
        </w:tc>
        <w:tc>
          <w:tcPr>
            <w:tcW w:type="dxa" w:w="2160"/>
          </w:tcPr>
          <w:p>
            <w:r/>
            <w:r>
              <w:t>−0,111</w:t>
            </w:r>
          </w:p>
        </w:tc>
        <w:tc>
          <w:tcPr>
            <w:tcW w:type="dxa" w:w="2160"/>
          </w:tcPr>
          <w:p>
            <w:r/>
            <w:r>
              <w:rPr>
                <w:b/>
              </w:rPr>
              <w:t>+0,110</w:t>
            </w:r>
          </w:p>
        </w:tc>
        <w:tc>
          <w:tcPr>
            <w:tcW w:type="dxa" w:w="2160"/>
          </w:tcPr>
          <w:p>
            <w:r/>
            <w:r>
              <w:t>+0,111 (1/9)</w:t>
            </w:r>
          </w:p>
        </w:tc>
      </w:tr>
      <w:tr>
        <w:tc>
          <w:tcPr>
            <w:tcW w:type="dxa" w:w="2160"/>
          </w:tcPr>
          <w:p>
            <w:r/>
            <w:r>
              <w:t>GTO</w:t>
            </w:r>
          </w:p>
        </w:tc>
        <w:tc>
          <w:tcPr>
            <w:tcW w:type="dxa" w:w="2160"/>
          </w:tcPr>
          <w:p>
            <w:r/>
            <w:r>
              <w:t>−0,187</w:t>
            </w:r>
          </w:p>
        </w:tc>
        <w:tc>
          <w:tcPr>
            <w:tcW w:type="dxa" w:w="2160"/>
          </w:tcPr>
          <w:p>
            <w:r/>
            <w:r>
              <w:t>−0,024</w:t>
            </w:r>
          </w:p>
        </w:tc>
        <w:tc>
          <w:tcPr>
            <w:tcW w:type="dxa" w:w="2160"/>
          </w:tcPr>
          <w:p>
            <w:r/>
            <w:r>
              <w:t>0 (plafond)</w:t>
            </w:r>
          </w:p>
        </w:tc>
      </w:tr>
    </w:tbl>
    <w:p/>
    <w:p>
      <w:r>
        <w:rPr>
          <w:b/>
        </w:rPr>
        <w:t>Contre les deux adversaires exploitables, l'agent à mémoire atteint exactement la valeur maximale de l'exploitation.</w:t>
      </w:r>
      <w:r>
        <w:t xml:space="preserve"> Ce maximum n'est pas une borne empirique constatée après coup : il se calcule d'avance, et vaut 7/9 contre Over-folder, 1/9 contre Station. L'agent ne récite donc pas l'équilibre — il s'en écarte, dans la direction que chaque adversaire commande, et jusqu'à l'optimum.</w:t>
      </w:r>
    </w:p>
    <w:p>
      <w:r>
        <w:rPr>
          <w:b/>
        </w:rPr>
        <w:t>L'asymétrie des deux adversaires est le test décisif.</w:t>
      </w:r>
      <w:r>
        <w:t xml:space="preserve"> Leurs fuites sont exactement opposées : l'un paie systématiquement, l'autre se couche systématiquement. Les exploiter demande des ajustements de sens contraire — cesser de bluffer contre le premier, bluffer sans retenue contre le second. Aucune stratégie fixe ne peut satisfaire les deux, et l'équilibre lui-même n'y parvient pas : c'est précisément lui, la ligne zéro, que l'agent dépasse dans les deux cas. Le résultat ne repose donc pas sur l'ignorance supposée du modèle, mais sur une contrainte structurelle du plan de test.</w:t>
      </w:r>
    </w:p>
    <w:p>
      <w:r>
        <w:t xml:space="preserve">Un point mérite d'être relevé, que le chapitre de méthode n'anticipait pas. </w:t>
      </w:r>
      <w:r>
        <w:rPr>
          <w:b/>
        </w:rPr>
        <w:t>Sans mémoire, l'agent est *en dessous* de l'équilibre</w:t>
      </w:r>
      <w:r>
        <w:t xml:space="preserve"> — de 0,111 contre Station et de 0,187 contre GTO. La condition sans mémoire ne mesure donc pas « le niveau récité », comme le §2.2.3 le formulait, mais quelque chose de sensiblement moins bon qu'un récitant. Le modèle ne joue pas l'équilibre de mémoire ; il joue moins bien, et la mémoire persistante ne lui sert pas à s'en souvenir mais à le dépasser.</w:t>
      </w:r>
    </w:p>
    <w:p>
      <w:pPr>
        <w:pStyle w:val="Heading3"/>
      </w:pPr>
      <w:r>
        <w:t>3.3.1 Le contrôle négatif</w:t>
      </w:r>
    </w:p>
    <w:p>
      <w:r>
        <w:t>L'adversaire jouant l'équilibre fournit une falsification interne du dispositif de mesure. Contre lui, aucune politique ne peut rapporter davantage que l'équilibre : la référence récitée ne peut pas y devenir positive, ni l'écart négatif — deux formulations d'une seule condition (§3.1). Une violation invaliderait l'ensemble des mesures de la campagne.</w:t>
      </w:r>
    </w:p>
    <w:p>
      <w:r>
        <w:t xml:space="preserve">Sur les trente-neuf séries jouées contre cet adversaire, </w:t>
      </w:r>
      <w:r>
        <w:rPr>
          <w:b/>
        </w:rPr>
        <w:t>la référence récitée n'est jamais positive</w:t>
      </w:r>
      <w:r>
        <w:t xml:space="preserve"> et </w:t>
      </w:r>
      <w:r>
        <w:rPr>
          <w:b/>
        </w:rPr>
        <w:t>l'écart jamais négatif</w:t>
      </w:r>
      <w:r>
        <w:t>. Six séries atteignent exactement zéro : l'agent y joue une meilleure réponse à l'équilibre, encaissant exactement la valeur du jeu. Aucune ne dépasse. Le contrôle tient.</w:t>
      </w:r>
    </w:p>
    <w:p>
      <w:r>
        <w:t xml:space="preserve">Reste un fait qu'il faut interpréter et non écarter : </w:t>
      </w:r>
      <w:r>
        <w:rPr>
          <w:b/>
        </w:rPr>
        <w:t>l'écart décroît aussi contre GTO</w:t>
      </w:r>
      <w:r>
        <w:t>, de 0,161 à la première série à 0,008 à la dixième. Ce n'est pas un artefact, et le chapitre de méthode a été corrigé sur ce point — sa formulation initiale tenait toute décroissance contre cet adversaire pour un défaut invalidant, critère qui, pris au mot, aurait invalidé des résultats sains.</w:t>
      </w:r>
    </w:p>
    <w:p>
      <w:r>
        <w:t>L'explication tient à ce que l'écart mesure. Il mesure la distance à la meilleure réponse, et contre un adversaire à l'équilibre, toute meilleure réponse rapporte exactement la valeur du jeu. Un agent qui cesse de commettre des fautes grossières s'en rapproche donc sans exploiter quoi que ce soit. La distinction entre les deux lectures est tranchée par la condition sans mémoire : si cette décroissance venait de l'instrument, elle s'y observerait aussi, sur les mêmes distributions et le même calcul. Elle ne s'y observe pas.</w:t>
      </w:r>
    </w:p>
    <w:p>
      <w:r>
        <w:t>Contre GTO, la mémoire ne sert donc qu'à corriger des erreurs propres — et l'on notera que l'écart n'y atteint jamais zéro de façon stable, contrairement aux deux adversaires exploitables. La section 3.6 montrera pourquoi.</w:t>
      </w:r>
    </w:p>
    <w:p>
      <w:pPr>
        <w:pStyle w:val="Heading3"/>
      </w:pPr>
      <w:r>
        <w:t>3.3.2 Ce que ces valeurs doivent au choix de l'équilibre</w:t>
      </w:r>
    </w:p>
    <w:p>
      <w:r>
        <w:t>L'équilibre de Kuhn est une famille à un paramètre et le protocole en a retenu un membre, α = 1/3 (§2.2.2). Il faut dire ce que les chiffres de cette section lui doivent, d'autant que la réponse départage nettement les énoncés.</w:t>
      </w:r>
    </w:p>
    <w:p>
      <w:r>
        <w:rPr>
          <w:b/>
        </w:rPr>
        <w:t>Le résultat principal n'y doit rien.</w:t>
      </w:r>
      <w:r>
        <w:t xml:space="preserve"> L'écart d'exploitation se mesure contre la meilleure réponse, dont l'espérance est indépendante de l'équilibre choisi ; il est donc α-libre, et H1 comme H3 avec lui. Il en va de même de l'énoncé central de cette section : </w:t>
      </w:r>
      <w:r>
        <w:rPr>
          <w:i/>
        </w:rPr>
        <w:t>atteindre exactement le maximum d'exploitation</w:t>
      </w:r>
      <w:r>
        <w:t xml:space="preserve"> équivaut à </w:t>
      </w:r>
      <w:r>
        <w:rPr>
          <w:i/>
        </w:rPr>
        <w:t>afficher un écart nul</w:t>
      </w:r>
      <w:r>
        <w:t>, puisque le maximum et l'écart somment à une constante (§3.1). La conclusion « l'agent exploite jusqu'à l'optimum » vaudrait donc à l'identique pour n'importe quel membre de la famille.</w:t>
      </w:r>
    </w:p>
    <w:p>
      <w:r>
        <w:rPr>
          <w:b/>
        </w:rPr>
        <w:t>L'échelle, elle, en dépend entièrement.</w:t>
      </w:r>
      <w:r>
        <w:t xml:space="preserve"> L'espérance de la politique d'équilibre contre les deux adversaires biaisés passe de 1/9 à 2/9 lorsque α va de 0 à 1/3 ; le plafond de la référence récitée descend en conséquence de 8/9 à 7/9 contre Over-folder, et de 2/9 à 1/9 contre Station. Les colonnes du tableau d'ouverture de cette section sont donc lisibles à α = 1/3, et à lui seul.</w:t>
      </w:r>
    </w:p>
    <w:p>
      <w:r>
        <w:rPr>
          <w:b/>
        </w:rPr>
        <w:t>Une observation change de sens selon α, et c'est celle qu'il faut nuancer.</w:t>
      </w:r>
      <w:r>
        <w:t xml:space="preserve"> Le constat « sans mémoire, l'agent est en dessous de l'équilibre » vaut à α = 1/3 : il y est à −0,111 contre Station. Recalculé contre le membre α = 0 de la famille, le même agent afficherait +0,001 — soit exactement le niveau de l'équilibre. Ce que la campagne établit n'est donc pas que le modèle joue mal dans l'absolu, mais qu'</w:t>
      </w:r>
      <w:r>
        <w:rPr>
          <w:b/>
        </w:rPr>
        <w:t>il n'atteint pas le meilleur équilibre disponible</w:t>
      </w:r>
      <w:r>
        <w:t>, ce qui est une proposition plus faible et plus exacte.</w:t>
      </w:r>
    </w:p>
    <w:p>
      <w:r>
        <w:t>Reste que ce choix est le plus exigeant des trois : α = 1/3 est le membre de la famille qui exploite le mieux Station et Over-folder. Le récitant auquel l'agent est comparé est le plus fort que la théorie autorise, et le dépasser est donc un résultat plus fort — non plus faible — que s'il avait été comparé à un récitant plus timide.</w:t>
      </w:r>
    </w:p>
    <w:p>
      <w:pPr>
        <w:pStyle w:val="Heading2"/>
      </w:pPr>
      <w:r>
        <w:t>3.4 Le mécanisme de rétention</w:t>
      </w:r>
    </w:p>
    <w:p>
      <w:r>
        <w:t xml:space="preserve">Les deux sections précédentes ont établi qu'une mémoire persistante produit une adaptation, et que cette adaptation exploite au lieu de réciter. Elles ne disent rien de la </w:t>
      </w:r>
      <w:r>
        <w:rPr>
          <w:i/>
        </w:rPr>
        <w:t>forme</w:t>
      </w:r>
      <w:r>
        <w:t xml:space="preserve"> que prend cette mémoire. H3 pose cette question-là : à information égale, deux mécanismes de rétention différents produisent-ils la même adaptation ?</w:t>
      </w:r>
    </w:p>
    <w:p>
      <w:r>
        <w:t>La réponse est non, mais la différence n'est ni celle que le protocole anticipait, ni là où il la cherchait.</w:t>
      </w:r>
    </w:p>
    <w:p>
      <w:pPr>
        <w:pStyle w:val="Heading3"/>
      </w:pPr>
      <w:r>
        <w:t>3.4.1 Deux mémoires, une seule matière</w:t>
      </w:r>
    </w:p>
    <w:p>
      <w:r>
        <w:t xml:space="preserve">La comparaison n'a de sens que si les deux conditions reçoivent la même information. C'est le cas, et par construction : à la clôture de chaque série, l'arbitre produit un récapitulatif canonique — une ligne par manche, sans agrégat, sans conseil, sans interprétation — et le sert </w:t>
      </w:r>
      <w:r>
        <w:rPr>
          <w:b/>
        </w:rPr>
        <w:t>à l'identique</w:t>
      </w:r>
      <w:r>
        <w:t xml:space="preserve"> aux deux traitements. En condition ICL, l'expérimentateur empile ce récapitulatif dans le prompt et évince les séries anciennes lorsque la fenêtre sature ; aucun appel au modèle n'a lieu à la frontière. En condition AE, l'agent lit le même récapitulatif et réécrit lui-même ses notes.</w:t>
      </w:r>
    </w:p>
    <w:p>
      <w:r>
        <w:t>Seul le mécanisme de rétention diffère. Sans cette précaution, H3 comparerait deux informations et non deux mémoires, et tout écart observé serait ininterprétable.</w:t>
      </w:r>
    </w:p>
    <w:p>
      <w:r>
        <w:t>Il faut ajouter que la condition ICL n'est pas désavantagée par la capacité : sa fenêtre contient trois séries entières, soit 450 manches de journal brut, là où les notes de l'agent tiennent en 333 à 1 906 caractères (§3.5). Si l'une des deux conditions dispose de plus d'information à l'instant de décider, c'est ICL.</w:t>
      </w:r>
    </w:p>
    <w:p>
      <w:pPr>
        <w:pStyle w:val="Heading3"/>
      </w:pPr>
      <w:r>
        <w:t>3.4.2 L'effet mesuré</w:t>
      </w:r>
    </w:p>
    <w:p>
      <w:r>
        <w:t>Les comparaisons portent sur la moyenne des quatre dernières séries plutôt que sur un point terminal isolé, plus sensible au bruit d'échantillonnage. Elles sont appariées par réplication : chaque paire ICL − AE compare deux exécutions ayant reçu les mêmes cartes, manche pour manche.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Adversaire</w:t>
            </w:r>
          </w:p>
        </w:tc>
        <w:tc>
          <w:tcPr>
            <w:tcW w:type="dxa" w:w="1728"/>
          </w:tcPr>
          <w:p>
            <w:r/>
            <w:r>
              <w:rPr>
                <w:b/>
              </w:rPr>
              <w:t>Effet ICL − AE</w:t>
            </w:r>
          </w:p>
        </w:tc>
        <w:tc>
          <w:tcPr>
            <w:tcW w:type="dxa" w:w="1728"/>
          </w:tcPr>
          <w:p>
            <w:r/>
            <w:r>
              <w:rPr>
                <w:b/>
              </w:rPr>
              <w:t>Écart-type</w:t>
            </w:r>
          </w:p>
        </w:tc>
        <w:tc>
          <w:tcPr>
            <w:tcW w:type="dxa" w:w="1728"/>
          </w:tcPr>
          <w:p>
            <w:r/>
            <w:r>
              <w:rPr>
                <w:b/>
              </w:rPr>
              <w:t>IC 95 %</w:t>
            </w:r>
          </w:p>
        </w:tc>
        <w:tc>
          <w:tcPr>
            <w:tcW w:type="dxa" w:w="1728"/>
          </w:tcPr>
          <w:p>
            <w:r/>
            <w:r>
              <w:rPr>
                <w:b/>
              </w:rPr>
              <w:t>Conclusion</w:t>
            </w:r>
          </w:p>
        </w:tc>
      </w:tr>
      <w:tr>
        <w:tc>
          <w:tcPr>
            <w:tcW w:type="dxa" w:w="1728"/>
          </w:tcPr>
          <w:p>
            <w:r/>
            <w:r>
              <w:rPr>
                <w:b/>
              </w:rPr>
              <w:t>Station</w:t>
            </w:r>
          </w:p>
        </w:tc>
        <w:tc>
          <w:tcPr>
            <w:tcW w:type="dxa" w:w="1728"/>
          </w:tcPr>
          <w:p>
            <w:r/>
            <w:r>
              <w:rPr>
                <w:b/>
              </w:rPr>
              <w:t>+0,0381</w:t>
            </w:r>
          </w:p>
        </w:tc>
        <w:tc>
          <w:tcPr>
            <w:tcW w:type="dxa" w:w="1728"/>
          </w:tcPr>
          <w:p>
            <w:r/>
            <w:r>
              <w:t>0,0059</w:t>
            </w:r>
          </w:p>
        </w:tc>
        <w:tc>
          <w:tcPr>
            <w:tcW w:type="dxa" w:w="1728"/>
          </w:tcPr>
          <w:p>
            <w:r/>
            <w:r>
              <w:t>± 0,0148</w:t>
            </w:r>
          </w:p>
        </w:tc>
        <w:tc>
          <w:tcPr>
            <w:tcW w:type="dxa" w:w="1728"/>
          </w:tcPr>
          <w:p>
            <w:r/>
            <w:r>
              <w:t>l'intervalle exclut zéro</w:t>
            </w:r>
          </w:p>
        </w:tc>
      </w:tr>
      <w:tr>
        <w:tc>
          <w:tcPr>
            <w:tcW w:type="dxa" w:w="1728"/>
          </w:tcPr>
          <w:p>
            <w:r/>
            <w:r>
              <w:t>Over-folder</w:t>
            </w:r>
          </w:p>
        </w:tc>
        <w:tc>
          <w:tcPr>
            <w:tcW w:type="dxa" w:w="1728"/>
          </w:tcPr>
          <w:p>
            <w:r/>
            <w:r>
              <w:t>+0,0039</w:t>
            </w:r>
          </w:p>
        </w:tc>
        <w:tc>
          <w:tcPr>
            <w:tcW w:type="dxa" w:w="1728"/>
          </w:tcPr>
          <w:p>
            <w:r/>
            <w:r>
              <w:t>0,0023</w:t>
            </w:r>
          </w:p>
        </w:tc>
        <w:tc>
          <w:tcPr>
            <w:tcW w:type="dxa" w:w="1728"/>
          </w:tcPr>
          <w:p>
            <w:r/>
            <w:r>
              <w:t>± 0,0056</w:t>
            </w:r>
          </w:p>
        </w:tc>
        <w:tc>
          <w:tcPr>
            <w:tcW w:type="dxa" w:w="1728"/>
          </w:tcPr>
          <w:p>
            <w:r/>
            <w:r>
              <w:t>l'intervalle contient zéro</w:t>
            </w:r>
          </w:p>
        </w:tc>
      </w:tr>
    </w:tbl>
    <w:p/>
    <w:p>
      <w:r>
        <w:t>Contre Station, la mémoire auto-écrite l'emporte, et l'effet est net : l'écart résiduel d'ICL est seize fois celui d'AE (0,0405 contre 0,0024 jeton par manche). Contre Over-folder, les deux mécanismes sont indistinguables — tous deux atteignent l'exploitation parfaite et s'y tiennent.</w:t>
      </w:r>
    </w:p>
    <w:p>
      <w:r>
        <w:rPr>
          <w:b/>
        </w:rPr>
        <w:t>H3 est donc vérifiée, mais sous condition.</w:t>
      </w:r>
      <w:r>
        <w:t xml:space="preserve"> Le mécanisme de rétention ne départage les deux mémoires que contre l'un des deux adversaires exploitables. La suite de cette section établit ce qui distingue les deux tâches, et ce que cette distinction dit du mécanisme.</w:t>
      </w:r>
    </w:p>
    <w:p>
      <w:pPr>
        <w:pStyle w:val="Heading3"/>
      </w:pPr>
      <w:r>
        <w:t>3.4.3 Ce que les trajectoires montrent, et ce qu'elles ne montrent pas</w:t>
      </w:r>
    </w:p>
    <w:p>
      <w:r>
        <w:t xml:space="preserve">Le chapitre de méthode prévoyait pour la condition ICL un profil d'oubli en dents de scie : la fenêtre sature à la quatrième série, évince la plus ancienne, et l'agent perd périodiquement ce qu'il avait appris. </w:t>
      </w:r>
      <w:r>
        <w:rPr>
          <w:b/>
        </w:rPr>
        <w:t>Rien de tel n'apparaît.</w:t>
      </w:r>
      <w:r>
        <w:t xml:space="preserve"> La saturation de la fenêtre ne produit aucun décrochage, ni à la quatrième série ni ailleurs.</w:t>
      </w:r>
    </w:p>
    <w:p>
      <w:r>
        <w:t xml:space="preserve">Ce n'est pas la seule prédiction que les données démentent. On attendait aussi que les deux mémoires se distinguent par leur </w:t>
      </w:r>
      <w:r>
        <w:rPr>
          <w:i/>
        </w:rPr>
        <w:t>vitesse</w:t>
      </w:r>
      <w:r>
        <w:t xml:space="preserve"> d'adaptation. Les trajectoires moyennes, contre Station, ne le confirment pas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b/>
              </w:rPr>
              <w:t>Série</w:t>
            </w:r>
          </w:p>
        </w:tc>
        <w:tc>
          <w:tcPr>
            <w:tcW w:type="dxa" w:w="785"/>
          </w:tcPr>
          <w:p>
            <w:r/>
            <w:r>
              <w:rPr>
                <w:b/>
              </w:rPr>
              <w:t>0</w:t>
            </w:r>
          </w:p>
        </w:tc>
        <w:tc>
          <w:tcPr>
            <w:tcW w:type="dxa" w:w="785"/>
          </w:tcPr>
          <w:p>
            <w:r/>
            <w:r>
              <w:rPr>
                <w:b/>
              </w:rPr>
              <w:t>1</w:t>
            </w:r>
          </w:p>
        </w:tc>
        <w:tc>
          <w:tcPr>
            <w:tcW w:type="dxa" w:w="785"/>
          </w:tcPr>
          <w:p>
            <w:r/>
            <w:r>
              <w:rPr>
                <w:b/>
              </w:rPr>
              <w:t>2</w:t>
            </w:r>
          </w:p>
        </w:tc>
        <w:tc>
          <w:tcPr>
            <w:tcW w:type="dxa" w:w="785"/>
          </w:tcPr>
          <w:p>
            <w:r/>
            <w:r>
              <w:rPr>
                <w:b/>
              </w:rPr>
              <w:t>3</w:t>
            </w:r>
          </w:p>
        </w:tc>
        <w:tc>
          <w:tcPr>
            <w:tcW w:type="dxa" w:w="785"/>
          </w:tcPr>
          <w:p>
            <w:r/>
            <w:r>
              <w:rPr>
                <w:b/>
              </w:rPr>
              <w:t>4</w:t>
            </w:r>
          </w:p>
        </w:tc>
        <w:tc>
          <w:tcPr>
            <w:tcW w:type="dxa" w:w="785"/>
          </w:tcPr>
          <w:p>
            <w:r/>
            <w:r>
              <w:rPr>
                <w:b/>
              </w:rPr>
              <w:t>5</w:t>
            </w:r>
          </w:p>
        </w:tc>
        <w:tc>
          <w:tcPr>
            <w:tcW w:type="dxa" w:w="785"/>
          </w:tcPr>
          <w:p>
            <w:r/>
            <w:r>
              <w:rPr>
                <w:b/>
              </w:rPr>
              <w:t>6</w:t>
            </w:r>
          </w:p>
        </w:tc>
        <w:tc>
          <w:tcPr>
            <w:tcW w:type="dxa" w:w="785"/>
          </w:tcPr>
          <w:p>
            <w:r/>
            <w:r>
              <w:rPr>
                <w:b/>
              </w:rPr>
              <w:t>7</w:t>
            </w:r>
          </w:p>
        </w:tc>
        <w:tc>
          <w:tcPr>
            <w:tcW w:type="dxa" w:w="785"/>
          </w:tcPr>
          <w:p>
            <w:r/>
            <w:r>
              <w:rPr>
                <w:b/>
              </w:rPr>
              <w:t>8</w:t>
            </w:r>
          </w:p>
        </w:tc>
        <w:tc>
          <w:tcPr>
            <w:tcW w:type="dxa" w:w="785"/>
          </w:tcPr>
          <w:p>
            <w:r/>
            <w:r>
              <w:rPr>
                <w:b/>
              </w:rPr>
              <w:t>9</w:t>
            </w:r>
          </w:p>
        </w:tc>
      </w:tr>
      <w:tr>
        <w:tc>
          <w:tcPr>
            <w:tcW w:type="dxa" w:w="785"/>
          </w:tcPr>
          <w:p>
            <w:r/>
            <w:r>
              <w:t>ICL</w:t>
            </w:r>
          </w:p>
        </w:tc>
        <w:tc>
          <w:tcPr>
            <w:tcW w:type="dxa" w:w="785"/>
          </w:tcPr>
          <w:p>
            <w:r/>
            <w:r>
              <w:t>0,202</w:t>
            </w:r>
          </w:p>
        </w:tc>
        <w:tc>
          <w:tcPr>
            <w:tcW w:type="dxa" w:w="785"/>
          </w:tcPr>
          <w:p>
            <w:r/>
            <w:r>
              <w:t>0,059</w:t>
            </w:r>
          </w:p>
        </w:tc>
        <w:tc>
          <w:tcPr>
            <w:tcW w:type="dxa" w:w="785"/>
          </w:tcPr>
          <w:p>
            <w:r/>
            <w:r>
              <w:t>0,057</w:t>
            </w:r>
          </w:p>
        </w:tc>
        <w:tc>
          <w:tcPr>
            <w:tcW w:type="dxa" w:w="785"/>
          </w:tcPr>
          <w:p>
            <w:r/>
            <w:r>
              <w:t>0,060</w:t>
            </w:r>
          </w:p>
        </w:tc>
        <w:tc>
          <w:tcPr>
            <w:tcW w:type="dxa" w:w="785"/>
          </w:tcPr>
          <w:p>
            <w:r/>
            <w:r>
              <w:t>0,057</w:t>
            </w:r>
          </w:p>
        </w:tc>
        <w:tc>
          <w:tcPr>
            <w:tcW w:type="dxa" w:w="785"/>
          </w:tcPr>
          <w:p>
            <w:r/>
            <w:r>
              <w:t>0,029</w:t>
            </w:r>
          </w:p>
        </w:tc>
        <w:tc>
          <w:tcPr>
            <w:tcW w:type="dxa" w:w="785"/>
          </w:tcPr>
          <w:p>
            <w:r/>
            <w:r>
              <w:t>0,036</w:t>
            </w:r>
          </w:p>
        </w:tc>
        <w:tc>
          <w:tcPr>
            <w:tcW w:type="dxa" w:w="785"/>
          </w:tcPr>
          <w:p>
            <w:r/>
            <w:r>
              <w:t>0,061</w:t>
            </w:r>
          </w:p>
        </w:tc>
        <w:tc>
          <w:tcPr>
            <w:tcW w:type="dxa" w:w="785"/>
          </w:tcPr>
          <w:p>
            <w:r/>
            <w:r>
              <w:t>0,041</w:t>
            </w:r>
          </w:p>
        </w:tc>
        <w:tc>
          <w:tcPr>
            <w:tcW w:type="dxa" w:w="785"/>
          </w:tcPr>
          <w:p>
            <w:r/>
            <w:r>
              <w:t>0,024</w:t>
            </w:r>
          </w:p>
        </w:tc>
      </w:tr>
      <w:tr>
        <w:tc>
          <w:tcPr>
            <w:tcW w:type="dxa" w:w="785"/>
          </w:tcPr>
          <w:p>
            <w:r/>
            <w:r>
              <w:t>AE</w:t>
            </w:r>
          </w:p>
        </w:tc>
        <w:tc>
          <w:tcPr>
            <w:tcW w:type="dxa" w:w="785"/>
          </w:tcPr>
          <w:p>
            <w:r/>
            <w:r>
              <w:t>0,226</w:t>
            </w:r>
          </w:p>
        </w:tc>
        <w:tc>
          <w:tcPr>
            <w:tcW w:type="dxa" w:w="785"/>
          </w:tcPr>
          <w:p>
            <w:r/>
            <w:r>
              <w:t>0,000</w:t>
            </w:r>
          </w:p>
        </w:tc>
        <w:tc>
          <w:tcPr>
            <w:tcW w:type="dxa" w:w="785"/>
          </w:tcPr>
          <w:p>
            <w:r/>
            <w:r>
              <w:t>0,000</w:t>
            </w:r>
          </w:p>
        </w:tc>
        <w:tc>
          <w:tcPr>
            <w:tcW w:type="dxa" w:w="785"/>
          </w:tcPr>
          <w:p>
            <w:r/>
            <w:r>
              <w:t>0,000</w:t>
            </w:r>
          </w:p>
        </w:tc>
        <w:tc>
          <w:tcPr>
            <w:tcW w:type="dxa" w:w="785"/>
          </w:tcPr>
          <w:p>
            <w:r/>
            <w:r>
              <w:t>0,000</w:t>
            </w:r>
          </w:p>
        </w:tc>
        <w:tc>
          <w:tcPr>
            <w:tcW w:type="dxa" w:w="785"/>
          </w:tcPr>
          <w:p>
            <w:r/>
            <w:r>
              <w:t>0,000</w:t>
            </w:r>
          </w:p>
        </w:tc>
        <w:tc>
          <w:tcPr>
            <w:tcW w:type="dxa" w:w="785"/>
          </w:tcPr>
          <w:p>
            <w:r/>
            <w:r>
              <w:t>0,006</w:t>
            </w:r>
          </w:p>
        </w:tc>
        <w:tc>
          <w:tcPr>
            <w:tcW w:type="dxa" w:w="785"/>
          </w:tcPr>
          <w:p>
            <w:r/>
            <w:r>
              <w:t>0,000</w:t>
            </w:r>
          </w:p>
        </w:tc>
        <w:tc>
          <w:tcPr>
            <w:tcW w:type="dxa" w:w="785"/>
          </w:tcPr>
          <w:p>
            <w:r/>
            <w:r>
              <w:t>0,002</w:t>
            </w:r>
          </w:p>
        </w:tc>
        <w:tc>
          <w:tcPr>
            <w:tcW w:type="dxa" w:w="785"/>
          </w:tcPr>
          <w:p>
            <w:r/>
            <w:r>
              <w:t>0,002</w:t>
            </w:r>
          </w:p>
        </w:tc>
      </w:tr>
    </w:tbl>
    <w:p/>
    <w:p>
      <w:r>
        <w:rPr>
          <w:b/>
        </w:rPr>
        <w:t>Les deux conditions chutent à la première frontière</w:t>
      </w:r>
      <w:r>
        <w:t>, et dans les mêmes proportions : dès qu'un souvenir de la série passée existe, sous quelque forme que ce soit, l'essentiel de l'adaptation est acquis. La vitesse initiale ne les sépare pas.</w:t>
      </w:r>
    </w:p>
    <w:p>
      <w:r>
        <w:t xml:space="preserve">Ce qui les sépare est ce qui se passe ensuite. </w:t>
      </w:r>
      <w:r>
        <w:rPr>
          <w:b/>
        </w:rPr>
        <w:t>AE se verrouille sur zéro</w:t>
      </w:r>
      <w:r>
        <w:t xml:space="preserve"> — la meilleure réponse exacte, atteinte dès la série 1, tenue sur les neuf séries suivantes à trois oscillations près, toutes inférieures à 0,015. </w:t>
      </w:r>
      <w:r>
        <w:rPr>
          <w:b/>
        </w:rPr>
        <w:t>ICL s'arrête à un résidu non nul</w:t>
      </w:r>
      <w:r>
        <w:t xml:space="preserve"> : il stagne autour de 0,058 pendant quatre séries, puis dérive lentement et bruyamment vers 0,040, sans jamais atteindre zéro sur une seule des trente séries jouées.</w:t>
      </w:r>
    </w:p>
    <w:p>
      <w:r>
        <w:t xml:space="preserve">La différence ne porte donc ni sur la vitesse, ni sur la rétention — les deux conditions adaptent aussi vite, et aucune n'oublie. Elle porte sur la </w:t>
      </w:r>
      <w:r>
        <w:rPr>
          <w:b/>
        </w:rPr>
        <w:t>complétude</w:t>
      </w:r>
      <w:r>
        <w:t xml:space="preserve"> de ce qui est extrait : là où la synthèse produit une politique exacte, la réinjection d'historique produit une politique presque exacte, et s'y arrête définitivement.</w:t>
      </w:r>
    </w:p>
    <w:p>
      <w:pPr>
        <w:pStyle w:val="Heading3"/>
      </w:pPr>
      <w:r>
        <w:t>3.4.4 Où ICL s'arrête</w:t>
      </w:r>
    </w:p>
    <w:p>
      <w:r>
        <w:t xml:space="preserve">L'écart d'exploitation est une quantité agrégée ; il ne dit pas </w:t>
      </w:r>
      <w:r>
        <w:rPr>
          <w:i/>
        </w:rPr>
        <w:t>quelle</w:t>
      </w:r>
      <w:r>
        <w:t xml:space="preserve"> décision est mal jouée. La politique observée, ensemble d'information par ensemble d'information, le dit.</w:t>
      </w:r>
    </w:p>
    <w:p>
      <w:r>
        <w:t xml:space="preserve">Une précision de lecture d'abord. Contre Station, la meilleure réponse n'est pas unique : </w:t>
      </w:r>
      <w:r>
        <w:rPr>
          <w:b/>
        </w:rPr>
        <w:t>huit des douze ensembles d'information sont des points d'indifférence exacts</w:t>
      </w:r>
      <w:r>
        <w:t>, où les deux actions rapportent rigoureusement la même espérance. Engager le sceau médian face à un adversaire qui couvre toujours, par exemple, rapporte exactement zéro — comme retenir. La qualité de la politique ne se joue donc que sur quatre décisions, et l'écart n'est sensible qu'à celles-là. C'est une propriété de l'instrument qu'il faut connaître pour ne pas sur-interpréter une fréquence : sur les huit autres, l'agent peut jouer n'importe quoi sans que cela lui coûte un jeton.</w:t>
      </w:r>
    </w:p>
    <w:p>
      <w:r>
        <w:t xml:space="preserve">Ces quatre décisions se résument à deux règles. </w:t>
      </w:r>
      <w:r>
        <w:rPr>
          <w:b/>
        </w:rPr>
        <w:t>Ne jamais bluffer le sceau faible</w:t>
      </w:r>
      <w:r>
        <w:t xml:space="preserve"> — Station paie systématiquement, un bluff y est perdu d'avance. </w:t>
      </w:r>
      <w:r>
        <w:rPr>
          <w:b/>
        </w:rPr>
        <w:t>Toujours engager le sceau fort</w:t>
      </w:r>
      <w:r>
        <w:t xml:space="preserve"> — Station paie systématiquement, chaque mise de valeur y est encaissée. Voici ce que les deux conditions jouent, en moyenne sur les quatre dernières séries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Décision</w:t>
            </w:r>
          </w:p>
        </w:tc>
        <w:tc>
          <w:tcPr>
            <w:tcW w:type="dxa" w:w="2160"/>
          </w:tcPr>
          <w:p>
            <w:r/>
            <w:r>
              <w:rPr>
                <w:b/>
              </w:rPr>
              <w:t>Meilleure réponse</w:t>
            </w:r>
          </w:p>
        </w:tc>
        <w:tc>
          <w:tcPr>
            <w:tcW w:type="dxa" w:w="2160"/>
          </w:tcPr>
          <w:p>
            <w:r/>
            <w:r>
              <w:rPr>
                <w:b/>
              </w:rPr>
              <w:t>ICL</w:t>
            </w:r>
          </w:p>
        </w:tc>
        <w:tc>
          <w:tcPr>
            <w:tcW w:type="dxa" w:w="2160"/>
          </w:tcPr>
          <w:p>
            <w:r/>
            <w:r>
              <w:rPr>
                <w:b/>
              </w:rPr>
              <w:t>AE</w:t>
            </w:r>
          </w:p>
        </w:tc>
      </w:tr>
      <w:tr>
        <w:tc>
          <w:tcPr>
            <w:tcW w:type="dxa" w:w="2160"/>
          </w:tcPr>
          <w:p>
            <w:r/>
            <w:r>
              <w:t>Bluffer le sceau faible, en Ouvrant</w:t>
            </w:r>
          </w:p>
        </w:tc>
        <w:tc>
          <w:tcPr>
            <w:tcW w:type="dxa" w:w="2160"/>
          </w:tcPr>
          <w:p>
            <w:r/>
            <w:r>
              <w:t>0,00</w:t>
            </w:r>
          </w:p>
        </w:tc>
        <w:tc>
          <w:tcPr>
            <w:tcW w:type="dxa" w:w="2160"/>
          </w:tcPr>
          <w:p>
            <w:r/>
            <w:r>
              <w:t>0,066</w:t>
            </w:r>
          </w:p>
        </w:tc>
        <w:tc>
          <w:tcPr>
            <w:tcW w:type="dxa" w:w="2160"/>
          </w:tcPr>
          <w:p>
            <w:r/>
            <w:r>
              <w:rPr>
                <w:b/>
              </w:rPr>
              <w:t>0,006</w:t>
            </w:r>
          </w:p>
        </w:tc>
      </w:tr>
      <w:tr>
        <w:tc>
          <w:tcPr>
            <w:tcW w:type="dxa" w:w="2160"/>
          </w:tcPr>
          <w:p>
            <w:r/>
            <w:r>
              <w:t>Bluffer le sceau faible, en Répondant</w:t>
            </w:r>
          </w:p>
        </w:tc>
        <w:tc>
          <w:tcPr>
            <w:tcW w:type="dxa" w:w="2160"/>
          </w:tcPr>
          <w:p>
            <w:r/>
            <w:r>
              <w:t>0,00</w:t>
            </w:r>
          </w:p>
        </w:tc>
        <w:tc>
          <w:tcPr>
            <w:tcW w:type="dxa" w:w="2160"/>
          </w:tcPr>
          <w:p>
            <w:r/>
            <w:r>
              <w:t>0,090</w:t>
            </w:r>
          </w:p>
        </w:tc>
        <w:tc>
          <w:tcPr>
            <w:tcW w:type="dxa" w:w="2160"/>
          </w:tcPr>
          <w:p>
            <w:r/>
            <w:r>
              <w:rPr>
                <w:b/>
              </w:rPr>
              <w:t>0,008</w:t>
            </w:r>
          </w:p>
        </w:tc>
      </w:tr>
      <w:tr>
        <w:tc>
          <w:tcPr>
            <w:tcW w:type="dxa" w:w="2160"/>
          </w:tcPr>
          <w:p>
            <w:r/>
            <w:r>
              <w:t>Engager le sceau fort, en Ouvrant</w:t>
            </w:r>
          </w:p>
        </w:tc>
        <w:tc>
          <w:tcPr>
            <w:tcW w:type="dxa" w:w="2160"/>
          </w:tcPr>
          <w:p>
            <w:r/>
            <w:r>
              <w:t>1,00</w:t>
            </w:r>
          </w:p>
        </w:tc>
        <w:tc>
          <w:tcPr>
            <w:tcW w:type="dxa" w:w="2160"/>
          </w:tcPr>
          <w:p>
            <w:r/>
            <w:r>
              <w:t>0,973</w:t>
            </w:r>
          </w:p>
        </w:tc>
        <w:tc>
          <w:tcPr>
            <w:tcW w:type="dxa" w:w="2160"/>
          </w:tcPr>
          <w:p>
            <w:r/>
            <w:r>
              <w:rPr>
                <w:b/>
              </w:rPr>
              <w:t>1,000</w:t>
            </w:r>
          </w:p>
        </w:tc>
      </w:tr>
      <w:tr>
        <w:tc>
          <w:tcPr>
            <w:tcW w:type="dxa" w:w="2160"/>
          </w:tcPr>
          <w:p>
            <w:r/>
            <w:r>
              <w:t>Engager le sceau fort, en Répondant</w:t>
            </w:r>
          </w:p>
        </w:tc>
        <w:tc>
          <w:tcPr>
            <w:tcW w:type="dxa" w:w="2160"/>
          </w:tcPr>
          <w:p>
            <w:r/>
            <w:r>
              <w:t>1,00</w:t>
            </w:r>
          </w:p>
        </w:tc>
        <w:tc>
          <w:tcPr>
            <w:tcW w:type="dxa" w:w="2160"/>
          </w:tcPr>
          <w:p>
            <w:r/>
            <w:r>
              <w:t>0,940</w:t>
            </w:r>
          </w:p>
        </w:tc>
        <w:tc>
          <w:tcPr>
            <w:tcW w:type="dxa" w:w="2160"/>
          </w:tcPr>
          <w:p>
            <w:r/>
            <w:r>
              <w:rPr>
                <w:b/>
              </w:rPr>
              <w:t>1,000</w:t>
            </w:r>
          </w:p>
        </w:tc>
      </w:tr>
    </w:tbl>
    <w:p/>
    <w:p>
      <w:r>
        <w:t>Après dix séries — mille cinq cents manches, dont les quatre cent cinquante dernières intégralement présentes dans son prompt — la condition ICL bluffe encore le sceau faible dans sept à neuf pour cent des cas, et laisse passer trois à six pour cent de ses mises de valeur. La condition AE a supprimé le second défaut entièrement et ramené le premier sous le pour cent.</w:t>
      </w:r>
    </w:p>
    <w:p>
      <w:r>
        <w:t xml:space="preserve">En décomposant le résidu d'ICL sur ces quatre décisions, on obtient : </w:t>
      </w:r>
      <w:r>
        <w:rPr>
          <w:b/>
        </w:rPr>
        <w:t>64 % de bluffs résiduels, 36 % de mises de valeur manquées</w:t>
      </w:r>
      <w:r>
        <w:t>. Celui d'AE, seize fois plus faible, provient en totalité des premiers.</w:t>
      </w:r>
    </w:p>
    <w:p>
      <w:r>
        <w:t>Contre Over-folder, la même analyse ne trouve rien à décomposer : les deux conditions jouent la meilleure réponse exactement, et l'écart des deux est nul ou à la troisième décimale.</w:t>
      </w:r>
    </w:p>
    <w:p>
      <w:pPr>
        <w:pStyle w:val="Heading3"/>
      </w:pPr>
      <w:r>
        <w:t>3.4.5 Une règle, ou deux</w:t>
      </w:r>
    </w:p>
    <w:p>
      <w:r>
        <w:t>La comparaison des deux adversaires livre alors une explication, et elle est simple.</w:t>
      </w:r>
    </w:p>
    <w:p>
      <w:r>
        <w:t xml:space="preserve">Contre Over-folder, la politique optimale tient en </w:t>
      </w:r>
      <w:r>
        <w:rPr>
          <w:b/>
        </w:rPr>
        <w:t>une règle unique et positive</w:t>
      </w:r>
      <w:r>
        <w:t xml:space="preserve"> : engager, quel que soit le sceau. Elle ne demande aucune distinction entre les cartes, et le journal brut la porte de façon transparente — cent cinquante engagements suivis de cent cinquante retraits adverses, à chaque série, n'admettent qu'une lecture. Les deux mécanismes l'extraient immédiatement et intégralement.</w:t>
      </w:r>
    </w:p>
    <w:p>
      <w:r>
        <w:t xml:space="preserve">Contre Station, la politique optimale demande </w:t>
      </w:r>
      <w:r>
        <w:rPr>
          <w:b/>
        </w:rPr>
        <w:t>deux règles, dont une négative</w:t>
      </w:r>
      <w:r>
        <w:t>, et une distinction entre les sceaux. Cesser de faire quelque chose est précisément ce qu'un historique brut soutient mal : le journal enregistre ce qui a été joué et ce que cela a rapporté, mais un bluff perdant y figure comme une manche parmi cent cinquante, noyée dans les manches où le même geste, avec un autre sceau, a gagné. Rien dans le document ne rassemble ces occurrences ni n'en tire une interdiction. L'étape de synthèse fait exactement cela : elle contraint l'agent à écrire une règle, et une règle énonce ce qu'il ne faut pas faire aussi bien que ce qu'il faut faire.</w:t>
      </w:r>
    </w:p>
    <w:p>
      <w:r>
        <w:t xml:space="preserve">C'est là que réside l'apport de la mémoire auto-écrite, et il est plus étroit que l'hypothèse ne le supposait. Elle ne retient pas mieux — les deux conditions retiennent aussi bien. Elle ne retient pas plus longtemps — aucune n'oublie sur l'horizon observé. </w:t>
      </w:r>
      <w:r>
        <w:rPr>
          <w:b/>
        </w:rPr>
        <w:t>Elle achève l'induction là où la réinjection d'historique l'abandonne à quelques pour cent de l'optimum.</w:t>
      </w:r>
      <w:r>
        <w:t xml:space="preserve"> La contrepartie de cette propriété est mesurée à la section 3.6 : une règle écrite est déterministe, et cette même vertu devient un défaut là où l'optimum exige de randomiser.</w:t>
      </w:r>
    </w:p>
    <w:p>
      <w:pPr>
        <w:pStyle w:val="Heading3"/>
      </w:pPr>
      <w:r>
        <w:t>3.4.6 Une remarque sur la précision du plan</w:t>
      </w:r>
    </w:p>
    <w:p>
      <w:r>
        <w:t>Le dimensionnement de la tranche ICL (§2.2.7) reposait sur une extrapolation : la dispersion des différences appariées, estimée à 0,0153 sur les paires SM − AE déjà acquises, était supposée valoir également pour les paires ICL − AE. La réserve était explicite — le fenêtrage introduit une dépendance au contenu susceptible d'accroître la variabilité, et si la différence détectable réelle avait excédé 0,038, H3 se serait trouvée à la limite du mesurable.</w:t>
      </w:r>
    </w:p>
    <w:p>
      <w:r>
        <w:t xml:space="preserve">Elle s'est levée dans l'autre sens. La dispersion des paires ICL − AE vaut </w:t>
      </w:r>
      <w:r>
        <w:rPr>
          <w:b/>
        </w:rPr>
        <w:t>0,0059</w:t>
      </w:r>
      <w:r>
        <w:t xml:space="preserve"> contre Station, soit deux fois et demie moins. Les deux conditions partageant tout sauf le mécanisme — même matière première, mêmes distributions, même modèle, mêmes paramètres d'inférence —, leurs différences sont nettement moins bruitées que celles qui séparent deux traitements éloignés. La différence minimale détectable à trois réplications tombe ainsi de 0,038 à </w:t>
      </w:r>
      <w:r>
        <w:rPr>
          <w:b/>
        </w:rPr>
        <w:t>0,015</w:t>
      </w:r>
      <w:r>
        <w:t>, et l'effet mesuré (+0,038) la dépasse largement. Le plan retenu était donc plus que suffisant, là où le dimensionnement le donnait pour tout juste adéquat.</w:t>
      </w:r>
    </w:p>
    <w:p>
      <w:pPr>
        <w:pStyle w:val="Heading3"/>
      </w:pPr>
      <w:r>
        <w:t>3.4.7 Ce que cette section ne permet pas de conclure</w:t>
      </w:r>
    </w:p>
    <w:p>
      <w:r>
        <w:t>Trois réserves, dont deux tiennent au plan d'observation.</w:t>
      </w:r>
    </w:p>
    <w:p>
      <w:r>
        <w:rPr>
          <w:b/>
        </w:rPr>
        <w:t>Le dispositif résout mal ce qu'il montre.</w:t>
      </w:r>
      <w:r>
        <w:t xml:space="preserve"> Les deux conditions atteignent l'essentiel de leur adaptation à la première frontière, c'est-à-dire au premier point de mesure disponible. Les neuf séries suivantes documentent la persistance d'un état stable, non la dynamique qui y conduit. Or c'est dans cette dynamique que se logerait une différence de vitesse, si elle existait. Des séries plus courtes — cinquante manches plutôt que cent cinquante, pour un coût comparable — la résoudraient ; le plan actuel ne le permet pas.</w:t>
      </w:r>
    </w:p>
    <w:p>
      <w:r>
        <w:rPr>
          <w:b/>
        </w:rPr>
        <w:t>L'absence de décrochage n'est pas une absence d'oubli.</w:t>
      </w:r>
      <w:r>
        <w:t xml:space="preserve"> La fenêtre à trois séries n'a produit aucune perte visible à la saturation. On ne peut pas en conclure qu'une réinjection d'historique n'oublie jamais : seulement qu'à cet horizon, sur ces adversaires, avec cette taille de fenêtre, elle n'a pas oublié. Une fenêtre plus étroite ou un horizon plus long reste à explorer.</w:t>
      </w:r>
    </w:p>
    <w:p>
      <w:r>
        <w:rPr>
          <w:b/>
        </w:rPr>
        <w:t>La condition ICL n'a pas été jouée contre l'adversaire à l'équilibre.</w:t>
      </w:r>
      <w:r>
        <w:t xml:space="preserve"> Cet arbitrage est exposé et assumé au §2.2.7 : il n'y a rien d'exploitable à retenir contre un adversaire sans faille, et le contrôle négatif est acquis par ailleurs sur trente-neuf séries en SM et en AE. Mais la question a d'abord été posée par le budget, et la vérification qu'une réinjection d'historique ne bat pas l'équilibre contre l'équilibre n'a donc pas été faite.</w:t>
      </w:r>
    </w:p>
    <w:p>
      <w:pPr>
        <w:pStyle w:val="Heading2"/>
      </w:pPr>
      <w:r>
        <w:t>3.5 Ce que l'agent écrit</w:t>
      </w:r>
    </w:p>
    <w:p>
      <w:r>
        <w:t xml:space="preserve">Les sections précédentes traitent la mémoire comme une variable : présente ou absente, auto-écrite ou réinjectée. Elle est aussi un </w:t>
      </w:r>
      <w:r>
        <w:rPr>
          <w:b/>
        </w:rPr>
        <w:t>objet observable</w:t>
      </w:r>
      <w:r>
        <w:t>. Le fichier de notes que l'agent rédige à chaque frontière est conservé intégralement — quatre-vingt-dix notes, quatre-vingt-douze mille caractères, jamais édités par l'expérimentateur. On peut donc lire ce que l'agent a retenu, et confronter ce qu'il écrit à ce qu'il joue.</w:t>
      </w:r>
    </w:p>
    <w:p>
      <w:r>
        <w:t>Cette section est la seule de la partie à procéder par lecture plutôt que par mesure. Elle n'établit pas d'hypothèse ; elle fournit le mécanisme des deux sections qui l'encadrent.</w:t>
      </w:r>
    </w:p>
    <w:p>
      <w:pPr>
        <w:pStyle w:val="Heading3"/>
      </w:pPr>
      <w:r>
        <w:t>3.5.1 Ce que la mémoire contient</w:t>
      </w:r>
    </w:p>
    <w:p>
      <w:r>
        <w:t xml:space="preserve">Le dispositif autorisait huit à quinze entrées, avec erreur en cas de dépassement et sans compaction automatique : l'agent devait hiérarchiser et élaguer lui-même. Cette contrainte n'a jamais mordu. Sur les quatre-vingt-dix frontières, la note tient en </w:t>
      </w:r>
      <w:r>
        <w:rPr>
          <w:b/>
        </w:rPr>
        <w:t>une seule entrée dans quatre-vingt-quatre cas</w:t>
      </w:r>
      <w:r>
        <w:t xml:space="preserve"> et en deux dans les six autres ; on relève deux élagages et </w:t>
      </w:r>
      <w:r>
        <w:rPr>
          <w:b/>
        </w:rPr>
        <w:t>aucun dépassement</w:t>
      </w:r>
      <w:r>
        <w:t>. La question « que sacrifie-t-il à saturation ? », posée au protocole, reste donc sans objet : il n'a jamais saturé.</w:t>
      </w:r>
    </w:p>
    <w:p>
      <w:r>
        <w:t>Ce que l'agent règle de lui-même, en revanche, c'est la longueur, et elle suit la difficulté du problème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Adversaire</w:t>
            </w:r>
          </w:p>
        </w:tc>
        <w:tc>
          <w:tcPr>
            <w:tcW w:type="dxa" w:w="2880"/>
          </w:tcPr>
          <w:p>
            <w:r/>
            <w:r>
              <w:rPr>
                <w:b/>
              </w:rPr>
              <w:t>Longueur de la note (caractères)</w:t>
            </w:r>
          </w:p>
        </w:tc>
        <w:tc>
          <w:tcPr>
            <w:tcW w:type="dxa" w:w="2880"/>
          </w:tcPr>
          <w:p>
            <w:r/>
            <w:r>
              <w:rPr>
                <w:b/>
              </w:rPr>
              <w:t>Moyenne</w:t>
            </w:r>
          </w:p>
        </w:tc>
      </w:tr>
      <w:tr>
        <w:tc>
          <w:tcPr>
            <w:tcW w:type="dxa" w:w="2880"/>
          </w:tcPr>
          <w:p>
            <w:r/>
            <w:r>
              <w:t>Over-folder</w:t>
            </w:r>
          </w:p>
        </w:tc>
        <w:tc>
          <w:tcPr>
            <w:tcW w:type="dxa" w:w="2880"/>
          </w:tcPr>
          <w:p>
            <w:r/>
            <w:r>
              <w:t>333 – 685</w:t>
            </w:r>
          </w:p>
        </w:tc>
        <w:tc>
          <w:tcPr>
            <w:tcW w:type="dxa" w:w="2880"/>
          </w:tcPr>
          <w:p>
            <w:r/>
            <w:r>
              <w:t>470</w:t>
            </w:r>
          </w:p>
        </w:tc>
      </w:tr>
      <w:tr>
        <w:tc>
          <w:tcPr>
            <w:tcW w:type="dxa" w:w="2880"/>
          </w:tcPr>
          <w:p>
            <w:r/>
            <w:r>
              <w:t>Station</w:t>
            </w:r>
          </w:p>
        </w:tc>
        <w:tc>
          <w:tcPr>
            <w:tcW w:type="dxa" w:w="2880"/>
          </w:tcPr>
          <w:p>
            <w:r/>
            <w:r>
              <w:t>589 – 1 557</w:t>
            </w:r>
          </w:p>
        </w:tc>
        <w:tc>
          <w:tcPr>
            <w:tcW w:type="dxa" w:w="2880"/>
          </w:tcPr>
          <w:p>
            <w:r/>
            <w:r>
              <w:t>808</w:t>
            </w:r>
          </w:p>
        </w:tc>
      </w:tr>
      <w:tr>
        <w:tc>
          <w:tcPr>
            <w:tcW w:type="dxa" w:w="2880"/>
          </w:tcPr>
          <w:p>
            <w:r/>
            <w:r>
              <w:t>GTO</w:t>
            </w:r>
          </w:p>
        </w:tc>
        <w:tc>
          <w:tcPr>
            <w:tcW w:type="dxa" w:w="2880"/>
          </w:tcPr>
          <w:p>
            <w:r/>
            <w:r>
              <w:t>680 – 1 906</w:t>
            </w:r>
          </w:p>
        </w:tc>
        <w:tc>
          <w:tcPr>
            <w:tcW w:type="dxa" w:w="2880"/>
          </w:tcPr>
          <w:p>
            <w:r/>
            <w:r>
              <w:t>1 337</w:t>
            </w:r>
          </w:p>
        </w:tc>
      </w:tr>
    </w:tbl>
    <w:p/>
    <w:p>
      <w:r>
        <w:t>Contre l'adversaire qui se couche toujours, il n'y a qu'une régularité à énoncer, et la note fait quatre cent soixante-dix caractères. Contre l'adversaire à l'équilibre, il faut détailler sceau par sceau et position par position, et elle en fait près de trois fois plus. La note est proportionnée à ce qu'il y a à dire.</w:t>
      </w:r>
    </w:p>
    <w:p>
      <w:r>
        <w:t>Contre Over-folder, l'induction est exacte et complète :</w:t>
      </w:r>
    </w:p>
    <w:p>
      <w:pPr>
        <w:pStyle w:val="Quote"/>
      </w:pPr>
      <w:r>
        <w:t>« Dans "Trois Sceaux", contre cet adversaire (bilan de 150 épreuves), il n'a jamais engagé ni couvert. Ouvrant, il a toujours retenu ; Répondant, il s'est toujours retiré face à notre engagement. Nos 150 engagements ont donc tous rapporté +1, sans coût ni révélation des sceaux. Stratégie : engager systématiquement, Ouvrant comme Répondant ; ne pas retenir ni couvrir sauf changement manifeste. »</w:t>
      </w:r>
    </w:p>
    <w:p>
      <w:pPr>
        <w:ind w:left="850"/>
      </w:pPr>
      <w:r>
        <w:rPr>
          <w:i/>
          <w:sz w:val="18"/>
        </w:rPr>
        <w:t xml:space="preserve">— </w:t>
      </w:r>
      <w:r>
        <w:rPr>
          <w:i/>
          <w:sz w:val="18"/>
        </w:rPr>
        <w:t>AE-over-folder-r2, frontière de la série 9, écart 0,000</w:t>
      </w:r>
    </w:p>
    <w:p>
      <w:r>
        <w:t>Tout y est : le constat, sa portée, la stratégie qui en découle, et une clause de révision. L'expérimentateur n'a fourni que le journal brut des cent cinquante manches — une ligne par manche, sans agrégat ni conseil. La distillation est le fait de l'agent, et c'est exactement ce que le dispositif cherchait à observer.</w:t>
      </w:r>
    </w:p>
    <w:p>
      <w:pPr>
        <w:pStyle w:val="Heading3"/>
      </w:pPr>
      <w:r>
        <w:t>3.5.2 Une mémoire réécrite, non cumulée</w:t>
      </w:r>
    </w:p>
    <w:p>
      <w:r>
        <w:t xml:space="preserve">Le protocole parlait d'accumulation. Ce n'est pas ce qui se produit. Sur les quatre-vingt-dix frontières, </w:t>
      </w:r>
      <w:r>
        <w:rPr>
          <w:b/>
        </w:rPr>
        <w:t>soixante-dix comportent une suppression</w:t>
      </w:r>
      <w:r>
        <w:t xml:space="preserve"> et soixante-dix-neuf un ajout : l'agent efface sa note précédente et en écrit une nouvelle, plutôt que d'ajouter à ce qui existe.</w:t>
      </w:r>
    </w:p>
    <w:p>
      <w:r>
        <w:t>Le traitement qu'il réserve à son propre solde cumulé le montre bien. Trois notes successives d'une même exécution donnent :</w:t>
      </w:r>
    </w:p>
    <w:p>
      <w:pPr>
        <w:pStyle w:val="Quote"/>
      </w:pPr>
      <w:r>
        <w:t>« bilan corrigé après 150 épreuves : solde cumulé +5 (</w:t>
      </w:r>
      <w:r>
        <w:rPr>
          <w:b/>
        </w:rPr>
        <w:t>remplace l'ancien −13</w:t>
      </w:r>
      <w:r>
        <w:t>) » puis « solde cumulé −20 (</w:t>
      </w:r>
      <w:r>
        <w:rPr>
          <w:b/>
        </w:rPr>
        <w:t>remplace l'ancien +5</w:t>
      </w:r>
      <w:r>
        <w:t>) »</w:t>
      </w:r>
    </w:p>
    <w:p>
      <w:r>
        <w:t xml:space="preserve">La grandeur est présentée comme cumulée, mais elle ne cumule rien : chaque note rapporte le solde de la </w:t>
      </w:r>
      <w:r>
        <w:rPr>
          <w:i/>
        </w:rPr>
        <w:t>dernière</w:t>
      </w:r>
      <w:r>
        <w:t xml:space="preserve"> série et traite la valeur précédente comme une erreur à corriger, non comme le résultat d'une série antérieure à additionner. L'agent ne tient pas un registre, il tient un état.</w:t>
      </w:r>
    </w:p>
    <w:p>
      <w:r>
        <w:t xml:space="preserve">Ce constat éclaire rétrospectivement la section 3.4. Si la mémoire auto-écrite n'accumule pas, comment produit-elle une adaptation supérieure ? Parce qu'elle n'a pas besoin d'accumuler : contre un adversaire stationnaire, une seule série d'observation suffit à établir la régularité, et c'est bien à la première frontière que l'écart s'annule. Ce qu'apporte la note n'est pas un cumul de preuves, c'est une </w:t>
      </w:r>
      <w:r>
        <w:rPr>
          <w:b/>
        </w:rPr>
        <w:t>règle formulée</w:t>
      </w:r>
      <w:r>
        <w:t>. La question de savoir ce que ce mécanisme donnerait face à un adversaire non stationnaire — où le registre vaudrait mieux que l'état — n'est pas tranchée ici, et relève des extensions.</w:t>
      </w:r>
    </w:p>
    <w:p>
      <w:pPr>
        <w:pStyle w:val="Heading3"/>
      </w:pPr>
      <w:r>
        <w:t>3.5.3 Ce que la mémoire ne contient jamais : une fréquence</w:t>
      </w:r>
    </w:p>
    <w:p>
      <w:r>
        <w:t xml:space="preserve">Le résultat le plus important de cette section est une </w:t>
      </w:r>
      <w:r>
        <w:rPr>
          <w:b/>
        </w:rPr>
        <w:t>absence</w:t>
      </w:r>
      <w:r>
        <w:t>, et elle est totale. Sur les quatre-vingt-dix notes et leurs quatre-vingt-douze mille caractères :</w:t>
      </w:r>
    </w:p>
    <w:tbl>
      <w:tblPr>
        <w:tblStyle w:val="TableGrid"/>
        <w:tblW w:type="auto" w:w="0"/>
        <w:tblLook w:firstColumn="1" w:firstRow="1" w:lastColumn="0" w:lastRow="0" w:noHBand="0" w:noVBand="1" w:val="04A0"/>
      </w:tblPr>
      <w:tblGrid>
        <w:gridCol w:w="4320"/>
        <w:gridCol w:w="4320"/>
      </w:tblGrid>
      <w:tr>
        <w:tc>
          <w:tcPr>
            <w:tcW w:type="dxa" w:w="4320"/>
          </w:tcPr>
          <w:p>
            <w:r/>
            <w:r>
              <w:rPr>
                <w:b/>
              </w:rPr>
              <w:t>Recherché dans les notes</w:t>
            </w:r>
          </w:p>
        </w:tc>
        <w:tc>
          <w:tcPr>
            <w:tcW w:type="dxa" w:w="4320"/>
          </w:tcPr>
          <w:p>
            <w:r/>
            <w:r>
              <w:rPr>
                <w:b/>
              </w:rPr>
              <w:t>Occurrences</w:t>
            </w:r>
          </w:p>
        </w:tc>
      </w:tr>
      <w:tr>
        <w:tc>
          <w:tcPr>
            <w:tcW w:type="dxa" w:w="4320"/>
          </w:tcPr>
          <w:p>
            <w:r/>
            <w:r>
              <w:t>Un pourcentage (« 33 % »)</w:t>
            </w:r>
          </w:p>
        </w:tc>
        <w:tc>
          <w:tcPr>
            <w:tcW w:type="dxa" w:w="4320"/>
          </w:tcPr>
          <w:p>
            <w:r/>
            <w:r>
              <w:rPr>
                <w:b/>
              </w:rPr>
              <w:t>0</w:t>
            </w:r>
          </w:p>
        </w:tc>
      </w:tr>
      <w:tr>
        <w:tc>
          <w:tcPr>
            <w:tcW w:type="dxa" w:w="4320"/>
          </w:tcPr>
          <w:p>
            <w:r/>
            <w:r>
              <w:t>Une fraction écrite (« 1/3 »)</w:t>
            </w:r>
          </w:p>
        </w:tc>
        <w:tc>
          <w:tcPr>
            <w:tcW w:type="dxa" w:w="4320"/>
          </w:tcPr>
          <w:p>
            <w:r/>
            <w:r>
              <w:rPr>
                <w:b/>
              </w:rPr>
              <w:t>0</w:t>
            </w:r>
          </w:p>
        </w:tc>
      </w:tr>
      <w:tr>
        <w:tc>
          <w:tcPr>
            <w:tcW w:type="dxa" w:w="4320"/>
          </w:tcPr>
          <w:p>
            <w:r/>
            <w:r>
              <w:t>Une proportion en toutes lettres (« un tiers », « une fois sur trois », « la moitié du temps »)</w:t>
            </w:r>
          </w:p>
        </w:tc>
        <w:tc>
          <w:tcPr>
            <w:tcW w:type="dxa" w:w="4320"/>
          </w:tcPr>
          <w:p>
            <w:r/>
            <w:r>
              <w:rPr>
                <w:b/>
              </w:rPr>
              <w:t>0</w:t>
            </w:r>
          </w:p>
        </w:tc>
      </w:tr>
      <w:tr>
        <w:tc>
          <w:tcPr>
            <w:tcW w:type="dxa" w:w="4320"/>
          </w:tcPr>
          <w:p>
            <w:r/>
            <w:r>
              <w:t>Un quantificateur non chiffré (toujours, jamais, souvent, parfois, rarement…)</w:t>
            </w:r>
          </w:p>
        </w:tc>
        <w:tc>
          <w:tcPr>
            <w:tcW w:type="dxa" w:w="4320"/>
          </w:tcPr>
          <w:p>
            <w:r/>
            <w:r>
              <w:rPr>
                <w:b/>
              </w:rPr>
              <w:t>358</w:t>
            </w:r>
          </w:p>
        </w:tc>
      </w:tr>
    </w:tbl>
    <w:p/>
    <w:p>
      <w:r>
        <w:t>L'agent n'écrit jamais une fréquence. Il écrit des adverbes. Le mot « aléatoire » apparaît quatre fois, et jamais à propos de sa propre stratégie : il y qualifie la distribution des sceaux ou l'imprévisibilité d'une issue, jamais une prescription de randomiser.</w:t>
      </w:r>
    </w:p>
    <w:p>
      <w:r>
        <w:t xml:space="preserve">Il serait faux d'en conclure que l'agent ne perçoit pas la différence entre un adversaire déterministe et un adversaire mixte. </w:t>
      </w:r>
      <w:r>
        <w:rPr>
          <w:b/>
        </w:rPr>
        <w:t>Il la perçoit, et son vocabulaire l'enregistre</w:t>
      </w:r>
      <w: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Adversaire</w:t>
            </w:r>
          </w:p>
        </w:tc>
        <w:tc>
          <w:tcPr>
            <w:tcW w:type="dxa" w:w="2880"/>
          </w:tcPr>
          <w:p>
            <w:r/>
            <w:r>
              <w:rPr>
                <w:b/>
              </w:rPr>
              <w:t>Quantificateurs</w:t>
            </w:r>
          </w:p>
        </w:tc>
        <w:tc>
          <w:tcPr>
            <w:tcW w:type="dxa" w:w="2880"/>
          </w:tcPr>
          <w:p>
            <w:r/>
            <w:r>
              <w:rPr>
                <w:b/>
              </w:rPr>
              <w:t>Dont catégoriques (*toujours*, *jamais*, *systématiquement*)</w:t>
            </w:r>
          </w:p>
        </w:tc>
      </w:tr>
      <w:tr>
        <w:tc>
          <w:tcPr>
            <w:tcW w:type="dxa" w:w="2880"/>
          </w:tcPr>
          <w:p>
            <w:r/>
            <w:r>
              <w:t>Over-folder</w:t>
            </w:r>
          </w:p>
        </w:tc>
        <w:tc>
          <w:tcPr>
            <w:tcW w:type="dxa" w:w="2880"/>
          </w:tcPr>
          <w:p>
            <w:r/>
            <w:r>
              <w:t>98</w:t>
            </w:r>
          </w:p>
        </w:tc>
        <w:tc>
          <w:tcPr>
            <w:tcW w:type="dxa" w:w="2880"/>
          </w:tcPr>
          <w:p>
            <w:r/>
            <w:r>
              <w:rPr>
                <w:b/>
              </w:rPr>
              <w:t>100 %</w:t>
            </w:r>
          </w:p>
        </w:tc>
      </w:tr>
      <w:tr>
        <w:tc>
          <w:tcPr>
            <w:tcW w:type="dxa" w:w="2880"/>
          </w:tcPr>
          <w:p>
            <w:r/>
            <w:r>
              <w:t>Station</w:t>
            </w:r>
          </w:p>
        </w:tc>
        <w:tc>
          <w:tcPr>
            <w:tcW w:type="dxa" w:w="2880"/>
          </w:tcPr>
          <w:p>
            <w:r/>
            <w:r>
              <w:t>94</w:t>
            </w:r>
          </w:p>
        </w:tc>
        <w:tc>
          <w:tcPr>
            <w:tcW w:type="dxa" w:w="2880"/>
          </w:tcPr>
          <w:p>
            <w:r/>
            <w:r>
              <w:rPr>
                <w:b/>
              </w:rPr>
              <w:t>100 %</w:t>
            </w:r>
          </w:p>
        </w:tc>
      </w:tr>
      <w:tr>
        <w:tc>
          <w:tcPr>
            <w:tcW w:type="dxa" w:w="2880"/>
          </w:tcPr>
          <w:p>
            <w:r/>
            <w:r>
              <w:t>GTO</w:t>
            </w:r>
          </w:p>
        </w:tc>
        <w:tc>
          <w:tcPr>
            <w:tcW w:type="dxa" w:w="2880"/>
          </w:tcPr>
          <w:p>
            <w:r/>
            <w:r>
              <w:t>166</w:t>
            </w:r>
          </w:p>
        </w:tc>
        <w:tc>
          <w:tcPr>
            <w:tcW w:type="dxa" w:w="2880"/>
          </w:tcPr>
          <w:p>
            <w:r/>
            <w:r>
              <w:rPr>
                <w:b/>
              </w:rPr>
              <w:t>17 %</w:t>
            </w:r>
          </w:p>
        </w:tc>
      </w:tr>
    </w:tbl>
    <w:p/>
    <w:p>
      <w:r>
        <w:t>Face aux deux adversaires déterministes, la totalité des quantificateurs sont catégoriques. Face à l'adversaire à l'équilibre, ils ne le sont plus que dans un cas sur six ; l'agent bascule vers un registre gradué — « très souvent », « parfois », « fréquemment », « régulièrement », « prévisiblement ».</w:t>
      </w:r>
    </w:p>
    <w:p>
      <w:r>
        <w:rPr>
          <w:b/>
        </w:rPr>
        <w:t>La détection du caractère stochastique est donc acquise ; c'est son encodage qui manque.</w:t>
      </w:r>
      <w:r>
        <w:t xml:space="preserve"> Le canal mémoire dispose d'adverbes gradués et d'aucun nombre. Or un adverbe gradué ne s'exécute pas comme une fréquence : au moment de décider, « il couvre souvent avec Vael » ne dit pas s'il faut engager cette fois-ci. La note tranche donc, et elle tranche catégoriquement. Le même document, contre l'adversaire à l'équilibre, prescrit :</w:t>
      </w:r>
    </w:p>
    <w:p>
      <w:pPr>
        <w:pStyle w:val="Quote"/>
      </w:pPr>
      <w:r>
        <w:t>« Éviter d'engager avec Tor ou Vael après sa retenue. »</w:t>
      </w:r>
    </w:p>
    <w:p>
      <w:pPr>
        <w:ind w:left="850"/>
      </w:pPr>
      <w:r>
        <w:rPr>
          <w:i/>
          <w:sz w:val="18"/>
        </w:rPr>
        <w:t xml:space="preserve">— </w:t>
      </w:r>
      <w:r>
        <w:rPr>
          <w:i/>
          <w:sz w:val="18"/>
        </w:rPr>
        <w:t>AE-gto-r2, frontière de la série 9</w:t>
      </w:r>
    </w:p>
    <w:p>
      <w:r>
        <w:t xml:space="preserve">Tor est le sceau faible. L'équilibre y demande d'engager </w:t>
      </w:r>
      <w:r>
        <w:rPr>
          <w:b/>
        </w:rPr>
        <w:t>une fois sur trois</w:t>
      </w:r>
      <w:r>
        <w:t>. La note prescrit zéro.</w:t>
      </w:r>
    </w:p>
    <w:p>
      <w:r>
        <w:t>C'est le mécanisme complet de la dégénérescence mesurée en 3.6.2, établi ici sur le canal lui-même et non par inférence : l'agent observe correctement, écrit fidèlement ce qu'il observe dans le vocabulaire dont il dispose, et ce vocabulaire ne sait pas porter un tiers.</w:t>
      </w:r>
    </w:p>
    <w:p>
      <w:pPr>
        <w:pStyle w:val="Heading3"/>
      </w:pPr>
      <w:r>
        <w:t>3.5.4 Une note fausse, une stratégie juste</w:t>
      </w:r>
    </w:p>
    <w:p>
      <w:r>
        <w:t>Une note sur les trente écrites contre Over-folder inverse les rôles :</w:t>
      </w:r>
    </w:p>
    <w:p>
      <w:pPr>
        <w:pStyle w:val="Quote"/>
      </w:pPr>
      <w:r>
        <w:t xml:space="preserve">« Contre cet adversaire, lors des 150 dernières épreuves, </w:t>
      </w:r>
      <w:r>
        <w:rPr>
          <w:b/>
        </w:rPr>
        <w:t>il a toujours engagé</w:t>
      </w:r>
      <w:r>
        <w:t xml:space="preserve"> en tant qu'Ouvrant puis s'est retiré après chacun de mes engagements en tant que Répondant. »</w:t>
      </w:r>
    </w:p>
    <w:p>
      <w:pPr>
        <w:ind w:left="850"/>
      </w:pPr>
      <w:r>
        <w:rPr>
          <w:i/>
          <w:sz w:val="18"/>
        </w:rPr>
        <w:t xml:space="preserve">— </w:t>
      </w:r>
      <w:r>
        <w:rPr>
          <w:i/>
          <w:sz w:val="18"/>
        </w:rPr>
        <w:t>AE-over-folder-r3, frontière de la série 9, écart 0,000</w:t>
      </w:r>
    </w:p>
    <w:p>
      <w:r>
        <w:t>Le bot n'a jamais engagé : sur les quatre mille cinq cents manches jouées contre lui en condition AE, il a retenu deux mille deux cent cinquante fois en position d'Ouvrant et n'a pas misé une seule fois. La proposition est fausse, et vérifiablement fausse dans les journaux.</w:t>
      </w:r>
    </w:p>
    <w:p>
      <w:r>
        <w:t xml:space="preserve">L'écart de la série concernée est pourtant de </w:t>
      </w:r>
      <w:r>
        <w:rPr>
          <w:b/>
        </w:rPr>
        <w:t>0,000</w:t>
      </w:r>
      <w:r>
        <w:t xml:space="preserve"> : la stratégie jouée est la meilleure réponse exacte. Le cas est isolé — une note sur trente, et non un tiers des exécutions comme des notes de travail antérieures l'indiquaient — mais il est instructif pour deux raisons.</w:t>
      </w:r>
    </w:p>
    <w:p>
      <w:r>
        <w:t xml:space="preserve">D'abord parce qu'il montre que </w:t>
      </w:r>
      <w:r>
        <w:rPr>
          <w:b/>
        </w:rPr>
        <w:t>l'explication n'est pas porteuse</w:t>
      </w:r>
      <w:r>
        <w:t xml:space="preserve"> : l'agent peut énoncer une justification fausse tout en jouant juste. Le comportement optimal ne garantit pas que le modèle du monde qui le sous-tend soit correct, ce qui est précisément la thèse de la branche </w:t>
      </w:r>
      <w:r>
        <w:rPr>
          <w:i/>
        </w:rPr>
        <w:t>homo silicus</w:t>
      </w:r>
      <w:r>
        <w:t xml:space="preserve"> de la question de recherche.</w:t>
      </w:r>
    </w:p>
    <w:p>
      <w:r>
        <w:t xml:space="preserve">Ensuite parce que cette incohérence-là est </w:t>
      </w:r>
      <w:r>
        <w:rPr>
          <w:b/>
        </w:rPr>
        <w:t>invisible à l'instrument de la section 3.6.1</w:t>
      </w:r>
      <w:r>
        <w:t>. La mesure automatique compare le texte d'une décision à l'action de cette même décision ; elle ne compare pas le contenu de la mémoire aux faits enregistrés dans les journaux. Une contradiction logée dans le canal mémoire y échappe entièrement. Le taux d'incohérence rapporté en 3.6.1 doit donc se lire en sachant qu'un canal entier n'est pas couvert.</w:t>
      </w:r>
    </w:p>
    <w:p>
      <w:pPr>
        <w:pStyle w:val="Heading2"/>
      </w:pPr>
      <w:r>
        <w:t>3.6 Ce que l'adaptation coûte</w:t>
      </w:r>
    </w:p>
    <w:p>
      <w:r>
        <w:t>Les sections précédentes ont montré un agent qui s'améliore : il exploite ses adversaires jusqu'à l'optimum, et le mécanisme qui le lui permet est identifié. H4 pose la question inverse. La littérature documente chez les modèles de langage des défaillances de décision robustes — incohérence entre le raisonnement verbalisé et l'action jouée, incapacité à stabiliser une stratégie mixte. Ces défaillances survivent-elles à l'adaptation, ou celle-ci les corrige-t-elle ?</w:t>
      </w:r>
    </w:p>
    <w:p>
      <w:r>
        <w:t>La réponse est double, et la seconde moitié est le résultat le plus inattendu de ce travail. Elle exige d'abord d'établir qu'un des deux instruments prévus ne mesure pas ce qu'il annonçait.</w:t>
      </w:r>
    </w:p>
    <w:p>
      <w:pPr>
        <w:pStyle w:val="Heading3"/>
      </w:pPr>
      <w:r>
        <w:t>3.6.1 L'incohérence raisonnement↔action : une mesure qui ne mesure pas</w:t>
      </w:r>
    </w:p>
    <w:p>
      <w:r>
        <w:t xml:space="preserve">Le protocole prévoyait (§2.2.5.3) une mesure automatique simple : l'agent délibère librement avant d'énoncer son action sur une ligne dédiée ; on compare l'action jouée à </w:t>
      </w:r>
      <w:r>
        <w:rPr>
          <w:b/>
        </w:rPr>
        <w:t>la dernière action nommée dans le texte libre qui la précède</w:t>
      </w:r>
      <w:r>
        <w:t>, et toute divergence compte comme une incohérence.</w:t>
      </w:r>
    </w:p>
    <w:p>
      <w:r>
        <w:t xml:space="preserve">Appliquée à la lettre sur les 27 270 décisions au parsing strict, cette règle rend un taux d'incohérence de </w:t>
      </w:r>
      <w:r>
        <w:rPr>
          <w:b/>
        </w:rPr>
        <w:t>47,8 %</w:t>
      </w:r>
      <w:r>
        <w:t>, calculé sur les 13 442 décisions dont le raisonnement nomme au moins une action. Le chiffre est à un point des 45,1 % d'erreurs factuelles relevés par GTBENCH.</w:t>
      </w:r>
    </w:p>
    <w:p>
      <w:r>
        <w:rPr>
          <w:b/>
        </w:rPr>
        <w:t>Cette coïncidence est précisément ce qui doit alerter.</w:t>
      </w:r>
      <w:r>
        <w:t xml:space="preserve"> Un résultat qui confirme la littérature sans effort, sur une mesure jamais validée, mérite d'être examiné avant d'être publié. Il ne survit pas à l'examen.</w:t>
      </w:r>
    </w:p>
    <w:p>
      <w:r>
        <w:t xml:space="preserve">La cause est grammaticale. Le raisonnement produit par le modèle conclut régulièrement par une clause contrastive, qui nomme non pas l'option retenue mais l'option </w:t>
      </w:r>
      <w:r>
        <w:rPr>
          <w:b/>
        </w:rPr>
        <w:t>écartée</w:t>
      </w:r>
      <w:r>
        <w:t xml:space="preserve"> :</w:t>
      </w:r>
    </w:p>
    <w:p>
      <w:pPr>
        <w:pStyle w:val="Quote"/>
      </w:pPr>
      <w:r>
        <w:t xml:space="preserve">« Engager garantit donc un gain de +1, </w:t>
      </w:r>
      <w:r>
        <w:rPr>
          <w:i/>
        </w:rPr>
        <w:t>tandis que retenir</w:t>
      </w:r>
      <w:r>
        <w:t xml:space="preserve"> expose à une perte selon le sceau adverse. »</w:t>
      </w:r>
    </w:p>
    <w:p>
      <w:pPr>
        <w:ind w:left="850"/>
      </w:pPr>
      <w:r>
        <w:rPr>
          <w:i/>
          <w:sz w:val="18"/>
        </w:rPr>
        <w:t>— action effectivement jouée : engager.</w:t>
      </w:r>
    </w:p>
    <w:p>
      <w:r>
        <w:t xml:space="preserve">La règle lit « retenir » — la dernière action nommée — et enregistre une incohérence là où le raisonnement est parfaitement cohérent. Huit divergences tirées au hasard dans le corpus et relues intégralement se sont révélées être </w:t>
      </w:r>
      <w:r>
        <w:rPr>
          <w:b/>
        </w:rPr>
        <w:t>huit faux positifs</w:t>
      </w:r>
      <w:r>
        <w:t>, toutes de cette forme. Une règle positionnelle hérite de la structure du discours français, où l'alternative rejetée occupe la position finale.</w:t>
      </w:r>
    </w:p>
    <w:p>
      <w:r>
        <w:t xml:space="preserve">Une variante conservatrice a été testée, qui écarte les occurrences dont le sujet apparent est l'adversaire — « </w:t>
      </w:r>
      <w:r>
        <w:rPr>
          <w:i/>
        </w:rPr>
        <w:t>l'adversaire se retire systématiquement</w:t>
      </w:r>
      <w:r>
        <w:t xml:space="preserve"> » n'énonce pas une intention de l'agent. Elle abaisse le taux à 36,6 % sans le rendre valide : le défaut ne tient pas à l'attribution du sujet mais à la structure contrastive elle-même.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Variante de la règle</w:t>
            </w:r>
          </w:p>
        </w:tc>
        <w:tc>
          <w:tcPr>
            <w:tcW w:type="dxa" w:w="2160"/>
          </w:tcPr>
          <w:p>
            <w:r/>
            <w:r>
              <w:rPr>
                <w:b/>
              </w:rPr>
              <w:t>Décisions mesurables</w:t>
            </w:r>
          </w:p>
        </w:tc>
        <w:tc>
          <w:tcPr>
            <w:tcW w:type="dxa" w:w="2160"/>
          </w:tcPr>
          <w:p>
            <w:r/>
            <w:r>
              <w:rPr>
                <w:b/>
              </w:rPr>
              <w:t>Divergences</w:t>
            </w:r>
          </w:p>
        </w:tc>
        <w:tc>
          <w:tcPr>
            <w:tcW w:type="dxa" w:w="2160"/>
          </w:tcPr>
          <w:p>
            <w:r/>
            <w:r>
              <w:rPr>
                <w:b/>
              </w:rPr>
              <w:t>Taux</w:t>
            </w:r>
          </w:p>
        </w:tc>
      </w:tr>
      <w:tr>
        <w:tc>
          <w:tcPr>
            <w:tcW w:type="dxa" w:w="2160"/>
          </w:tcPr>
          <w:p>
            <w:r/>
            <w:r>
              <w:t>A — positionnelle, telle que pré-enregistrée</w:t>
            </w:r>
          </w:p>
        </w:tc>
        <w:tc>
          <w:tcPr>
            <w:tcW w:type="dxa" w:w="2160"/>
          </w:tcPr>
          <w:p>
            <w:r/>
            <w:r>
              <w:t>13 442</w:t>
            </w:r>
          </w:p>
        </w:tc>
        <w:tc>
          <w:tcPr>
            <w:tcW w:type="dxa" w:w="2160"/>
          </w:tcPr>
          <w:p>
            <w:r/>
            <w:r>
              <w:t>6 422</w:t>
            </w:r>
          </w:p>
        </w:tc>
        <w:tc>
          <w:tcPr>
            <w:tcW w:type="dxa" w:w="2160"/>
          </w:tcPr>
          <w:p>
            <w:r/>
            <w:r>
              <w:t>47,8 %</w:t>
            </w:r>
          </w:p>
        </w:tc>
      </w:tr>
      <w:tr>
        <w:tc>
          <w:tcPr>
            <w:tcW w:type="dxa" w:w="2160"/>
          </w:tcPr>
          <w:p>
            <w:r/>
            <w:r>
              <w:t>B — occurrences attribuées à l'adversaire écartées</w:t>
            </w:r>
          </w:p>
        </w:tc>
        <w:tc>
          <w:tcPr>
            <w:tcW w:type="dxa" w:w="2160"/>
          </w:tcPr>
          <w:p>
            <w:r/>
            <w:r>
              <w:t>12 095</w:t>
            </w:r>
          </w:p>
        </w:tc>
        <w:tc>
          <w:tcPr>
            <w:tcW w:type="dxa" w:w="2160"/>
          </w:tcPr>
          <w:p>
            <w:r/>
            <w:r>
              <w:t>4 425</w:t>
            </w:r>
          </w:p>
        </w:tc>
        <w:tc>
          <w:tcPr>
            <w:tcW w:type="dxa" w:w="2160"/>
          </w:tcPr>
          <w:p>
            <w:r/>
            <w:r>
              <w:t>36,6 %</w:t>
            </w:r>
          </w:p>
        </w:tc>
      </w:tr>
      <w:tr>
        <w:tc>
          <w:tcPr>
            <w:tcW w:type="dxa" w:w="2160"/>
          </w:tcPr>
          <w:p>
            <w:r/>
            <w:r>
              <w:t xml:space="preserve">C — l'agent </w:t>
            </w:r>
            <w:r>
              <w:rPr>
                <w:b/>
              </w:rPr>
              <w:t>énonce</w:t>
            </w:r>
            <w:r>
              <w:t xml:space="preserve"> son choix</w:t>
            </w:r>
          </w:p>
        </w:tc>
        <w:tc>
          <w:tcPr>
            <w:tcW w:type="dxa" w:w="2160"/>
          </w:tcPr>
          <w:p>
            <w:r/>
            <w:r>
              <w:t>604</w:t>
            </w:r>
          </w:p>
        </w:tc>
        <w:tc>
          <w:tcPr>
            <w:tcW w:type="dxa" w:w="2160"/>
          </w:tcPr>
          <w:p>
            <w:r/>
            <w:r>
              <w:rPr>
                <w:b/>
              </w:rPr>
              <w:t>0</w:t>
            </w:r>
          </w:p>
        </w:tc>
        <w:tc>
          <w:tcPr>
            <w:tcW w:type="dxa" w:w="2160"/>
          </w:tcPr>
          <w:p>
            <w:r/>
            <w:r>
              <w:rPr>
                <w:b/>
              </w:rPr>
              <w:t>0,00 %</w:t>
            </w:r>
          </w:p>
        </w:tc>
      </w:tr>
    </w:tbl>
    <w:p/>
    <w:p>
      <w:r>
        <w:t xml:space="preserve">La troisième variante renonce au rappel pour gagner la précision. Elle ne retient que les décisions où l'agent déclare son choix par une formule explicite — « il vaut mieux X », « je choisis X », « X est préférable » — et ne mesure donc rien d'autre que ce que H4 demande. Sur les </w:t>
      </w:r>
      <w:r>
        <w:rPr>
          <w:b/>
        </w:rPr>
        <w:t>604 décisions</w:t>
      </w:r>
      <w:r>
        <w:t xml:space="preserve"> de ce sous-ensemble, l'agent joue l'action qu'il vient de désigner dans </w:t>
      </w:r>
      <w:r>
        <w:rPr>
          <w:b/>
        </w:rPr>
        <w:t>tous les cas</w:t>
      </w:r>
      <w:r>
        <w:t>.</w:t>
      </w:r>
    </w:p>
    <w:p>
      <w:r>
        <w:rPr>
          <w:b/>
        </w:rPr>
        <w:t>L'énoncé que les données permettent est donc celui-ci, et pas un mot de plus : l'agent ne se contredit jamais explicitement.</w:t>
      </w:r>
      <w:r>
        <w:t xml:space="preserve"> C'est plus étroit que « l'agent est cohérent », et il importe de ne pas confondre les deux. Deux bornes le limitent.</w:t>
      </w:r>
    </w:p>
    <w:p>
      <w:r>
        <w:t xml:space="preserve">D'abord, </w:t>
      </w:r>
      <w:r>
        <w:rPr>
          <w:b/>
        </w:rPr>
        <w:t>le raisonnement n'est observable qu'en partie</w:t>
      </w:r>
      <w:r>
        <w:t>. Le modèle retenu facture une chaîne de pensée interne que le fournisseur ne restitue jamais, et sa sortie visible se réduit souvent à la seule ligne d'action : 13 447 décisions sur 27 270, soit 49,3 %, comportent un texte au-delà de cette ligne. Une incohérence entre la chaîne non restituée et l'action jouée est invisible par construction.</w:t>
      </w:r>
    </w:p>
    <w:p>
      <w:r>
        <w:t xml:space="preserve">Ensuite, </w:t>
      </w:r>
      <w:r>
        <w:rPr>
          <w:b/>
        </w:rPr>
        <w:t>ce sous-ensemble n'est pas aléatoire</w:t>
      </w:r>
      <w:r>
        <w:t>. La propension à verbaliser dépend fortement du traitement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Traitement</w:t>
            </w:r>
          </w:p>
        </w:tc>
        <w:tc>
          <w:tcPr>
            <w:tcW w:type="dxa" w:w="2160"/>
          </w:tcPr>
          <w:p>
            <w:r/>
            <w:r>
              <w:rPr>
                <w:b/>
              </w:rPr>
              <w:t>Décisions</w:t>
            </w:r>
          </w:p>
        </w:tc>
        <w:tc>
          <w:tcPr>
            <w:tcW w:type="dxa" w:w="2160"/>
          </w:tcPr>
          <w:p>
            <w:r/>
            <w:r>
              <w:rPr>
                <w:b/>
              </w:rPr>
              <w:t>Avec texte au-delà de la ligne d'action</w:t>
            </w:r>
          </w:p>
        </w:tc>
        <w:tc>
          <w:tcPr>
            <w:tcW w:type="dxa" w:w="2160"/>
          </w:tcPr>
          <w:p>
            <w:r/>
            <w:r>
              <w:rPr>
                <w:b/>
              </w:rPr>
              <w:t>Avec choix explicitement énoncé</w:t>
            </w:r>
          </w:p>
        </w:tc>
      </w:tr>
      <w:tr>
        <w:tc>
          <w:tcPr>
            <w:tcW w:type="dxa" w:w="2160"/>
          </w:tcPr>
          <w:p>
            <w:r/>
            <w:r>
              <w:t>SM</w:t>
            </w:r>
          </w:p>
        </w:tc>
        <w:tc>
          <w:tcPr>
            <w:tcW w:type="dxa" w:w="2160"/>
          </w:tcPr>
          <w:p>
            <w:r/>
            <w:r>
              <w:t>4 229</w:t>
            </w:r>
          </w:p>
        </w:tc>
        <w:tc>
          <w:tcPr>
            <w:tcW w:type="dxa" w:w="2160"/>
          </w:tcPr>
          <w:p>
            <w:r/>
            <w:r>
              <w:t>28,1 %</w:t>
            </w:r>
          </w:p>
        </w:tc>
        <w:tc>
          <w:tcPr>
            <w:tcW w:type="dxa" w:w="2160"/>
          </w:tcPr>
          <w:p>
            <w:r/>
            <w:r>
              <w:t>4,6 %</w:t>
            </w:r>
          </w:p>
        </w:tc>
      </w:tr>
      <w:tr>
        <w:tc>
          <w:tcPr>
            <w:tcW w:type="dxa" w:w="2160"/>
          </w:tcPr>
          <w:p>
            <w:r/>
            <w:r>
              <w:t>ICL</w:t>
            </w:r>
          </w:p>
        </w:tc>
        <w:tc>
          <w:tcPr>
            <w:tcW w:type="dxa" w:w="2160"/>
          </w:tcPr>
          <w:p>
            <w:r/>
            <w:r>
              <w:t>8 996</w:t>
            </w:r>
          </w:p>
        </w:tc>
        <w:tc>
          <w:tcPr>
            <w:tcW w:type="dxa" w:w="2160"/>
          </w:tcPr>
          <w:p>
            <w:r/>
            <w:r>
              <w:t>36,1 %</w:t>
            </w:r>
          </w:p>
        </w:tc>
        <w:tc>
          <w:tcPr>
            <w:tcW w:type="dxa" w:w="2160"/>
          </w:tcPr>
          <w:p>
            <w:r/>
            <w:r>
              <w:t>0,9 %</w:t>
            </w:r>
          </w:p>
        </w:tc>
      </w:tr>
      <w:tr>
        <w:tc>
          <w:tcPr>
            <w:tcW w:type="dxa" w:w="2160"/>
          </w:tcPr>
          <w:p>
            <w:r/>
            <w:r>
              <w:t>AE</w:t>
            </w:r>
          </w:p>
        </w:tc>
        <w:tc>
          <w:tcPr>
            <w:tcW w:type="dxa" w:w="2160"/>
          </w:tcPr>
          <w:p>
            <w:r/>
            <w:r>
              <w:t>14 045</w:t>
            </w:r>
          </w:p>
        </w:tc>
        <w:tc>
          <w:tcPr>
            <w:tcW w:type="dxa" w:w="2160"/>
          </w:tcPr>
          <w:p>
            <w:r/>
            <w:r>
              <w:t>64,1 %</w:t>
            </w:r>
          </w:p>
        </w:tc>
        <w:tc>
          <w:tcPr>
            <w:tcW w:type="dxa" w:w="2160"/>
          </w:tcPr>
          <w:p>
            <w:r/>
            <w:r>
              <w:t>2,3 %</w:t>
            </w:r>
          </w:p>
        </w:tc>
      </w:tr>
    </w:tbl>
    <w:p/>
    <w:p>
      <w:r>
        <w:t>L'agent verbalise plus de deux fois plus souvent lorsqu'il dispose de notes. La mesure porte donc préférentiellement sur les décisions du traitement AE, et le taux obtenu est une propriété d'un échantillon sélectionné, non une fréquence de campagne.</w:t>
      </w:r>
    </w:p>
    <w:p>
      <w:r>
        <w:t>Le troisième volet prévu au §2.2.5.3 — un codage manuel sur échantillon stratifié, selon les cinq catégories de GTBENCH — aurait permis d'estimer le taux de faux négatifs de la mesure automatique. Il n'a pas été conduit ; cette limite est reprise au chapitre suivant.</w:t>
      </w:r>
    </w:p>
    <w:p>
      <w:pPr>
        <w:pStyle w:val="Heading3"/>
      </w:pPr>
      <w:r>
        <w:t>3.6.2 La dégénérescence des stratégies mixtes</w:t>
      </w:r>
    </w:p>
    <w:p>
      <w:r>
        <w:t>Le second volet de H4 ne dépend d'aucune verbalisation : il se lit directement dans la politique observée. L'équilibre du jeu exige des fréquences intermédiaires sur plusieurs ensembles d'information ; on mesure si l'agent s'y tient, ou s'il s'échoue sur les bornes 0 et 1.</w:t>
      </w:r>
    </w:p>
    <w:p>
      <w:r>
        <w:rPr>
          <w:b/>
        </w:rPr>
        <w:t>Une précaution d'interprétation détermine tout le résultat.</w:t>
      </w:r>
      <w:r>
        <w:t xml:space="preserve"> Contre un adversaire exploitable, la meilleure réponse </w:t>
      </w:r>
      <w:r>
        <w:rPr>
          <w:i/>
        </w:rPr>
        <w:t>est</w:t>
      </w:r>
      <w:r>
        <w:t xml:space="preserve"> pure : jouer une fréquence de 0 ou de 1 y est optimal, non dégénéré. Agréger les trois adversaires reviendrait à compter comme un biais une politique correcte. Sur l'ensemble d'information du bluff au sceau faible, le comptage agrégé donne 56 % de séries aux bornes ; le comptage restreint à l'adversaire jouant l'équilibre — le seul où le mélange soit requis — en donne </w:t>
      </w:r>
      <w:r>
        <w:rPr>
          <w:b/>
        </w:rPr>
        <w:t>38 %</w:t>
      </w:r>
      <w:r>
        <w:t>. C'est ce second chiffre qui a un sens.</w:t>
      </w:r>
    </w:p>
    <w:p>
      <w:r>
        <w:t>Toutes les fréquences rapportées ici sont estimées sur au moins vingt observations ; les couples série × ensemble d'information en deçà sont écartés, une fréquence établie sur trois observations ne disant rien d'un mélange.</w:t>
      </w:r>
    </w:p>
    <w:p>
      <w:r>
        <w:t>Le résultat repose sur cet unique ensemble d'information, et il faut dire pourquoi. Les trois autres ensembles à fréquence d'équilibre intermédiaire ne sont atteints que si l'adversaire mise, ce que l'équilibre ne fait qu'occasionnellement : leur effectif médian est de neuf à seize observations par série, et une, deux et six séries respectivement atteignent le seuil. Il n'y a rien à conclure de si peu.</w:t>
      </w:r>
    </w:p>
    <w:p>
      <w:r>
        <w:t>Sur l'ensemble d'information retenu — l'ouverture avec le sceau faible, que l'équilibre veut jouée agressivement un tiers du temps —, la ventilation donne ceci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Séries</w:t>
            </w:r>
          </w:p>
        </w:tc>
        <w:tc>
          <w:tcPr>
            <w:tcW w:type="dxa" w:w="2160"/>
          </w:tcPr>
          <w:p>
            <w:r/>
            <w:r>
              <w:rPr>
                <w:b/>
              </w:rPr>
              <w:t>Aux bornes 0 ou 1</w:t>
            </w:r>
          </w:p>
        </w:tc>
        <w:tc>
          <w:tcPr>
            <w:tcW w:type="dxa" w:w="2160"/>
          </w:tcPr>
          <w:p>
            <w:r/>
            <w:r>
              <w:rPr>
                <w:b/>
              </w:rPr>
              <w:t>Distance moyenne à 1/3</w:t>
            </w:r>
          </w:p>
        </w:tc>
      </w:tr>
      <w:tr>
        <w:tc>
          <w:tcPr>
            <w:tcW w:type="dxa" w:w="2160"/>
          </w:tcPr>
          <w:p>
            <w:r/>
            <w:r>
              <w:t>SM — sans mémoire</w:t>
            </w:r>
          </w:p>
        </w:tc>
        <w:tc>
          <w:tcPr>
            <w:tcW w:type="dxa" w:w="2160"/>
          </w:tcPr>
          <w:p>
            <w:r/>
            <w:r>
              <w:t>9</w:t>
            </w:r>
          </w:p>
        </w:tc>
        <w:tc>
          <w:tcPr>
            <w:tcW w:type="dxa" w:w="2160"/>
          </w:tcPr>
          <w:p>
            <w:r/>
            <w:r>
              <w:rPr>
                <w:b/>
              </w:rPr>
              <w:t>0 %</w:t>
            </w:r>
          </w:p>
        </w:tc>
        <w:tc>
          <w:tcPr>
            <w:tcW w:type="dxa" w:w="2160"/>
          </w:tcPr>
          <w:p>
            <w:r/>
            <w:r>
              <w:t>0,078</w:t>
            </w:r>
          </w:p>
        </w:tc>
      </w:tr>
      <w:tr>
        <w:tc>
          <w:tcPr>
            <w:tcW w:type="dxa" w:w="2160"/>
          </w:tcPr>
          <w:p>
            <w:r/>
            <w:r>
              <w:t>AE — première série, note encore vide</w:t>
            </w:r>
          </w:p>
        </w:tc>
        <w:tc>
          <w:tcPr>
            <w:tcW w:type="dxa" w:w="2160"/>
          </w:tcPr>
          <w:p>
            <w:r/>
            <w:r>
              <w:t>3</w:t>
            </w:r>
          </w:p>
        </w:tc>
        <w:tc>
          <w:tcPr>
            <w:tcW w:type="dxa" w:w="2160"/>
          </w:tcPr>
          <w:p>
            <w:r/>
            <w:r>
              <w:rPr>
                <w:b/>
              </w:rPr>
              <w:t>0 %</w:t>
            </w:r>
          </w:p>
        </w:tc>
        <w:tc>
          <w:tcPr>
            <w:tcW w:type="dxa" w:w="2160"/>
          </w:tcPr>
          <w:p>
            <w:r/>
            <w:r>
              <w:t>0,113</w:t>
            </w:r>
          </w:p>
        </w:tc>
      </w:tr>
      <w:tr>
        <w:tc>
          <w:tcPr>
            <w:tcW w:type="dxa" w:w="2160"/>
          </w:tcPr>
          <w:p>
            <w:r/>
            <w:r>
              <w:t>AE — séries suivantes, note écrite</w:t>
            </w:r>
          </w:p>
        </w:tc>
        <w:tc>
          <w:tcPr>
            <w:tcW w:type="dxa" w:w="2160"/>
          </w:tcPr>
          <w:p>
            <w:r/>
            <w:r>
              <w:t>25</w:t>
            </w:r>
          </w:p>
        </w:tc>
        <w:tc>
          <w:tcPr>
            <w:tcW w:type="dxa" w:w="2160"/>
          </w:tcPr>
          <w:p>
            <w:r/>
            <w:r>
              <w:rPr>
                <w:b/>
              </w:rPr>
              <w:t>56 %</w:t>
            </w:r>
          </w:p>
        </w:tc>
        <w:tc>
          <w:tcPr>
            <w:tcW w:type="dxa" w:w="2160"/>
          </w:tcPr>
          <w:p>
            <w:r/>
            <w:r>
              <w:t>0,323</w:t>
            </w:r>
          </w:p>
        </w:tc>
      </w:tr>
    </w:tbl>
    <w:p/>
    <w:p>
      <w:r>
        <w:rPr>
          <w:b/>
        </w:rPr>
        <w:t>La mémoire ne corrige pas la dégénérescence : elle la produit.</w:t>
      </w:r>
      <w:r>
        <w:t xml:space="preserve"> Privé de mémoire, l'agent joue des fréquences intermédiaires, et remarquablement proches de la valeur d'équilibre — entre 0,20 et 0,40 sur les neuf séries, pour une moyenne de 0,279 contre 0,333 attendus. Doté d'une note, il s'échoue sur les bornes plus d'une série sur deux, et sa distance moyenne à la fréquence d'équilibre est multipliée par quatre.</w:t>
      </w:r>
    </w:p>
    <w:p>
      <w:r>
        <w:t xml:space="preserve">La troisième ligne du tableau fournit un </w:t>
      </w:r>
      <w:r>
        <w:rPr>
          <w:b/>
        </w:rPr>
        <w:t>contrôle interne</w:t>
      </w:r>
      <w:r>
        <w:t xml:space="preserve"> qui exclut toute explication par le traitement ou par le harnais. La première série d'une exécution AE se joue avec un emplacement mémoire présent mais vide : même modèle, même gabarit de prompt, même exécution, même adversaire — seule la note manque. Sur ces trois séries, aucune fréquence n'est aux bornes. L'effondrement apparaît exactement à la première série jouée avec une note écrite.</w:t>
      </w:r>
    </w:p>
    <w:p>
      <w:r>
        <w:t xml:space="preserve">Il faut enfin décrire correctement la forme de cette dégénérescence, car elle n'est pas un simple effondrement vers une borne unique. Sur les vingt-cinq séries concernées, treize sont à zéro exactement et une à un exactement : l'agent </w:t>
      </w:r>
      <w:r>
        <w:rPr>
          <w:b/>
        </w:rPr>
        <w:t>alterne entre les deux extrêmes d'une série à l'autre</w:t>
      </w:r>
      <w:r>
        <w:t>. Une réplication passe de 0,00 à 0,85, puis 0,54, 0,96 et 1,00 avant de revenir à 0,00 ; on relève sept sauts de plus de 0,40 entre deux séries consécutives sur les trois réplications.</w:t>
      </w:r>
    </w:p>
    <w:p>
      <w:r>
        <w:t xml:space="preserve">Autrement dit, l'agent ne remplace pas le mélange par une politique pure stable. </w:t>
      </w:r>
      <w:r>
        <w:rPr>
          <w:b/>
        </w:rPr>
        <w:t>Il remplace une randomisation intra-série par une alternance inter-séries</w:t>
      </w:r>
      <w:r>
        <w:t xml:space="preserve"> — il choisit une règle, l'applique intégralement pendant cent cinquante manches, puis en change à la frontière suivante. La variabilité que l'équilibre demande existe encore, mais elle a migré vers la mauvaise échelle de temps, où elle ne produit aucune imprévisibilité exploitable par un adversaire au sein d'une même série.</w:t>
      </w:r>
    </w:p>
    <w:p>
      <w:pPr>
        <w:pStyle w:val="Heading3"/>
      </w:pPr>
      <w:r>
        <w:t>3.6.3 Ce que H4 établit</w:t>
      </w:r>
    </w:p>
    <w:p>
      <w:r>
        <w:t xml:space="preserve">L'hypothèse admettait un résultat mixte, et c'est ce qu'elle obtient. Sur le premier volet, aucune incohérence explicite n'est détectable — et l'instrument prévu pour la mesurer s'est révélé mesurer autre chose. Sur le second, le biais est non seulement présent mais </w:t>
      </w:r>
      <w:r>
        <w:rPr>
          <w:b/>
        </w:rPr>
        <w:t>amplifié par le dispositif même qui produit l'adaptation</w:t>
      </w:r>
      <w:r>
        <w:t>.</w:t>
      </w:r>
    </w:p>
    <w:p>
      <w:r>
        <w:t>Ce second constat s'articule directement à la section 3.4. Ce qui rend la mémoire auto-écrite supérieure à la réinjection d'historique — le fait qu'elle contraigne l'agent à formuler une règle, et donc à achever l'induction — est exactement ce qui la rend incapable de randomiser. Une règle écrite en langue naturelle est déterministe : elle dit « engager avec le sceau fort », jamais « engager avec le sceau faible une fois sur trois ». Le canal qui porte l'adaptation ne sait pas porter une fréquence.</w:t>
      </w:r>
    </w:p>
    <w:p>
      <w:r>
        <w:rPr>
          <w:b/>
        </w:rPr>
        <w:t>L'adaptation et le biais ne sont pas deux phénomènes qui coexistent par hasard : c'est le même mécanisme, observé sur deux tâches qui ne demandent pas la même chose.</w:t>
      </w:r>
      <w:r>
        <w:t xml:space="preserve"> Contre un adversaire à faille, où l'optimum est pur, formuler une règle est exactement ce qu'il faut faire. Contre un adversaire à l'équilibre, où l'optimum est mixte, c'est ce qu'il ne faut pas faire — et l'agent le fait quand même, parce que c'est la seule chose que sa mémoire sache faire.</w:t>
      </w:r>
    </w:p>
    <w:p>
      <w:r>
        <w:t xml:space="preserve">Deux réserves closent cette section. Le résultat quantitatif porte sur </w:t>
      </w:r>
      <w:r>
        <w:rPr>
          <w:b/>
        </w:rPr>
        <w:t>un seul ensemble d'information</w:t>
      </w:r>
      <w:r>
        <w:t>, faute d'effectifs suffisants sur les trois autres. Et le taux d'incohérence n'est établi que sur les décisions où l'agent énonce son choix, soit 2,2 % de la campagne ; le codage manuel qui aurait permis d'en estimer la portée réelle n'a pas été conduit.</w:t>
      </w:r>
    </w:p>
    <w:p>
      <w:pPr>
        <w:pStyle w:val="Heading2"/>
      </w:pPr>
      <w:r>
        <w:t>3.7 Synthèse</w:t>
      </w:r>
    </w:p>
    <w:p>
      <w:r>
        <w:t>La question de recherche comportait deux branches, et le dispositif a été conçu pour les instrumenter séparément — c'est sa contribution méthodologique, et c'est ce qui permet à cette synthèse de dire autre chose qu'un verdict.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Énoncé</w:t>
            </w:r>
          </w:p>
        </w:tc>
        <w:tc>
          <w:tcPr>
            <w:tcW w:type="dxa" w:w="2160"/>
          </w:tcPr>
          <w:p>
            <w:r/>
            <w:r>
              <w:rPr>
                <w:b/>
              </w:rPr>
              <w:t>Réfutation prévue</w:t>
            </w:r>
          </w:p>
        </w:tc>
        <w:tc>
          <w:tcPr>
            <w:tcW w:type="dxa" w:w="2160"/>
          </w:tcPr>
          <w:p>
            <w:r/>
            <w:r>
              <w:rPr>
                <w:b/>
              </w:rPr>
              <w:t>Verdict</w:t>
            </w:r>
          </w:p>
        </w:tc>
      </w:tr>
      <w:tr>
        <w:tc>
          <w:tcPr>
            <w:tcW w:type="dxa" w:w="2160"/>
          </w:tcPr>
          <w:p>
            <w:r/>
            <w:r>
              <w:rPr>
                <w:b/>
              </w:rPr>
              <w:t>H1</w:t>
            </w:r>
          </w:p>
        </w:tc>
        <w:tc>
          <w:tcPr>
            <w:tcW w:type="dxa" w:w="2160"/>
          </w:tcPr>
          <w:p>
            <w:r/>
            <w:r>
              <w:t>l'adaptation vient de la mémoire</w:t>
            </w:r>
          </w:p>
        </w:tc>
        <w:tc>
          <w:tcPr>
            <w:tcW w:type="dxa" w:w="2160"/>
          </w:tcPr>
          <w:p>
            <w:r/>
            <w:r>
              <w:t>AE ne se distingue pas de SM</w:t>
            </w:r>
          </w:p>
        </w:tc>
        <w:tc>
          <w:tcPr>
            <w:tcW w:type="dxa" w:w="2160"/>
          </w:tcPr>
          <w:p>
            <w:r/>
            <w:r>
              <w:rPr>
                <w:b/>
              </w:rPr>
              <w:t>établie</w:t>
            </w:r>
            <w:r>
              <w:t xml:space="preserve"> — neuf paires appariées sur neuf, effet de +0,178 à +0,704</w:t>
            </w:r>
          </w:p>
        </w:tc>
      </w:tr>
      <w:tr>
        <w:tc>
          <w:tcPr>
            <w:tcW w:type="dxa" w:w="2160"/>
          </w:tcPr>
          <w:p>
            <w:r/>
            <w:r>
              <w:rPr>
                <w:b/>
              </w:rPr>
              <w:t>H2</w:t>
            </w:r>
          </w:p>
        </w:tc>
        <w:tc>
          <w:tcPr>
            <w:tcW w:type="dxa" w:w="2160"/>
          </w:tcPr>
          <w:p>
            <w:r/>
            <w:r>
              <w:t>elle exploite, elle ne récite pas</w:t>
            </w:r>
          </w:p>
        </w:tc>
        <w:tc>
          <w:tcPr>
            <w:tcW w:type="dxa" w:w="2160"/>
          </w:tcPr>
          <w:p>
            <w:r/>
            <w:r>
              <w:t>l'écart ne descend que contre l'un des deux adversaires biaisés</w:t>
            </w:r>
          </w:p>
        </w:tc>
        <w:tc>
          <w:tcPr>
            <w:tcW w:type="dxa" w:w="2160"/>
          </w:tcPr>
          <w:p>
            <w:r/>
            <w:r>
              <w:rPr>
                <w:b/>
              </w:rPr>
              <w:t>établie</w:t>
            </w:r>
            <w:r>
              <w:t xml:space="preserve"> — maxima théoriques atteints exactement, contrôle négatif tenu sur 39 séries</w:t>
            </w:r>
          </w:p>
        </w:tc>
      </w:tr>
      <w:tr>
        <w:tc>
          <w:tcPr>
            <w:tcW w:type="dxa" w:w="2160"/>
          </w:tcPr>
          <w:p>
            <w:r/>
            <w:r>
              <w:rPr>
                <w:b/>
              </w:rPr>
              <w:t>H3</w:t>
            </w:r>
          </w:p>
        </w:tc>
        <w:tc>
          <w:tcPr>
            <w:tcW w:type="dxa" w:w="2160"/>
          </w:tcPr>
          <w:p>
            <w:r/>
            <w:r>
              <w:t>le mécanisme de rétention compte</w:t>
            </w:r>
          </w:p>
        </w:tc>
        <w:tc>
          <w:tcPr>
            <w:tcW w:type="dxa" w:w="2160"/>
          </w:tcPr>
          <w:p>
            <w:r/>
            <w:r>
              <w:t>ICL égale ou surpasse AE</w:t>
            </w:r>
          </w:p>
        </w:tc>
        <w:tc>
          <w:tcPr>
            <w:tcW w:type="dxa" w:w="2160"/>
          </w:tcPr>
          <w:p>
            <w:r/>
            <w:r>
              <w:rPr>
                <w:b/>
              </w:rPr>
              <w:t>établie sous condition</w:t>
            </w:r>
            <w:r>
              <w:t xml:space="preserve"> — +0,038 ± 0,015 contre Station, indistinguable contre Over-folder</w:t>
            </w:r>
          </w:p>
        </w:tc>
      </w:tr>
      <w:tr>
        <w:tc>
          <w:tcPr>
            <w:tcW w:type="dxa" w:w="2160"/>
          </w:tcPr>
          <w:p>
            <w:r/>
            <w:r>
              <w:rPr>
                <w:b/>
              </w:rPr>
              <w:t>H4</w:t>
            </w:r>
          </w:p>
        </w:tc>
        <w:tc>
          <w:tcPr>
            <w:tcW w:type="dxa" w:w="2160"/>
          </w:tcPr>
          <w:p>
            <w:r/>
            <w:r>
              <w:t>des biais de décision persistent</w:t>
            </w:r>
          </w:p>
        </w:tc>
        <w:tc>
          <w:tcPr>
            <w:tcW w:type="dxa" w:w="2160"/>
          </w:tcPr>
          <w:p>
            <w:r/>
            <w:r>
              <w:t>les fréquences se stabilisent aux valeurs mixtes</w:t>
            </w:r>
          </w:p>
        </w:tc>
        <w:tc>
          <w:tcPr>
            <w:tcW w:type="dxa" w:w="2160"/>
          </w:tcPr>
          <w:p>
            <w:r/>
            <w:r>
              <w:rPr>
                <w:b/>
              </w:rPr>
              <w:t>établie sur un volet</w:t>
            </w:r>
            <w:r>
              <w:t xml:space="preserve"> — dégénérescence produite par la mémoire ; aucune incohérence explicite détectable</w:t>
            </w:r>
          </w:p>
        </w:tc>
      </w:tr>
    </w:tbl>
    <w:p/>
    <w:p>
      <w:pPr>
        <w:pStyle w:val="Heading3"/>
      </w:pPr>
      <w:r>
        <w:t>La branche *homo œconomicus*</w:t>
      </w:r>
    </w:p>
    <w:p>
      <w:r>
        <w:t xml:space="preserve">La réponse est positive, et elle est nette. Doté d'une mémoire persistante auto-rédigée, l'agent développe une adaptation comportementale qui s'apparente bien à une stratégie : il identifie la régularité de son adversaire à partir d'un journal brut que personne n'a interprété pour lui, en tire une règle, et applique cette règle jusqu'à l'exploitation maximale. Contre les deux adversaires exploitables, il atteint </w:t>
      </w:r>
      <w:r>
        <w:rPr>
          <w:b/>
        </w:rPr>
        <w:t>exactement</w:t>
      </w:r>
      <w:r>
        <w:t xml:space="preserve"> l'optimum théorique — non une valeur proche, mais la meilleure réponse au sens strict, sur une mesure exacte.</w:t>
      </w:r>
    </w:p>
    <w:p>
      <w:r>
        <w:t xml:space="preserve">Ce n'est pas une récitation mieux exécutée. La démonstration ne repose pas sur l'hypothèse que le modèle ignorerait le jeu, mais sur l'asymétrie du plan d'adversaires : les deux fuites exploitées demandent des ajustements de sens contraire, et aucune stratégie fixe — pas même l'équilibre — ne les satisfait ensemble. Le fait que l'agent privé de mémoire joue </w:t>
      </w:r>
      <w:r>
        <w:rPr>
          <w:i/>
        </w:rPr>
        <w:t>en dessous</w:t>
      </w:r>
      <w:r>
        <w:t xml:space="preserve"> de l'équilibre achève de l'établir : la mémoire ne lui sert pas à se souvenir de la solution, elle lui sert à la dépasser.</w:t>
      </w:r>
    </w:p>
    <w:p>
      <w:pPr>
        <w:pStyle w:val="Heading3"/>
      </w:pPr>
      <w:r>
        <w:t>La branche *homo silicus*</w:t>
      </w:r>
    </w:p>
    <w:p>
      <w:r>
        <w:t>C'est ici que le résultat cesse d'être confortable, et qu'il devient intéressant.</w:t>
      </w:r>
    </w:p>
    <w:p>
      <w:r>
        <w:t xml:space="preserve">L'adaptation observée ne cohabite pas avec un biais de décision : </w:t>
      </w:r>
      <w:r>
        <w:rPr>
          <w:b/>
        </w:rPr>
        <w:t>elle le produit</w:t>
      </w:r>
      <w:r>
        <w:t>. Sur l'ensemble d'information où l'équilibre exige de bluffer une fois sur trois, l'agent privé de mémoire joue des fréquences intermédiaires, proches de la valeur théorique. Dès qu'une note existe, il s'échoue sur les bornes 0 et 1 plus d'une série sur deux, et sa distance à la fréquence d'équilibre quadruple. Le contrôle interne exclut toute autre explication : la première série d'une exécution à mémoire, jouée avec un emplacement présent mais vide, ne présente pas le phénomène.</w:t>
      </w:r>
    </w:p>
    <w:p>
      <w:r>
        <w:t xml:space="preserve">Le mécanisme est identifié, et il est le même que celui qui produit le succès. Ce qui rend la mémoire auto-écrite supérieure à la réinjection d'historique (§3.4), c'est qu'elle contraint l'agent à </w:t>
      </w:r>
      <w:r>
        <w:rPr>
          <w:b/>
        </w:rPr>
        <w:t>formuler une règle</w:t>
      </w:r>
      <w:r>
        <w:t xml:space="preserve"> — et c'est en formulant une règle qu'il achève l'induction là où l'historique brut l'abandonne à quelques pour cent de l'optimum. Mais une règle écrite en langue naturelle est déterministe. Les quatre-vingt-dix notes de la campagne le montrent sans exception : zéro pourcentage, zéro fraction, zéro proportion en toutes lettres, contre trois cent cinquante-huit quantificateurs non chiffrés. L'agent </w:t>
      </w:r>
      <w:r>
        <w:rPr>
          <w:i/>
        </w:rPr>
        <w:t>détecte</w:t>
      </w:r>
      <w:r>
        <w:t xml:space="preserve"> que l'adversaire à l'équilibre est stochastique — son vocabulaire passe de 100 % de quantificateurs catégoriques face aux adversaires déterministes à 17 % face à lui — mais il n'a aucun moyen d'écrire une fréquence. Il écrit « éviter d'engager avec Tor » là où l'optimum demande de le faire une fois sur trois.</w:t>
      </w:r>
    </w:p>
    <w:p>
      <w:r>
        <w:rPr>
          <w:b/>
        </w:rPr>
        <w:t>Le canal qui porte l'adaptation ne sait pas porter une fréquence.</w:t>
      </w:r>
      <w:r>
        <w:t xml:space="preserve"> L'adaptation et le biais ne sont donc pas deux phénomènes qui coexistent : c'est le même mécanisme, observé sur deux tâches qui ne demandent pas la même chose. Contre un adversaire à faille, où l'optimum est pur, formuler une règle est exactement ce qu'il faut faire. Contre un adversaire à l'équilibre, où l'optimum est mixte, c'est exactement ce qu'il ne faut pas faire — et l'agent le fait quand même, parce que c'est la seule chose que sa mémoire sache faire.</w:t>
      </w:r>
    </w:p>
    <w:p>
      <w:r>
        <w:t>On ne peut donc pas assimiler cette adaptation à une rationalité économique au sens strict. L'agent optimise, et il optimise remarquablement bien dans un espace de stratégies pures. Mais l'espace où il optimise n'est pas celui que la théorie des jeux à information imparfaite lui assigne, et il s'en éloigne au moment même où il exploite le mieux.</w:t>
      </w:r>
    </w:p>
    <w:p>
      <w:pPr>
        <w:pStyle w:val="Heading3"/>
      </w:pPr>
      <w:r>
        <w:t>Ce que le dispositif apporte</w:t>
      </w:r>
    </w:p>
    <w:p>
      <w:r>
        <w:t xml:space="preserve">Un travail qui n'aurait mesuré que la performance aurait observé un agent qui joue de mieux en mieux, et conclu à une rationalité accrue. La séparation des trois dimensions — stratégie exploitative, stratégie d'équilibre, biais de décision — que la littérature recensée en §1.5.4 confond régulièrement, est ce qui permet d'observer les deux mouvements à la fois : la politique se rapproche de la meilleure réponse </w:t>
      </w:r>
      <w:r>
        <w:rPr>
          <w:i/>
        </w:rPr>
        <w:t>et</w:t>
      </w:r>
      <w:r>
        <w:t xml:space="preserve"> s'éloigne de l'équilibre, et le second mouvement est la contrepartie du premier.</w:t>
      </w:r>
    </w:p>
    <w:p>
      <w:r>
        <w:t>Trois résultats méthodologiques accompagnent ces conclusions, et méritent d'être retenus indépendamment d'elles. La redondance des deux instruments à adversaire fixé (§3.1), qui invalide une figure prévue au plan d'analyse. L'invalidité de la mesure automatique d'incohérence telle qu'elle était pré-enregistrée (§3.6.1), dont le taux artefactuel de 47,8 % tombait à un point du chiffre attendu par la littérature. Et le fait, établi par un audit conduit avant la campagne (§2.4), que les défauts les plus dangereux d'un tel dispositif ne se logent ni dans son code ni dans ses journaux, mais à sa frontière avec l'outillage tiers qu'il pilote.</w:t>
      </w:r>
    </w:p>
    <w:p>
      <w:r>
        <w:t>Les limites de ce travail — trois réplications, un seul modèle, une seule tâche, un horizon de dix séries, un codage manuel non conduit, un contrôle négatif absent en condition de réinjection d'historique — sont reprises au chapitre suivant.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