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64"/>
      </w:pPr>
      <w:r>
        <w:rPr>
          <w:rFonts w:ascii="Calibri" w:cs="Calibri" w:eastAsia="Calibri" w:hAnsi="Calibri"/>
          <w:b/>
          <w:bCs/>
          <w:color w:val="1F4E79"/>
          <w:sz w:val="30"/>
          <w:szCs w:val="30"/>
        </w:rPr>
        <w:t xml:space="preserve">AI Cloud Peer Monitor: Q2 2026</w:t>
      </w:r>
    </w:p>
    <w:p>
      <w:pPr>
        <w:spacing w:after="200" w:line="264"/>
      </w:pPr>
      <w:r>
        <w:rPr>
          <w:rFonts w:ascii="Calibri" w:cs="Calibri" w:eastAsia="Calibri" w:hAnsi="Calibri"/>
          <w:sz w:val="18"/>
          <w:szCs w:val="18"/>
        </w:rPr>
        <w:t xml:space="preserve">Prepared by Vidhi Parekh | Sources: CoreWeave Q2 2026 earnings release, Nebius Q2 2026 shareholder letter (SEC Form 6-K)</w:t>
      </w:r>
    </w:p>
    <w:p>
      <w:pPr>
        <w:spacing w:after="100" w:line="264"/>
      </w:pPr>
      <w:r>
        <w:rPr>
          <w:rFonts w:ascii="Calibri" w:cs="Calibri" w:eastAsia="Calibri" w:hAnsi="Calibri"/>
          <w:b/>
          <w:bCs/>
          <w:color w:val="1F4E79"/>
          <w:sz w:val="24"/>
          <w:szCs w:val="24"/>
        </w:rPr>
        <w:t xml:space="preserve">Bottom line</w:t>
      </w:r>
    </w:p>
    <w:p>
      <w:pPr>
        <w:spacing w:after="100" w:line="264"/>
      </w:pPr>
      <w:r>
        <w:rPr>
          <w:rFonts w:ascii="Calibri" w:cs="Calibri" w:eastAsia="Calibri" w:hAnsi="Calibri"/>
          <w:sz w:val="21"/>
          <w:szCs w:val="21"/>
        </w:rPr>
        <w:t xml:space="preserve">Demand for GPU cloud capacity is still outrunning supply. Both public peers more than doubled revenue year over year while spending 2.5x to 10x quarterly revenue on capex. Investors are rewarding contracted demand (backlog, ARR, prepayments) and power secured, and watching how the build-out is financed.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4E79"/>
          </w:tcPr>
          <w:p>
            <w:r>
              <w:rPr>
                <w:rFonts w:ascii="Calibri" w:cs="Calibri" w:eastAsia="Calibri" w:hAnsi="Calibri"/>
                <w:b/>
                <w:bCs/>
                <w:color w:val="FFFFFF"/>
                <w:sz w:val="19"/>
                <w:szCs w:val="19"/>
              </w:rPr>
              <w:t xml:space="preserve">Q2 2026 (USD)</w:t>
            </w:r>
          </w:p>
        </w:tc>
        <w:tc>
          <w:tcPr>
            <w:tcW w:type="dxa" w:w="3000"/>
            <w:shd w:fill="1F4E79"/>
          </w:tcPr>
          <w:p>
            <w:r>
              <w:rPr>
                <w:rFonts w:ascii="Calibri" w:cs="Calibri" w:eastAsia="Calibri" w:hAnsi="Calibri"/>
                <w:b/>
                <w:bCs/>
                <w:color w:val="FFFFFF"/>
                <w:sz w:val="19"/>
                <w:szCs w:val="19"/>
              </w:rPr>
              <w:t xml:space="preserve">CoreWeave</w:t>
            </w:r>
          </w:p>
        </w:tc>
        <w:tc>
          <w:tcPr>
            <w:tcW w:type="dxa" w:w="3000"/>
            <w:shd w:fill="1F4E79"/>
          </w:tcPr>
          <w:p>
            <w:r>
              <w:rPr>
                <w:rFonts w:ascii="Calibri" w:cs="Calibri" w:eastAsia="Calibri" w:hAnsi="Calibri"/>
                <w:b/>
                <w:bCs/>
                <w:color w:val="FFFFFF"/>
                <w:sz w:val="19"/>
                <w:szCs w:val="19"/>
              </w:rPr>
              <w:t xml:space="preserve">Nebius</w:t>
            </w:r>
          </w:p>
        </w:tc>
      </w:tr>
      <w:tr>
        <w:tc>
          <w:tcPr>
            <w:tcW w:type="dxa" w:w="3000"/>
          </w:tcPr>
          <w:p>
            <w:r>
              <w:rPr>
                <w:rFonts w:ascii="Calibri" w:cs="Calibri" w:eastAsia="Calibri" w:hAnsi="Calibri"/>
                <w:sz w:val="19"/>
                <w:szCs w:val="19"/>
              </w:rPr>
              <w:t xml:space="preserve">Revenue</w:t>
            </w:r>
          </w:p>
        </w:tc>
        <w:tc>
          <w:tcPr>
            <w:tcW w:type="dxa" w:w="3000"/>
          </w:tcPr>
          <w:p>
            <w:r>
              <w:rPr>
                <w:rFonts w:ascii="Calibri" w:cs="Calibri" w:eastAsia="Calibri" w:hAnsi="Calibri"/>
                <w:sz w:val="19"/>
                <w:szCs w:val="19"/>
              </w:rPr>
              <w:t xml:space="preserve">$2.58B</w:t>
            </w:r>
          </w:p>
        </w:tc>
        <w:tc>
          <w:tcPr>
            <w:tcW w:type="dxa" w:w="3000"/>
          </w:tcPr>
          <w:p>
            <w:r>
              <w:rPr>
                <w:rFonts w:ascii="Calibri" w:cs="Calibri" w:eastAsia="Calibri" w:hAnsi="Calibri"/>
                <w:sz w:val="19"/>
                <w:szCs w:val="19"/>
              </w:rPr>
              <w:t xml:space="preserve">$582M</w:t>
            </w:r>
          </w:p>
        </w:tc>
      </w:tr>
      <w:tr>
        <w:tc>
          <w:tcPr>
            <w:tcW w:type="dxa" w:w="3000"/>
          </w:tcPr>
          <w:p>
            <w:r>
              <w:rPr>
                <w:rFonts w:ascii="Calibri" w:cs="Calibri" w:eastAsia="Calibri" w:hAnsi="Calibri"/>
                <w:sz w:val="19"/>
                <w:szCs w:val="19"/>
              </w:rPr>
              <w:t xml:space="preserve">YoY growth</w:t>
            </w:r>
          </w:p>
        </w:tc>
        <w:tc>
          <w:tcPr>
            <w:tcW w:type="dxa" w:w="3000"/>
          </w:tcPr>
          <w:p>
            <w:r>
              <w:rPr>
                <w:rFonts w:ascii="Calibri" w:cs="Calibri" w:eastAsia="Calibri" w:hAnsi="Calibri"/>
                <w:sz w:val="19"/>
                <w:szCs w:val="19"/>
              </w:rPr>
              <w:t xml:space="preserve">+112%</w:t>
            </w:r>
          </w:p>
        </w:tc>
        <w:tc>
          <w:tcPr>
            <w:tcW w:type="dxa" w:w="3000"/>
          </w:tcPr>
          <w:p>
            <w:r>
              <w:rPr>
                <w:rFonts w:ascii="Calibri" w:cs="Calibri" w:eastAsia="Calibri" w:hAnsi="Calibri"/>
                <w:sz w:val="19"/>
                <w:szCs w:val="19"/>
              </w:rPr>
              <w:t xml:space="preserve">+454%</w:t>
            </w:r>
          </w:p>
        </w:tc>
      </w:tr>
      <w:tr>
        <w:tc>
          <w:tcPr>
            <w:tcW w:type="dxa" w:w="3000"/>
          </w:tcPr>
          <w:p>
            <w:r>
              <w:rPr>
                <w:rFonts w:ascii="Calibri" w:cs="Calibri" w:eastAsia="Calibri" w:hAnsi="Calibri"/>
                <w:sz w:val="19"/>
                <w:szCs w:val="19"/>
              </w:rPr>
              <w:t xml:space="preserve">Adjusted EBITDA margin</w:t>
            </w:r>
          </w:p>
        </w:tc>
        <w:tc>
          <w:tcPr>
            <w:tcW w:type="dxa" w:w="3000"/>
          </w:tcPr>
          <w:p>
            <w:r>
              <w:rPr>
                <w:rFonts w:ascii="Calibri" w:cs="Calibri" w:eastAsia="Calibri" w:hAnsi="Calibri"/>
                <w:sz w:val="19"/>
                <w:szCs w:val="19"/>
              </w:rPr>
              <w:t xml:space="preserve">59%</w:t>
            </w:r>
          </w:p>
        </w:tc>
        <w:tc>
          <w:tcPr>
            <w:tcW w:type="dxa" w:w="3000"/>
          </w:tcPr>
          <w:p>
            <w:r>
              <w:rPr>
                <w:rFonts w:ascii="Calibri" w:cs="Calibri" w:eastAsia="Calibri" w:hAnsi="Calibri"/>
                <w:sz w:val="19"/>
                <w:szCs w:val="19"/>
              </w:rPr>
              <w:t xml:space="preserve">41%</w:t>
            </w:r>
          </w:p>
        </w:tc>
      </w:tr>
      <w:tr>
        <w:tc>
          <w:tcPr>
            <w:tcW w:type="dxa" w:w="3000"/>
          </w:tcPr>
          <w:p>
            <w:r>
              <w:rPr>
                <w:rFonts w:ascii="Calibri" w:cs="Calibri" w:eastAsia="Calibri" w:hAnsi="Calibri"/>
                <w:sz w:val="19"/>
                <w:szCs w:val="19"/>
              </w:rPr>
              <w:t xml:space="preserve">Capex</w:t>
            </w:r>
          </w:p>
        </w:tc>
        <w:tc>
          <w:tcPr>
            <w:tcW w:type="dxa" w:w="3000"/>
          </w:tcPr>
          <w:p>
            <w:r>
              <w:rPr>
                <w:rFonts w:ascii="Calibri" w:cs="Calibri" w:eastAsia="Calibri" w:hAnsi="Calibri"/>
                <w:sz w:val="19"/>
                <w:szCs w:val="19"/>
              </w:rPr>
              <w:t xml:space="preserve">$6.4B</w:t>
            </w:r>
          </w:p>
        </w:tc>
        <w:tc>
          <w:tcPr>
            <w:tcW w:type="dxa" w:w="3000"/>
          </w:tcPr>
          <w:p>
            <w:r>
              <w:rPr>
                <w:rFonts w:ascii="Calibri" w:cs="Calibri" w:eastAsia="Calibri" w:hAnsi="Calibri"/>
                <w:sz w:val="19"/>
                <w:szCs w:val="19"/>
              </w:rPr>
              <w:t xml:space="preserve">$5.7B</w:t>
            </w:r>
          </w:p>
        </w:tc>
      </w:tr>
      <w:tr>
        <w:tc>
          <w:tcPr>
            <w:tcW w:type="dxa" w:w="3000"/>
          </w:tcPr>
          <w:p>
            <w:r>
              <w:rPr>
                <w:rFonts w:ascii="Calibri" w:cs="Calibri" w:eastAsia="Calibri" w:hAnsi="Calibri"/>
                <w:sz w:val="19"/>
                <w:szCs w:val="19"/>
              </w:rPr>
              <w:t xml:space="preserve">Capex / revenue</w:t>
            </w:r>
          </w:p>
        </w:tc>
        <w:tc>
          <w:tcPr>
            <w:tcW w:type="dxa" w:w="3000"/>
          </w:tcPr>
          <w:p>
            <w:r>
              <w:rPr>
                <w:rFonts w:ascii="Calibri" w:cs="Calibri" w:eastAsia="Calibri" w:hAnsi="Calibri"/>
                <w:sz w:val="19"/>
                <w:szCs w:val="19"/>
              </w:rPr>
              <w:t xml:space="preserve">2.5x</w:t>
            </w:r>
          </w:p>
        </w:tc>
        <w:tc>
          <w:tcPr>
            <w:tcW w:type="dxa" w:w="3000"/>
          </w:tcPr>
          <w:p>
            <w:r>
              <w:rPr>
                <w:rFonts w:ascii="Calibri" w:cs="Calibri" w:eastAsia="Calibri" w:hAnsi="Calibri"/>
                <w:sz w:val="19"/>
                <w:szCs w:val="19"/>
              </w:rPr>
              <w:t xml:space="preserve">9.8x</w:t>
            </w:r>
          </w:p>
        </w:tc>
      </w:tr>
      <w:tr>
        <w:tc>
          <w:tcPr>
            <w:tcW w:type="dxa" w:w="3000"/>
          </w:tcPr>
          <w:p>
            <w:r>
              <w:rPr>
                <w:rFonts w:ascii="Calibri" w:cs="Calibri" w:eastAsia="Calibri" w:hAnsi="Calibri"/>
                <w:sz w:val="19"/>
                <w:szCs w:val="19"/>
              </w:rPr>
              <w:t xml:space="preserve">Contracted demand</w:t>
            </w:r>
          </w:p>
        </w:tc>
        <w:tc>
          <w:tcPr>
            <w:tcW w:type="dxa" w:w="3000"/>
          </w:tcPr>
          <w:p>
            <w:r>
              <w:rPr>
                <w:rFonts w:ascii="Calibri" w:cs="Calibri" w:eastAsia="Calibri" w:hAnsi="Calibri"/>
                <w:sz w:val="19"/>
                <w:szCs w:val="19"/>
              </w:rPr>
              <w:t xml:space="preserve">~$104B backlog</w:t>
            </w:r>
          </w:p>
        </w:tc>
        <w:tc>
          <w:tcPr>
            <w:tcW w:type="dxa" w:w="3000"/>
          </w:tcPr>
          <w:p>
            <w:r>
              <w:rPr>
                <w:rFonts w:ascii="Calibri" w:cs="Calibri" w:eastAsia="Calibri" w:hAnsi="Calibri"/>
                <w:sz w:val="19"/>
                <w:szCs w:val="19"/>
              </w:rPr>
              <w:t xml:space="preserve">$3.0B ARR</w:t>
            </w:r>
          </w:p>
        </w:tc>
      </w:tr>
      <w:tr>
        <w:tc>
          <w:tcPr>
            <w:tcW w:type="dxa" w:w="3000"/>
          </w:tcPr>
          <w:p>
            <w:r>
              <w:rPr>
                <w:rFonts w:ascii="Calibri" w:cs="Calibri" w:eastAsia="Calibri" w:hAnsi="Calibri"/>
                <w:sz w:val="19"/>
                <w:szCs w:val="19"/>
              </w:rPr>
              <w:t xml:space="preserve">Power</w:t>
            </w:r>
          </w:p>
        </w:tc>
        <w:tc>
          <w:tcPr>
            <w:tcW w:type="dxa" w:w="3000"/>
          </w:tcPr>
          <w:p>
            <w:r>
              <w:rPr>
                <w:rFonts w:ascii="Calibri" w:cs="Calibri" w:eastAsia="Calibri" w:hAnsi="Calibri"/>
                <w:sz w:val="19"/>
                <w:szCs w:val="19"/>
              </w:rPr>
              <w:t xml:space="preserve">1.5 GW active, ~3.7 GW contracted</w:t>
            </w:r>
          </w:p>
        </w:tc>
        <w:tc>
          <w:tcPr>
            <w:tcW w:type="dxa" w:w="3000"/>
          </w:tcPr>
          <w:p>
            <w:r>
              <w:rPr>
                <w:rFonts w:ascii="Calibri" w:cs="Calibri" w:eastAsia="Calibri" w:hAnsi="Calibri"/>
                <w:sz w:val="19"/>
                <w:szCs w:val="19"/>
              </w:rPr>
              <w:t xml:space="preserve">Target 5 GW contracted by YE 2026</w:t>
            </w:r>
          </w:p>
        </w:tc>
      </w:tr>
    </w:tbl>
    <w:p>
      <w:pPr>
        <w:spacing w:after="120" w:line="264"/>
      </w:pPr>
      <w:r>
        <w:rPr>
          <w:rFonts w:ascii="Calibri" w:cs="Calibri" w:eastAsia="Calibri" w:hAnsi="Calibri"/>
          <w:sz w:val="21"/>
          <w:szCs w:val="21"/>
        </w:rPr>
        <w:t xml:space="preserve"/>
      </w:r>
    </w:p>
    <w:p>
      <w:pPr>
        <w:spacing w:after="100" w:line="264"/>
      </w:pPr>
      <w:r>
        <w:rPr>
          <w:rFonts w:ascii="Calibri" w:cs="Calibri" w:eastAsia="Calibri" w:hAnsi="Calibri"/>
          <w:b/>
          <w:bCs/>
          <w:color w:val="1F4E79"/>
          <w:sz w:val="24"/>
          <w:szCs w:val="24"/>
        </w:rPr>
        <w:t xml:space="preserve">Key themes for investor conversations</w:t>
      </w:r>
    </w:p>
    <w:p>
      <w:pPr>
        <w:pStyle w:val="ListParagraph"/>
        <w:numPr>
          <w:ilvl w:val="0"/>
          <w:numId w:val="1"/>
        </w:numPr>
        <w:spacing w:after="60" w:line="264"/>
      </w:pPr>
      <w:r>
        <w:rPr>
          <w:rFonts w:ascii="Calibri" w:cs="Calibri" w:eastAsia="Calibri" w:hAnsi="Calibri"/>
          <w:b/>
          <w:bCs/>
          <w:sz w:val="21"/>
          <w:szCs w:val="21"/>
        </w:rPr>
        <w:t xml:space="preserve">Backlog is the headline metric. </w:t>
      </w:r>
      <w:r>
        <w:rPr>
          <w:rFonts w:ascii="Calibri" w:cs="Calibri" w:eastAsia="Calibri" w:hAnsi="Calibri"/>
          <w:sz w:val="21"/>
          <w:szCs w:val="21"/>
        </w:rPr>
        <w:t xml:space="preserve">CoreWeave's ~$104B backlog excludes more than $25B in new commitments signed early in Q3. Expect investors to ask Lambda for comparable visibility into contracted revenue.</w:t>
      </w:r>
    </w:p>
    <w:p>
      <w:pPr>
        <w:pStyle w:val="ListParagraph"/>
        <w:numPr>
          <w:ilvl w:val="0"/>
          <w:numId w:val="1"/>
        </w:numPr>
        <w:spacing w:after="60" w:line="264"/>
      </w:pPr>
      <w:r>
        <w:rPr>
          <w:rFonts w:ascii="Calibri" w:cs="Calibri" w:eastAsia="Calibri" w:hAnsi="Calibri"/>
          <w:b/>
          <w:bCs/>
          <w:sz w:val="21"/>
          <w:szCs w:val="21"/>
        </w:rPr>
        <w:t xml:space="preserve">Profitability gap below EBITDA. </w:t>
      </w:r>
      <w:r>
        <w:rPr>
          <w:rFonts w:ascii="Calibri" w:cs="Calibri" w:eastAsia="Calibri" w:hAnsi="Calibri"/>
          <w:sz w:val="21"/>
          <w:szCs w:val="21"/>
        </w:rPr>
        <w:t xml:space="preserve">CoreWeave posts a 59% adjusted EBITDA margin but a 5% adjusted operating margin and a net loss of $626M, driven by depreciation and interest. Margin bridges will be a recurring question.</w:t>
      </w:r>
    </w:p>
    <w:p>
      <w:pPr>
        <w:pStyle w:val="ListParagraph"/>
        <w:numPr>
          <w:ilvl w:val="0"/>
          <w:numId w:val="1"/>
        </w:numPr>
        <w:spacing w:after="60" w:line="264"/>
      </w:pPr>
      <w:r>
        <w:rPr>
          <w:rFonts w:ascii="Calibri" w:cs="Calibri" w:eastAsia="Calibri" w:hAnsi="Calibri"/>
          <w:b/>
          <w:bCs/>
          <w:sz w:val="21"/>
          <w:szCs w:val="21"/>
        </w:rPr>
        <w:t xml:space="preserve">Power is the new constraint. </w:t>
      </w:r>
      <w:r>
        <w:rPr>
          <w:rFonts w:ascii="Calibri" w:cs="Calibri" w:eastAsia="Calibri" w:hAnsi="Calibri"/>
          <w:sz w:val="21"/>
          <w:szCs w:val="21"/>
        </w:rPr>
        <w:t xml:space="preserve">Both peers now report gigawatts contracted. Power secured is becoming a proxy for future revenue capacity.</w:t>
      </w:r>
    </w:p>
    <w:p>
      <w:pPr>
        <w:pStyle w:val="ListParagraph"/>
        <w:numPr>
          <w:ilvl w:val="0"/>
          <w:numId w:val="1"/>
        </w:numPr>
        <w:spacing w:after="60" w:line="264"/>
      </w:pPr>
      <w:r>
        <w:rPr>
          <w:rFonts w:ascii="Calibri" w:cs="Calibri" w:eastAsia="Calibri" w:hAnsi="Calibri"/>
          <w:b/>
          <w:bCs/>
          <w:sz w:val="21"/>
          <w:szCs w:val="21"/>
        </w:rPr>
        <w:t xml:space="preserve">Financing the build-out. </w:t>
      </w:r>
      <w:r>
        <w:rPr>
          <w:rFonts w:ascii="Calibri" w:cs="Calibri" w:eastAsia="Calibri" w:hAnsi="Calibri"/>
          <w:sz w:val="21"/>
          <w:szCs w:val="21"/>
        </w:rPr>
        <w:t xml:space="preserve">Nebius expects more than $9B in customer prepayments in 2026, a lower-cost way to fund capex than debt. Funding mix will matter in IPO positioning.</w:t>
      </w:r>
    </w:p>
    <w:p>
      <w:pPr>
        <w:spacing w:after="100" w:line="264"/>
      </w:pPr>
      <w:r>
        <w:rPr>
          <w:rFonts w:ascii="Calibri" w:cs="Calibri" w:eastAsia="Calibri" w:hAnsi="Calibri"/>
          <w:b/>
          <w:bCs/>
          <w:color w:val="1F4E79"/>
          <w:sz w:val="24"/>
          <w:szCs w:val="24"/>
        </w:rPr>
        <w:t xml:space="preserve">Implications for Lambda's investor materials</w:t>
      </w:r>
    </w:p>
    <w:p>
      <w:pPr>
        <w:pStyle w:val="ListParagraph"/>
        <w:numPr>
          <w:ilvl w:val="0"/>
          <w:numId w:val="1"/>
        </w:numPr>
        <w:spacing w:after="60" w:line="264"/>
      </w:pPr>
      <w:r>
        <w:rPr>
          <w:rFonts w:ascii="Calibri" w:cs="Calibri" w:eastAsia="Calibri" w:hAnsi="Calibri"/>
          <w:b/>
          <w:bCs/>
          <w:sz w:val="21"/>
          <w:szCs w:val="21"/>
        </w:rPr>
        <w:t xml:space="preserve">Lead with contracted demand </w:t>
      </w:r>
      <w:r>
        <w:rPr>
          <w:rFonts w:ascii="Calibri" w:cs="Calibri" w:eastAsia="Calibri" w:hAnsi="Calibri"/>
          <w:sz w:val="21"/>
          <w:szCs w:val="21"/>
        </w:rPr>
        <w:t xml:space="preserve">and power secured, in the same units peers use, so investors can compare directly.</w:t>
      </w:r>
    </w:p>
    <w:p>
      <w:pPr>
        <w:pStyle w:val="ListParagraph"/>
        <w:numPr>
          <w:ilvl w:val="0"/>
          <w:numId w:val="1"/>
        </w:numPr>
        <w:spacing w:after="60" w:line="264"/>
      </w:pPr>
      <w:r>
        <w:rPr>
          <w:rFonts w:ascii="Calibri" w:cs="Calibri" w:eastAsia="Calibri" w:hAnsi="Calibri"/>
          <w:b/>
          <w:bCs/>
          <w:sz w:val="21"/>
          <w:szCs w:val="21"/>
        </w:rPr>
        <w:t xml:space="preserve">Prepare a margin bridge </w:t>
      </w:r>
      <w:r>
        <w:rPr>
          <w:rFonts w:ascii="Calibri" w:cs="Calibri" w:eastAsia="Calibri" w:hAnsi="Calibri"/>
          <w:sz w:val="21"/>
          <w:szCs w:val="21"/>
        </w:rPr>
        <w:t xml:space="preserve">from adjusted EBITDA to operating income to get ahead of the depreciation question.</w:t>
      </w:r>
    </w:p>
    <w:p>
      <w:pPr>
        <w:pStyle w:val="ListParagraph"/>
        <w:numPr>
          <w:ilvl w:val="0"/>
          <w:numId w:val="1"/>
        </w:numPr>
        <w:spacing w:after="60" w:line="264"/>
      </w:pPr>
      <w:r>
        <w:rPr>
          <w:rFonts w:ascii="Calibri" w:cs="Calibri" w:eastAsia="Calibri" w:hAnsi="Calibri"/>
          <w:b/>
          <w:bCs/>
          <w:sz w:val="21"/>
          <w:szCs w:val="21"/>
        </w:rPr>
        <w:t xml:space="preserve">Track peer disclosures quarterly </w:t>
      </w:r>
      <w:r>
        <w:rPr>
          <w:rFonts w:ascii="Calibri" w:cs="Calibri" w:eastAsia="Calibri" w:hAnsi="Calibri"/>
          <w:sz w:val="21"/>
          <w:szCs w:val="21"/>
        </w:rPr>
        <w:t xml:space="preserve">in a standing comps sheet (attached workbook) to keep Q&amp;A materials current.</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2026-10-16T16:24:31.547Z</dcterms:created>
  <dcterms:modified xsi:type="dcterms:W3CDTF">2026-10-16T16:24:31.556Z</dcterms:modified>
</cp:coreProperties>
</file>

<file path=docProps/custom.xml><?xml version="1.0" encoding="utf-8"?>
<Properties xmlns="http://schemas.openxmlformats.org/officeDocument/2006/custom-properties" xmlns:vt="http://schemas.openxmlformats.org/officeDocument/2006/docPropsVTypes"/>
</file>