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Founder Roadmap: AI-Assisted Systematic Review SaaS</w:t>
      </w:r>
    </w:p>
    <w:p w:rsidR="00000000" w:rsidDel="00000000" w:rsidP="00000000" w:rsidRDefault="00000000" w:rsidRPr="00000000" w14:paraId="00000002">
      <w:pPr>
        <w:pStyle w:val="Subtitle"/>
        <w:rPr/>
      </w:pPr>
      <w:sdt>
        <w:sdtPr>
          <w:id w:val="1406473686"/>
          <w:tag w:val="goog_rdk_0"/>
        </w:sdtPr>
        <w:sdtContent>
          <w:r w:rsidDel="00000000" w:rsidR="00000000" w:rsidRPr="00000000">
            <w:rPr>
              <w:rFonts w:ascii="Arial Unicode MS" w:cs="Arial Unicode MS" w:eastAsia="Arial Unicode MS" w:hAnsi="Arial Unicode MS"/>
              <w:rtl w:val="0"/>
            </w:rPr>
            <w:t xml:space="preserve">India → Global: Publication, Incorporation, and Commercialization Strategy</w:t>
          </w:r>
        </w:sdtContent>
      </w:sdt>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Prepared for Vidhi an</w:t>
      </w:r>
      <w:r w:rsidDel="00000000" w:rsidR="00000000" w:rsidRPr="00000000">
        <w:rPr>
          <w:rFonts w:ascii="Play" w:cs="Play" w:eastAsia="Play" w:hAnsi="Play"/>
          <w:rtl w:val="0"/>
        </w:rPr>
        <w:t xml:space="preserve">d Jay</w:t>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June 2026</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Table of Contents</w:t>
      </w:r>
    </w:p>
    <w:sdt>
      <w:sdtPr>
        <w:id w:val="-72596101"/>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ms99st947y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Reading Guide</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v4sxpdk2hi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1 — Publication Strategy</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5bf3jp9pv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Publish Before or After Incorporation?</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i5j0iv3o5n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What Kind of First Paper</w:t>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3d4yo3n9i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Recommended Study Design</w:t>
              <w:tab/>
              <w:t xml:space="preserve">1</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xd2jpnabp0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Sample Size</w:t>
              <w:tab/>
              <w:t xml:space="preserve">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1kxc8nsqga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Evaluation Metrics</w:t>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5xjdllp7jk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Journal Recommendations</w:t>
              <w:tab/>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9yihty79ut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Preprint Strategy</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uh23prswdq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Authorship</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wxogp6khkx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Citing the Software Paper in Downstream Research</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6x6c48e6im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 — Company Formation (India-Specific)</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nsge874oa8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Incorporate Before Launch — Yes, With Caveats</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u1jgklnp52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Recommended Structure</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ghmbxu4fae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Founders’ Agreement — Sign Before Incorporation</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s3kwxp3rzi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Co-Founder Equity Considerations</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5d3mx3ec95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Vesting Recommendations</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f06u2ft65w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Intellectual Property Ownership</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qmw4pz9ps6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 Developer Contracts</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ln1upcyqlk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 Trademark Strategy</w:t>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49d12sc28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 Legal Documents Required Before Launch</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tuddthuyu1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3 — Commercialization Roadmap</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kfxnsjjo3r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Beta Launch Strategy</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x0w0n56w23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Academic User Acquisition</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k4up7ia8j4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University Partnerships</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l76m7tztnn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Pricing Strategy</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4khb7pqkuz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Enterprise Opportunities</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r7hh4f7pl3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Regulatory and Compliance Considerations</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k7qvrmqpq7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Data Privacy Requirements</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cfcbthmwji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 Long-Term SaaS Scaling Roadmap</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31hethql7z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4 — Research and Business Synergy</w:t>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0kwaqxw4kv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Growing Academic Credibility and Commercial Traction Simultaneously</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1yegmgzcfc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Publication Pipeline Where Future Papers Cite the Software Paper</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9k2zoifj09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Converting Academic Adoption into SaaS Growth</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uxv49bxksn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 Positioning Against Existing Tools</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us21wgg1j9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5 — 30-Day Action Plan</w:t>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k4rtnvdfap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1 — Foundations</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13ltdiitu7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2 — Incorporation and Validation Setup</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jmiq4ovh36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3 — Validation Execution Begins, Company Live</w:t>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q9yn2t2qeg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4 — Manuscript Draft, Beta Recruitment, Launch Prep</w:t>
              <w:tab/>
              <w:t xml:space="preserve">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h42otda63h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6 — 12-Month Strategic Roadmap</w:t>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ql6jlwbvnf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Product Roadmap</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9iqu8mknjo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Publication Roadmap</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ctr7rbypqx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 Funding Roadmap</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tw5fwqqw7s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 Team-Building Roadmap</w:t>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la8jcml16y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 Revenue Roadmap (Illustrative)</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r81qxczl4n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Things to Push Back On</w:t>
              <w:tab/>
              <w:t xml:space="preserve">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bosmjb2i03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 Library (All Hyperlinked)</w:t>
              <w:tab/>
              <w:t xml:space="preserve">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tyotcu5g6h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Methodological Standards</w:t>
              <w:tab/>
              <w:t xml:space="preserve">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kz9d780fxn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Precedents (Model Your Paper on These)</w:t>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imleluwj0a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Journals</w:t>
              <w:tab/>
              <w:t xml:space="preserve">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9mbgexn2j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Competitive Landscape</w:t>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nelmo1ja9d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 Incorporation and Law</w:t>
              <w:tab/>
              <w:t xml:space="preserve">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3dwoq6dyyy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Delaware Flip</w:t>
              <w:tab/>
              <w:t xml:space="preserve">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zoq2sxk4ph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Privacy (DPDP, GDPR, HIPAA)</w:t>
              <w:tab/>
              <w:t xml:space="preserve">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xev2fjbkga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Trademark</w:t>
              <w:tab/>
              <w:t xml:space="preserve">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xl505gsqdy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Delaware-Specific (For the Future Flip)</w:t>
              <w:tab/>
              <w:t xml:space="preserve">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timplvjhui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Compliance and Infrastructure</w:t>
              <w:tab/>
              <w:t xml:space="preserve">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fnbibrj9cp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University Tech Transfer (Context — You Are Independent, So Not Required)</w:t>
              <w:tab/>
              <w:t xml:space="preserve">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v8vl4hmtix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Closing Note</w:t>
              <w:tab/>
              <w:t xml:space="preserve">1</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fldChar w:fldCharType="end"/>
          </w:r>
        </w:p>
      </w:sdtContent>
    </w:sdt>
    <w:bookmarkStart w:colFirst="0" w:colLast="0" w:name="bookmark=id.euws8irb54of" w:id="0"/>
    <w:bookmarkEnd w:id="0"/>
    <w:p w:rsidR="00000000" w:rsidDel="00000000" w:rsidP="00000000" w:rsidRDefault="00000000" w:rsidRPr="00000000" w14:paraId="00000043">
      <w:pPr>
        <w:pStyle w:val="Heading1"/>
        <w:rPr/>
      </w:pPr>
      <w:bookmarkStart w:colFirst="0" w:colLast="0" w:name="_heading=h.9ms99st947y0" w:id="1"/>
      <w:bookmarkEnd w:id="1"/>
      <w:r w:rsidDel="00000000" w:rsidR="00000000" w:rsidRPr="00000000">
        <w:rPr>
          <w:rtl w:val="0"/>
        </w:rPr>
        <w:t xml:space="preserve">Reading Guide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is written as advice from four people sitting at a table with you: a methodologist who has reviewed AI extraction validation studies, a startup lawyer who has done India→US flips, a tech-transfer/IP advisor, and a SaaS GTM operator. Where the recommended ordering differs from what you proposed, I flag the disagreement explicitly rather than hide it.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framing points before anything else: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You cannot publish a credible validation paper in 1–2 months if you are also doing everything 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real validation study against human gold standards takes 8–16 weeks of focused work on its own.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protocol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preprint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submission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that timeline is realistic; 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accepted journal paper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This roadmap plans for the realistic version.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Incorporate before launching, but settle co-founder equity in writing 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Reversing this order is the single most common founder mistake — once shares are issued without vesting, retroactively adding it requires unanimous consent and creates tax friction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Cashfree/Promise Legal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92d7dv2opkad" w:id="2"/>
    <w:bookmarkEnd w:id="2"/>
    <w:p w:rsidR="00000000" w:rsidDel="00000000" w:rsidP="00000000" w:rsidRDefault="00000000" w:rsidRPr="00000000" w14:paraId="00000048">
      <w:pPr>
        <w:pStyle w:val="Heading1"/>
        <w:rPr/>
      </w:pPr>
      <w:bookmarkStart w:colFirst="0" w:colLast="0" w:name="_heading=h.9v4sxpdk2hih" w:id="3"/>
      <w:bookmarkEnd w:id="3"/>
      <w:r w:rsidDel="00000000" w:rsidR="00000000" w:rsidRPr="00000000">
        <w:rPr>
          <w:rtl w:val="0"/>
        </w:rPr>
        <w:t xml:space="preserve">Section 1 — Publication Strategy</w:t>
      </w:r>
    </w:p>
    <w:bookmarkStart w:colFirst="0" w:colLast="0" w:name="bookmark=id.a0691v6paaf6" w:id="4"/>
    <w:bookmarkEnd w:id="4"/>
    <w:p w:rsidR="00000000" w:rsidDel="00000000" w:rsidP="00000000" w:rsidRDefault="00000000" w:rsidRPr="00000000" w14:paraId="00000049">
      <w:pPr>
        <w:pStyle w:val="Heading2"/>
        <w:rPr/>
      </w:pPr>
      <w:bookmarkStart w:colFirst="0" w:colLast="0" w:name="_heading=h.j5bf3jp9pvp" w:id="5"/>
      <w:bookmarkEnd w:id="5"/>
      <w:r w:rsidDel="00000000" w:rsidR="00000000" w:rsidRPr="00000000">
        <w:rPr>
          <w:rtl w:val="0"/>
        </w:rPr>
        <w:t xml:space="preserve">1.1 Publish Before or After Incorporation?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Publish the preprint after the founders’ agreement is signed, but ideally before the company is incorporated, and definitely before any paid users.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reasoning:</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peer-reviewed validation paper is your single strongest piece of academic credibility and is far more valuable as a marketing asset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post-launch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than as a hidden file. The paper is not a blocker on launch.</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who is an author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claims you make about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become contractually entangled with the company once it is incorporated. Authorship disputes that surface after the cap table is fixed are ugly. Therefore: lock co-founder identity and contribution in writing first, then write the paper, then incorporate around the same time as preprint deposit, then publish.</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subtle reason to publish (or at least preprint) before charging users: many journals’ policies and ICMJE conflict-of-interest rules require disclosure that the software is commercial. That disclosure is fine and routinely accepted, but going commercial-first and academic-second invites reviewers to read the paper as marketing, which materially lowers acceptance odds.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Practical 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founders’ agreement → preprint on medRxiv → incorporate Pvt. Ltd. → journal submission → beta launch → acceptance.</w:t>
      </w:r>
    </w:p>
    <w:bookmarkStart w:colFirst="0" w:colLast="0" w:name="bookmark=id.3ed66q6c53wc" w:id="6"/>
    <w:bookmarkEnd w:id="6"/>
    <w:p w:rsidR="00000000" w:rsidDel="00000000" w:rsidP="00000000" w:rsidRDefault="00000000" w:rsidRPr="00000000" w14:paraId="0000004F">
      <w:pPr>
        <w:pStyle w:val="Heading2"/>
        <w:rPr/>
      </w:pPr>
      <w:bookmarkStart w:colFirst="0" w:colLast="0" w:name="_heading=h.4i5j0iv3o5nb" w:id="7"/>
      <w:bookmarkEnd w:id="7"/>
      <w:r w:rsidDel="00000000" w:rsidR="00000000" w:rsidRPr="00000000">
        <w:rPr>
          <w:rtl w:val="0"/>
        </w:rPr>
        <w:t xml:space="preserve">1.2 What Kind of First Paper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four candidates. The right answer for your situation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validation + benchmarking study, framed as a software paper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 pure software paper.</w:t>
      </w:r>
    </w:p>
    <w:tbl>
      <w:tblPr>
        <w:tblStyle w:val="Table1"/>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Paper type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Verdict</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Pure software paper (JOSS, BMC Bioinformatics)</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Secondary</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JOSS gives a citable DOI but does not validate scientific performance — it reviews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results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JOSS docs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study (your tool vs human dual-reviewer gold standard)</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what the methodological community now expects; recent comparable papers landed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Cochrane ESM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JMIR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 Open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Methodological paper (novel architecture/prompting framework)</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later</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Higher prestige (e.g.,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JAMIA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Research Synthesis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requires a methodological contribution beyond “we built an extraction tool”.</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Benchmark dataset paper</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later</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Powerful if you release the gold-standard dataset; it positions you as infrastructure, not a vendor.</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Recommended first paper: a software-validation hybrid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paper that describes the tool, places it in the landscape of existing tools, and reports a validation study against a human dual-reviewer gold standard, structured to satisfy reporting standards reviewers will demand.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Existing comparable validation papers to model yours on:</w:t>
      </w:r>
    </w:p>
    <w:p w:rsidR="00000000" w:rsidDel="00000000" w:rsidP="00000000" w:rsidRDefault="00000000" w:rsidRPr="00000000" w14:paraId="000000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López-Pineda et al. (2025) — Llama 3 and ChatGPT-4o mini for title/abstract screening,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Research Synthesis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Cambridge Core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Helms Andersen et al. (2025) — Elicit and ChatGPT vs human reviewers,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Cochrane Evidence Synthesis and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F1=0.92/0.90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Wiley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Konet et al. (2025) — AI-assisted extraction, 9,341 data elements, 91% accuracy, 41 min/study saved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medRxiv</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 et al. (2024) — custom GPT-4 with 88.6% concordance,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 Open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PubMed</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Sun et al. (2024) — collaborative LLMs (GPT-4-turbo + Claude-3-Opus) for living SR, 94% accuracy on concordant responses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PMC</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iyrwlw1jtic5" w:id="8"/>
    <w:bookmarkEnd w:id="8"/>
    <w:p w:rsidR="00000000" w:rsidDel="00000000" w:rsidP="00000000" w:rsidRDefault="00000000" w:rsidRPr="00000000" w14:paraId="00000067">
      <w:pPr>
        <w:pStyle w:val="Heading2"/>
        <w:rPr/>
      </w:pPr>
      <w:bookmarkStart w:colFirst="0" w:colLast="0" w:name="_heading=h.z3d4yo3n9i0" w:id="9"/>
      <w:bookmarkEnd w:id="9"/>
      <w:r w:rsidDel="00000000" w:rsidR="00000000" w:rsidRPr="00000000">
        <w:rPr>
          <w:rtl w:val="0"/>
        </w:rPr>
        <w:t xml:space="preserve">1.3 Recommended Study Design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single most important methodological decision. Get it wrong and reviewers will reject regardless of accuracy numbers.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prospective, blinded comparative validation study against a human dual-reviewer gold standard, ideally a “Study Within a Review” (SWAR)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design the AHRQ Evidence-based Practice Center used in Konet et al.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medRxiv</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Concretely:</w:t>
      </w:r>
    </w:p>
    <w:p w:rsidR="00000000" w:rsidDel="00000000" w:rsidP="00000000" w:rsidRDefault="00000000" w:rsidRPr="00000000" w14:paraId="0000006B">
      <w:pPr>
        <w:numPr>
          <w:ilvl w:val="0"/>
          <w:numId w:val="34"/>
        </w:numPr>
        <w:ind w:left="720" w:hanging="360"/>
        <w:rPr/>
      </w:pPr>
      <w:r w:rsidDel="00000000" w:rsidR="00000000" w:rsidRPr="00000000">
        <w:rPr>
          <w:b w:val="1"/>
          <w:bCs w:val="1"/>
          <w:rtl w:val="0"/>
        </w:rPr>
        <w:t xml:space="preserve">Selection of source reviews.</w:t>
      </w:r>
      <w:r w:rsidDel="00000000" w:rsidR="00000000" w:rsidRPr="00000000">
        <w:rPr>
          <w:rtl w:val="0"/>
        </w:rPr>
        <w:t xml:space="preserve"> 3–6 already-completed Cochrane or Cochrane-style systematic reviews of RCTs where you can obtain (a) the included full-text PDFs and (b) the original investigator-extracted data. Cross-domain (e.g., one cardiology, one oncology, one rehabilitation, one infectious disease) is much stronger than single-domain — it preempts the reviewer comment “this won’t generalize”. Helms Andersen used 3 SRs / 30 articles (</w:t>
      </w:r>
      <w:hyperlink r:id="rId15">
        <w:r w:rsidDel="00000000" w:rsidR="00000000" w:rsidRPr="00000000">
          <w:rPr>
            <w:color w:val="156082"/>
            <w:rtl w:val="0"/>
          </w:rPr>
          <w:t xml:space="preserve">Wiley</w:t>
        </w:r>
      </w:hyperlink>
      <w:r w:rsidDel="00000000" w:rsidR="00000000" w:rsidRPr="00000000">
        <w:rPr>
          <w:rtl w:val="0"/>
        </w:rPr>
        <w:t xml:space="preserve">); Konet used 6 SRs / 63 studies (</w:t>
      </w:r>
      <w:hyperlink r:id="rId16">
        <w:r w:rsidDel="00000000" w:rsidR="00000000" w:rsidRPr="00000000">
          <w:rPr>
            <w:color w:val="156082"/>
            <w:rtl w:val="0"/>
          </w:rPr>
          <w:t xml:space="preserve">medRxiv</w:t>
        </w:r>
      </w:hyperlink>
      <w:r w:rsidDel="00000000" w:rsidR="00000000" w:rsidRPr="00000000">
        <w:rPr>
          <w:rtl w:val="0"/>
        </w:rPr>
        <w:t xml:space="preserve">).</w:t>
      </w:r>
    </w:p>
    <w:p w:rsidR="00000000" w:rsidDel="00000000" w:rsidP="00000000" w:rsidRDefault="00000000" w:rsidRPr="00000000" w14:paraId="0000006C">
      <w:pPr>
        <w:numPr>
          <w:ilvl w:val="0"/>
          <w:numId w:val="34"/>
        </w:numPr>
        <w:ind w:left="720" w:hanging="360"/>
        <w:rPr/>
      </w:pPr>
      <w:r w:rsidDel="00000000" w:rsidR="00000000" w:rsidRPr="00000000">
        <w:rPr>
          <w:b w:val="1"/>
          <w:bCs w:val="1"/>
          <w:rtl w:val="0"/>
        </w:rPr>
        <w:t xml:space="preserve">Gold standard.</w:t>
      </w:r>
      <w:r w:rsidDel="00000000" w:rsidR="00000000" w:rsidRPr="00000000">
        <w:rPr>
          <w:rtl w:val="0"/>
        </w:rPr>
        <w:t xml:space="preserve"> Two independent human extractors with disagreement adjudicated by a third. If you cannot fund two full re-extractions, you can use the </w:t>
      </w:r>
      <w:r w:rsidDel="00000000" w:rsidR="00000000" w:rsidRPr="00000000">
        <w:rPr>
          <w:i w:val="1"/>
          <w:iCs w:val="1"/>
          <w:rtl w:val="0"/>
        </w:rPr>
        <w:t xml:space="preserve">published</w:t>
      </w:r>
      <w:r w:rsidDel="00000000" w:rsidR="00000000" w:rsidRPr="00000000">
        <w:rPr>
          <w:rtl w:val="0"/>
        </w:rPr>
        <w:t xml:space="preserve"> extracted table as the reference, but acknowledge this is a weaker design (your tool can still beat or match it, but the comparator is single-reviewer and the magnitude of any “AI exceeds human” finding is unprovable).</w:t>
      </w:r>
    </w:p>
    <w:p w:rsidR="00000000" w:rsidDel="00000000" w:rsidP="00000000" w:rsidRDefault="00000000" w:rsidRPr="00000000" w14:paraId="0000006D">
      <w:pPr>
        <w:numPr>
          <w:ilvl w:val="0"/>
          <w:numId w:val="34"/>
        </w:numPr>
        <w:ind w:left="720" w:hanging="360"/>
        <w:rPr/>
      </w:pPr>
      <w:r w:rsidDel="00000000" w:rsidR="00000000" w:rsidRPr="00000000">
        <w:rPr>
          <w:b w:val="1"/>
          <w:bCs w:val="1"/>
          <w:rtl w:val="0"/>
        </w:rPr>
        <w:t xml:space="preserve">Comparators.</w:t>
      </w:r>
      <w:r w:rsidDel="00000000" w:rsidR="00000000" w:rsidRPr="00000000">
        <w:rPr>
          <w:rtl w:val="0"/>
        </w:rPr>
        <w:t xml:space="preserve"> Your tool vs (a) human dual-reviewer, ideally also (b) one or two existing tools. </w:t>
      </w:r>
      <w:r w:rsidDel="00000000" w:rsidR="00000000" w:rsidRPr="00000000">
        <w:rPr>
          <w:i w:val="1"/>
          <w:iCs w:val="1"/>
          <w:rtl w:val="0"/>
        </w:rPr>
        <w:t xml:space="preserve">Elicit</w:t>
      </w:r>
      <w:r w:rsidDel="00000000" w:rsidR="00000000" w:rsidRPr="00000000">
        <w:rPr>
          <w:rtl w:val="0"/>
        </w:rPr>
        <w:t xml:space="preserve"> and </w:t>
      </w:r>
      <w:r w:rsidDel="00000000" w:rsidR="00000000" w:rsidRPr="00000000">
        <w:rPr>
          <w:i w:val="1"/>
          <w:iCs w:val="1"/>
          <w:rtl w:val="0"/>
        </w:rPr>
        <w:t xml:space="preserve">vanilla ChatGPT</w:t>
      </w:r>
      <w:r w:rsidDel="00000000" w:rsidR="00000000" w:rsidRPr="00000000">
        <w:rPr>
          <w:rtl w:val="0"/>
        </w:rPr>
        <w:t xml:space="preserve"> are the obvious comparators because the recent literature already validates them (</w:t>
      </w:r>
      <w:hyperlink r:id="rId17">
        <w:r w:rsidDel="00000000" w:rsidR="00000000" w:rsidRPr="00000000">
          <w:rPr>
            <w:color w:val="156082"/>
            <w:rtl w:val="0"/>
          </w:rPr>
          <w:t xml:space="preserve">Wiley</w:t>
        </w:r>
      </w:hyperlink>
      <w:r w:rsidDel="00000000" w:rsidR="00000000" w:rsidRPr="00000000">
        <w:rPr>
          <w:rtl w:val="0"/>
        </w:rPr>
        <w:t xml:space="preserve">). If you can also run </w:t>
      </w:r>
      <w:r w:rsidDel="00000000" w:rsidR="00000000" w:rsidRPr="00000000">
        <w:rPr>
          <w:i w:val="1"/>
          <w:iCs w:val="1"/>
          <w:rtl w:val="0"/>
        </w:rPr>
        <w:t xml:space="preserve">DistillerSR’s AI extraction</w:t>
      </w:r>
      <w:r w:rsidDel="00000000" w:rsidR="00000000" w:rsidRPr="00000000">
        <w:rPr>
          <w:rtl w:val="0"/>
        </w:rPr>
        <w:t xml:space="preserve"> and </w:t>
      </w:r>
      <w:r w:rsidDel="00000000" w:rsidR="00000000" w:rsidRPr="00000000">
        <w:rPr>
          <w:i w:val="1"/>
          <w:iCs w:val="1"/>
          <w:rtl w:val="0"/>
        </w:rPr>
        <w:t xml:space="preserve">Covidence’s AI suggestions</w:t>
      </w:r>
      <w:r w:rsidDel="00000000" w:rsidR="00000000" w:rsidRPr="00000000">
        <w:rPr>
          <w:rtl w:val="0"/>
        </w:rPr>
        <w:t xml:space="preserve">, that is a much more publishable head-to-head, though access is the bottleneck.</w:t>
      </w:r>
    </w:p>
    <w:p w:rsidR="00000000" w:rsidDel="00000000" w:rsidP="00000000" w:rsidRDefault="00000000" w:rsidRPr="00000000" w14:paraId="0000006E">
      <w:pPr>
        <w:numPr>
          <w:ilvl w:val="0"/>
          <w:numId w:val="34"/>
        </w:numPr>
        <w:ind w:left="720" w:hanging="360"/>
        <w:rPr/>
      </w:pPr>
      <w:r w:rsidDel="00000000" w:rsidR="00000000" w:rsidRPr="00000000">
        <w:rPr>
          <w:b w:val="1"/>
          <w:bCs w:val="1"/>
          <w:rtl w:val="0"/>
        </w:rPr>
        <w:t xml:space="preserve">Blinding.</w:t>
      </w:r>
      <w:r w:rsidDel="00000000" w:rsidR="00000000" w:rsidRPr="00000000">
        <w:rPr>
          <w:rtl w:val="0"/>
        </w:rPr>
        <w:t xml:space="preserve"> Adjudicators must be blinded to which output (AI or human) they are assessing. Reviewers will check for this.</w:t>
      </w:r>
    </w:p>
    <w:p w:rsidR="00000000" w:rsidDel="00000000" w:rsidP="00000000" w:rsidRDefault="00000000" w:rsidRPr="00000000" w14:paraId="0000006F">
      <w:pPr>
        <w:numPr>
          <w:ilvl w:val="0"/>
          <w:numId w:val="34"/>
        </w:numPr>
        <w:ind w:left="720" w:hanging="360"/>
        <w:rPr/>
      </w:pPr>
      <w:r w:rsidDel="00000000" w:rsidR="00000000" w:rsidRPr="00000000">
        <w:rPr>
          <w:b w:val="1"/>
          <w:bCs w:val="1"/>
          <w:rtl w:val="0"/>
        </w:rPr>
        <w:t xml:space="preserve">Pre-registration.</w:t>
      </w:r>
      <w:r w:rsidDel="00000000" w:rsidR="00000000" w:rsidRPr="00000000">
        <w:rPr>
          <w:rtl w:val="0"/>
        </w:rPr>
        <w:t xml:space="preserve"> Register the protocol on the </w:t>
      </w:r>
      <w:r w:rsidDel="00000000" w:rsidR="00000000" w:rsidRPr="00000000">
        <w:rPr>
          <w:b w:val="1"/>
          <w:bCs w:val="1"/>
          <w:rtl w:val="0"/>
        </w:rPr>
        <w:t xml:space="preserve">Open Science Framework (OSF)</w:t>
      </w:r>
      <w:r w:rsidDel="00000000" w:rsidR="00000000" w:rsidRPr="00000000">
        <w:rPr>
          <w:rtl w:val="0"/>
        </w:rPr>
        <w:t xml:space="preserve"> before extraction. PROSPERO is for systematic reviews, not validation studies, so use OSF. Pre-registration is essentially required by methodologically serious journals now.</w:t>
      </w:r>
    </w:p>
    <w:p w:rsidR="00000000" w:rsidDel="00000000" w:rsidP="00000000" w:rsidRDefault="00000000" w:rsidRPr="00000000" w14:paraId="00000070">
      <w:pPr>
        <w:numPr>
          <w:ilvl w:val="0"/>
          <w:numId w:val="34"/>
        </w:numPr>
        <w:ind w:left="720" w:hanging="360"/>
        <w:rPr/>
      </w:pPr>
      <w:r w:rsidDel="00000000" w:rsidR="00000000" w:rsidRPr="00000000">
        <w:rPr>
          <w:b w:val="1"/>
          <w:bCs w:val="1"/>
          <w:rtl w:val="0"/>
        </w:rPr>
        <w:t xml:space="preserve">AI Use Disclosure.</w:t>
      </w:r>
      <w:r w:rsidDel="00000000" w:rsidR="00000000" w:rsidRPr="00000000">
        <w:rPr>
          <w:rtl w:val="0"/>
        </w:rPr>
        <w:t xml:space="preserve"> Document the model version, exact prompts, temperature, system prompts, retrieval architecture, and any post-processing. The Cochrane Rapid Reviews Methods Group explicitly requires this for AI use (</w:t>
      </w:r>
      <w:hyperlink r:id="rId18">
        <w:r w:rsidDel="00000000" w:rsidR="00000000" w:rsidRPr="00000000">
          <w:rPr>
            <w:color w:val="156082"/>
            <w:rtl w:val="0"/>
          </w:rPr>
          <w:t xml:space="preserve">PMC</w:t>
        </w:r>
      </w:hyperlink>
      <w:r w:rsidDel="00000000" w:rsidR="00000000" w:rsidRPr="00000000">
        <w:rPr>
          <w:rtl w:val="0"/>
        </w:rPr>
        <w:t xml:space="preserve">).</w:t>
      </w:r>
    </w:p>
    <w:p w:rsidR="00000000" w:rsidDel="00000000" w:rsidP="00000000" w:rsidRDefault="00000000" w:rsidRPr="00000000" w14:paraId="00000071">
      <w:pPr>
        <w:numPr>
          <w:ilvl w:val="0"/>
          <w:numId w:val="34"/>
        </w:numPr>
        <w:ind w:left="720" w:hanging="360"/>
        <w:rPr/>
      </w:pPr>
      <w:r w:rsidDel="00000000" w:rsidR="00000000" w:rsidRPr="00000000">
        <w:rPr>
          <w:b w:val="1"/>
          <w:bCs w:val="1"/>
          <w:rtl w:val="0"/>
        </w:rPr>
        <w:t xml:space="preserve">Reporting standard.</w:t>
      </w:r>
      <w:r w:rsidDel="00000000" w:rsidR="00000000" w:rsidRPr="00000000">
        <w:rPr>
          <w:rtl w:val="0"/>
        </w:rPr>
        <w:t xml:space="preserve"> Follow </w:t>
      </w:r>
      <w:r w:rsidDel="00000000" w:rsidR="00000000" w:rsidRPr="00000000">
        <w:rPr>
          <w:b w:val="1"/>
          <w:bCs w:val="1"/>
          <w:rtl w:val="0"/>
        </w:rPr>
        <w:t xml:space="preserve">TRIPOD+AI</w:t>
      </w:r>
      <w:r w:rsidDel="00000000" w:rsidR="00000000" w:rsidRPr="00000000">
        <w:rPr>
          <w:rtl w:val="0"/>
        </w:rPr>
        <w:t xml:space="preserve"> (</w:t>
      </w:r>
      <w:hyperlink r:id="rId19">
        <w:r w:rsidDel="00000000" w:rsidR="00000000" w:rsidRPr="00000000">
          <w:rPr>
            <w:color w:val="156082"/>
            <w:rtl w:val="0"/>
          </w:rPr>
          <w:t xml:space="preserve">BMJ 2024</w:t>
        </w:r>
      </w:hyperlink>
      <w:r w:rsidDel="00000000" w:rsidR="00000000" w:rsidRPr="00000000">
        <w:rPr>
          <w:rtl w:val="0"/>
        </w:rPr>
        <w:t xml:space="preserve">) for the prediction-model side and </w:t>
      </w:r>
      <w:r w:rsidDel="00000000" w:rsidR="00000000" w:rsidRPr="00000000">
        <w:rPr>
          <w:b w:val="1"/>
          <w:bCs w:val="1"/>
          <w:rtl w:val="0"/>
        </w:rPr>
        <w:t xml:space="preserve">PRISMA</w:t>
      </w:r>
      <w:r w:rsidDel="00000000" w:rsidR="00000000" w:rsidRPr="00000000">
        <w:rPr>
          <w:rtl w:val="0"/>
        </w:rPr>
        <w:t xml:space="preserve"> for the source-review side. Although TRIPOD+AI is technically for clinical prediction models, reviewers in this field have started expecting LLM-based extraction studies to follow it. </w:t>
      </w:r>
      <w:r w:rsidDel="00000000" w:rsidR="00000000" w:rsidRPr="00000000">
        <w:rPr>
          <w:b w:val="1"/>
          <w:bCs w:val="1"/>
          <w:rtl w:val="0"/>
        </w:rPr>
        <w:t xml:space="preserve">TRIPOD-LLM</w:t>
      </w:r>
      <w:r w:rsidDel="00000000" w:rsidR="00000000" w:rsidRPr="00000000">
        <w:rPr>
          <w:rtl w:val="0"/>
        </w:rPr>
        <w:t xml:space="preserve"> (</w:t>
      </w:r>
      <w:hyperlink r:id="rId20">
        <w:r w:rsidDel="00000000" w:rsidR="00000000" w:rsidRPr="00000000">
          <w:rPr>
            <w:color w:val="156082"/>
            <w:rtl w:val="0"/>
          </w:rPr>
          <w:t xml:space="preserve">Nat Med 2025, PMID 39779929</w:t>
        </w:r>
      </w:hyperlink>
      <w:r w:rsidDel="00000000" w:rsidR="00000000" w:rsidRPr="00000000">
        <w:rPr>
          <w:rtl w:val="0"/>
        </w:rPr>
        <w:t xml:space="preserve">) is the more LLM-specific extension and is what to cite as your reporting framework. Risk-of-bias appraisal: </w:t>
      </w:r>
      <w:r w:rsidDel="00000000" w:rsidR="00000000" w:rsidRPr="00000000">
        <w:rPr>
          <w:b w:val="1"/>
          <w:bCs w:val="1"/>
          <w:rtl w:val="0"/>
        </w:rPr>
        <w:t xml:space="preserve">PROBAST+AI</w:t>
      </w:r>
      <w:r w:rsidDel="00000000" w:rsidR="00000000" w:rsidRPr="00000000">
        <w:rPr>
          <w:rtl w:val="0"/>
        </w:rPr>
        <w:t xml:space="preserve"> (</w:t>
      </w:r>
      <w:hyperlink r:id="rId21">
        <w:r w:rsidDel="00000000" w:rsidR="00000000" w:rsidRPr="00000000">
          <w:rPr>
            <w:color w:val="156082"/>
            <w:rtl w:val="0"/>
          </w:rPr>
          <w:t xml:space="preserve">BMJ 2025</w:t>
        </w:r>
      </w:hyperlink>
      <w:r w:rsidDel="00000000" w:rsidR="00000000" w:rsidRPr="00000000">
        <w:rPr>
          <w:rtl w:val="0"/>
        </w:rPr>
        <w:t xml:space="preserve">). Overall AI-in-evidence-synthesis governance: cite </w:t>
      </w:r>
      <w:r w:rsidDel="00000000" w:rsidR="00000000" w:rsidRPr="00000000">
        <w:rPr>
          <w:b w:val="1"/>
          <w:bCs w:val="1"/>
          <w:rtl w:val="0"/>
        </w:rPr>
        <w:t xml:space="preserve">RAISE</w:t>
      </w:r>
      <w:r w:rsidDel="00000000" w:rsidR="00000000" w:rsidRPr="00000000">
        <w:rPr>
          <w:rtl w:val="0"/>
        </w:rPr>
        <w:t xml:space="preserve"> (</w:t>
      </w:r>
      <w:hyperlink r:id="rId22">
        <w:r w:rsidDel="00000000" w:rsidR="00000000" w:rsidRPr="00000000">
          <w:rPr>
            <w:color w:val="156082"/>
            <w:rtl w:val="0"/>
          </w:rPr>
          <w:t xml:space="preserve">Cochrane RAISE</w:t>
        </w:r>
      </w:hyperlink>
      <w:r w:rsidDel="00000000" w:rsidR="00000000" w:rsidRPr="00000000">
        <w:rPr>
          <w:rtl w:val="0"/>
        </w:rPr>
        <w:t xml:space="preserve">) and the </w:t>
      </w:r>
      <w:r w:rsidDel="00000000" w:rsidR="00000000" w:rsidRPr="00000000">
        <w:rPr>
          <w:b w:val="1"/>
          <w:bCs w:val="1"/>
          <w:rtl w:val="0"/>
        </w:rPr>
        <w:t xml:space="preserve">Cochrane/Campbell/JBI/CEE joint position statement</w:t>
      </w:r>
      <w:r w:rsidDel="00000000" w:rsidR="00000000" w:rsidRPr="00000000">
        <w:rPr>
          <w:rtl w:val="0"/>
        </w:rPr>
        <w:t xml:space="preserve"> (</w:t>
      </w:r>
      <w:hyperlink r:id="rId23">
        <w:r w:rsidDel="00000000" w:rsidR="00000000" w:rsidRPr="00000000">
          <w:rPr>
            <w:color w:val="156082"/>
            <w:rtl w:val="0"/>
          </w:rPr>
          <w:t xml:space="preserve">Cochrane Library</w:t>
        </w:r>
      </w:hyperlink>
      <w:r w:rsidDel="00000000" w:rsidR="00000000" w:rsidRPr="00000000">
        <w:rPr>
          <w:rtl w:val="0"/>
        </w:rPr>
        <w:t xml:space="preserve">).</w:t>
      </w:r>
    </w:p>
    <w:bookmarkStart w:colFirst="0" w:colLast="0" w:name="bookmark=id.cv4ct41tqx8z" w:id="10"/>
    <w:bookmarkEnd w:id="10"/>
    <w:p w:rsidR="00000000" w:rsidDel="00000000" w:rsidP="00000000" w:rsidRDefault="00000000" w:rsidRPr="00000000" w14:paraId="00000072">
      <w:pPr>
        <w:pStyle w:val="Heading2"/>
        <w:rPr/>
      </w:pPr>
      <w:bookmarkStart w:colFirst="0" w:colLast="0" w:name="_heading=h.9xd2jpnabp0b" w:id="11"/>
      <w:bookmarkEnd w:id="11"/>
      <w:r w:rsidDel="00000000" w:rsidR="00000000" w:rsidRPr="00000000">
        <w:rPr>
          <w:rtl w:val="0"/>
        </w:rPr>
        <w:t xml:space="preserve">1.4 Sample Size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no formal power calculation convention for this kind of validation, but the published precedents converge:</w:t>
      </w:r>
    </w:p>
    <w:tbl>
      <w:tblPr>
        <w:tblStyle w:val="Table2"/>
        <w:tblW w:w="9576.0" w:type="dxa"/>
        <w:jc w:val="left"/>
        <w:tblInd w:w="-108.0" w:type="dxa"/>
        <w:tblLayout w:type="fixed"/>
        <w:tblLook w:val="0020"/>
      </w:tblPr>
      <w:tblGrid>
        <w:gridCol w:w="4788"/>
        <w:gridCol w:w="4788"/>
        <w:tblGridChange w:id="0">
          <w:tblGrid>
            <w:gridCol w:w="4788"/>
            <w:gridCol w:w="4788"/>
          </w:tblGrid>
        </w:tblGridChange>
      </w:tblGrid>
      <w:tr>
        <w:trPr>
          <w:cantSplit w:val="0"/>
          <w:tblHeader w:val="1"/>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 size</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 et al. 2024,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 Open</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studies / 4 SRs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PubMed</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Helms Andersen et al. 2025,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Cochrane ESM</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articles / 3 SRs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Wiley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Konet et al. 2025,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medRxiv</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 studies / 6 SRs / 9,341 data elements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medRxiv</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Khraisha et al. 2024, ChatGPT-4o second-rater</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484 data points / 11 papers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PLoS One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Sun et al. 2024 (collaborative LLMs)</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publications / 23 variables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PMC</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Recommended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50 included studies across ≥ 3 systematic reviews from ≥ 2 clinical domains, with ≥ 20 distinct data fields per study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yielding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roughly 3,000–10,000 individual data-element comparisons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Below this, reviewers will say “underpowered for subgroup analysis”. Above this, the manual gold standard becomes prohibitive without a team. If you have only one extractor available, target the low end (50 studies × 20 fields = 1,000 elements) and pre-emptively acknowledge it.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Quick rule of thumb for CI calculation: to estimate a 0.92 F1 ± 0.02 with 95% CI requires roughly 770 data elements; ± 0.01 requires ~3,000. Put this in the methods section.</w:t>
      </w:r>
    </w:p>
    <w:bookmarkStart w:colFirst="0" w:colLast="0" w:name="bookmark=id.wsoyc1kgohrq" w:id="12"/>
    <w:bookmarkEnd w:id="12"/>
    <w:p w:rsidR="00000000" w:rsidDel="00000000" w:rsidP="00000000" w:rsidRDefault="00000000" w:rsidRPr="00000000" w14:paraId="00000082">
      <w:pPr>
        <w:pStyle w:val="Heading2"/>
        <w:rPr/>
      </w:pPr>
      <w:bookmarkStart w:colFirst="0" w:colLast="0" w:name="_heading=h.k1kxc8nsqgai" w:id="13"/>
      <w:bookmarkEnd w:id="13"/>
      <w:r w:rsidDel="00000000" w:rsidR="00000000" w:rsidRPr="00000000">
        <w:rPr>
          <w:rtl w:val="0"/>
        </w:rPr>
        <w:t xml:space="preserve">1.5 Evaluation Metrics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Reviewers will look for these. Report all with 95% confidence intervals.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(must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(correct extractions) / (total extractions). Khraisha reported 92.4% (CI 89.5–94.5)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PLoS One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 / Positive Predictive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TP / (TP + FP). Helms Andersen: Elicit 92%, ChatGPT 91%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Wiley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 / Sensitivity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TP / (TP + FN). The metric that catches missed data — usually the weakest point.</w:t>
      </w:r>
    </w:p>
    <w:p w:rsidR="00000000" w:rsidDel="00000000" w:rsidP="00000000" w:rsidRDefault="00000000" w:rsidRPr="00000000" w14:paraId="000000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harmonic mean of precision and recall.</w:t>
      </w:r>
    </w:p>
    <w:p w:rsidR="00000000" w:rsidDel="00000000" w:rsidP="00000000" w:rsidRDefault="00000000" w:rsidRPr="00000000" w14:paraId="000000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Cohen’s 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agreement with the human gold standard, with bootstrapped CIs. Landschaft et al. reported κ &gt; 0.9 for abstract screening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Fraunhofer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Confabulation/hallucination 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fraction of extractions that are coherent-looking but unsupported by the source. Helms Andersen found 4% (</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Wiley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Khraisha found 5.2% false data (</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PLoS One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This is the metric reviewers care about most for safety claims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report it with examples in supplementary.</w:t>
      </w:r>
    </w:p>
    <w:p w:rsidR="00000000" w:rsidDel="00000000" w:rsidP="00000000" w:rsidRDefault="00000000" w:rsidRPr="00000000" w14:paraId="0000008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 savings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median minutes per study vs human-only extraction. Konet reported 41 min saved per study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medRxiv</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Gargari (2025) reported 36 min → 26.6 sec + 13 min human review (</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JMIR Formative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Secondary (strongly recommended)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Test-retest reproducibility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two independent runs with different sessions/accounts — Khraisha reported 94.1% overall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PLoS One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metric distinguishes engineered systems from “we asked ChatGPT”.</w:t>
      </w:r>
    </w:p>
    <w:p w:rsidR="00000000" w:rsidDel="00000000" w:rsidP="00000000" w:rsidRDefault="00000000" w:rsidRPr="00000000" w14:paraId="0000008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Stratified performance by data-element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study characteristics vs outcomes vs risk-of-bias vs statistical results. Every published paper shows the same pattern — high accuracy on structured fields (population, intervention) and low accuracy on statistical results and risk-of-bias domains. Gargari: 95% on participants, 77.5% on stats (</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JMIR Formative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Reporting this honestly is what reviewers reward.</w:t>
      </w:r>
    </w:p>
    <w:p w:rsidR="00000000" w:rsidDel="00000000" w:rsidP="00000000" w:rsidRDefault="00000000" w:rsidRPr="00000000" w14:paraId="0000008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Error taxonomy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classify errors into omission / misinterpretation / confabulation / formatting. This is the figure that will get cited.</w:t>
      </w:r>
    </w:p>
    <w:p w:rsidR="00000000" w:rsidDel="00000000" w:rsidP="00000000" w:rsidRDefault="00000000" w:rsidRPr="00000000" w14:paraId="0000009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Subgroup analyses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study design (RCT/observational), by paper length, by reporting quality, by language if applicable.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Tertiary (nice-to-have)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 per study in $ of inference.</w:t>
      </w:r>
    </w:p>
    <w:p w:rsidR="00000000" w:rsidDel="00000000" w:rsidP="00000000" w:rsidRDefault="00000000" w:rsidRPr="00000000" w14:paraId="0000009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Carbon footprint per study (Cochrane explicitly raised environmental cost in the joint position statement — </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Cochrane Library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Inter-rater agreement of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 run 1 vs AI run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alongside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human 1 vs human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exvbz48x4p1k" w:id="14"/>
    <w:bookmarkEnd w:id="14"/>
    <w:p w:rsidR="00000000" w:rsidDel="00000000" w:rsidP="00000000" w:rsidRDefault="00000000" w:rsidRPr="00000000" w14:paraId="00000095">
      <w:pPr>
        <w:pStyle w:val="Heading2"/>
        <w:rPr/>
      </w:pPr>
      <w:bookmarkStart w:colFirst="0" w:colLast="0" w:name="_heading=h.p5xjdllp7jkc" w:id="15"/>
      <w:bookmarkEnd w:id="15"/>
      <w:r w:rsidDel="00000000" w:rsidR="00000000" w:rsidRPr="00000000">
        <w:rPr>
          <w:rtl w:val="0"/>
        </w:rPr>
        <w:t xml:space="preserve">1.6 Journal Recommendations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Priority order with realistic acceptance odds for a strong validation paper:</w:t>
      </w:r>
    </w:p>
    <w:tbl>
      <w:tblPr>
        <w:tblStyle w:val="Table3"/>
        <w:tblW w:w="9576.0" w:type="dxa"/>
        <w:jc w:val="left"/>
        <w:tblInd w:w="-108.0" w:type="dxa"/>
        <w:tblLayout w:type="fixed"/>
        <w:tblLook w:val="0020"/>
      </w:tblPr>
      <w:tblGrid>
        <w:gridCol w:w="1916"/>
        <w:gridCol w:w="1915"/>
        <w:gridCol w:w="1915"/>
        <w:gridCol w:w="1915"/>
        <w:gridCol w:w="1915"/>
        <w:tblGridChange w:id="0">
          <w:tblGrid>
            <w:gridCol w:w="1916"/>
            <w:gridCol w:w="1915"/>
            <w:gridCol w:w="1915"/>
            <w:gridCol w:w="1915"/>
            <w:gridCol w:w="1915"/>
          </w:tblGrid>
        </w:tblGridChange>
      </w:tblGrid>
      <w:tr>
        <w:trPr>
          <w:cantSplit w:val="0"/>
          <w:tblHeader w:val="1"/>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(approx)</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Fit</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Clinical Epidemiology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(JCE)</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Methods-focused, accepts software-validation hybrids (</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JCE guide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High-prestige first target.</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Research Synthesis Methods</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field’s home journal; already publishing LLM screening validations (</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Cambridge Core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Cochrane Evidence Synthesis and Methods</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in Evidence Synthesis” special issue ran here; Helms Andersen et al. published here (</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Wiley special issue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Very strong methodological fit.</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the American Medical Informatics Association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(JAMIA)</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frame it as an informatics paper.</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 Open</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Open-access, fast, low-friction. Reason et al. went here (</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BMJ Open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Reliable Plan B.</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Medical Research Methodology</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Accepts software articles with strong validation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BMC submission guidelines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Khraisha et al. landed here (</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PLoS One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Broad audience.</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JMIR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JMIR Formative Research</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 ~2</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Khan &amp; Bicen (2025) in JMIR AI (</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JMIR AI</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Gargari (2025) in JMIR Formative (</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JMIR Formative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Fast, AI-focused, open access.</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(Software Article)</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Domain mismatch</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Strict on direct comparison and open-source code (</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BMC Bioinformatics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Skip unless you open-source.</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JOSS</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Companion only</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as a parallel short submission to lock a citable DOI for the software itself (</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JOSS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your main paper.</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Stretch</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Ann Intern 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JAMA Intern Med</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high</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Unlikely</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Possible only with a large multi-domain study and a stronger framing as “first peer-reviewed validation of fully-integrated AI extraction platform”.</w:t>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Recommended target sequence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medRxiv preprint → JCE 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Research Synthesis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if rejected,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BMJ Open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Cochrane ESM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JMIR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Submit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tier-A journal at a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never simultaneously.</w:t>
      </w:r>
    </w:p>
    <w:bookmarkStart w:colFirst="0" w:colLast="0" w:name="bookmark=id.l3nj58cid9xo" w:id="16"/>
    <w:bookmarkEnd w:id="16"/>
    <w:p w:rsidR="00000000" w:rsidDel="00000000" w:rsidP="00000000" w:rsidRDefault="00000000" w:rsidRPr="00000000" w14:paraId="000000D4">
      <w:pPr>
        <w:pStyle w:val="Heading2"/>
        <w:rPr/>
      </w:pPr>
      <w:bookmarkStart w:colFirst="0" w:colLast="0" w:name="_heading=h.g9yihty79uta" w:id="17"/>
      <w:bookmarkEnd w:id="17"/>
      <w:r w:rsidDel="00000000" w:rsidR="00000000" w:rsidRPr="00000000">
        <w:rPr>
          <w:rtl w:val="0"/>
        </w:rPr>
        <w:t xml:space="preserve">1.7 Preprint Strategy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Preprint on medRxiv at submission time, not before.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Three reasons:</w:t>
      </w:r>
    </w:p>
    <w:p w:rsidR="00000000" w:rsidDel="00000000" w:rsidP="00000000" w:rsidRDefault="00000000" w:rsidRPr="00000000" w14:paraId="000000D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medRxiv assigns a permanent DOI and the citation is usable on day one — Konet et al. is on medRxiv and is already being cited (</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medRxiv</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Research Synthesis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Cochrane ESM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JMIR family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explicitly allow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prior preprints. JOSS is preprint-friendly. Verify the specific journal’s policy in their guide-for-authors before posting.</w:t>
      </w:r>
    </w:p>
    <w:p w:rsidR="00000000" w:rsidDel="00000000" w:rsidP="00000000" w:rsidRDefault="00000000" w:rsidRPr="00000000" w14:paraId="000000D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Posting the preprint at the same moment you submit to the journal forces you to lock the analysis. Posting earlier “to get feedback” sounds appealing but in practice produces a worse paper because every reviewer comment then has to be rebutted against a public version.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not use bioRxiv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clinical-research-methods paper; medRxiv is the correct venue.</w:t>
      </w:r>
    </w:p>
    <w:bookmarkStart w:colFirst="0" w:colLast="0" w:name="bookmark=id.66hnxga7vqcj" w:id="18"/>
    <w:bookmarkEnd w:id="18"/>
    <w:p w:rsidR="00000000" w:rsidDel="00000000" w:rsidP="00000000" w:rsidRDefault="00000000" w:rsidRPr="00000000" w14:paraId="000000DA">
      <w:pPr>
        <w:pStyle w:val="Heading2"/>
        <w:rPr/>
      </w:pPr>
      <w:bookmarkStart w:colFirst="0" w:colLast="0" w:name="_heading=h.xuh23prswdq4" w:id="19"/>
      <w:bookmarkEnd w:id="19"/>
      <w:r w:rsidDel="00000000" w:rsidR="00000000" w:rsidRPr="00000000">
        <w:rPr>
          <w:rtl w:val="0"/>
        </w:rPr>
        <w:t xml:space="preserve">1.8 Authorship</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true-co-founder, single-developer team with future contributors expected:</w:t>
      </w:r>
    </w:p>
    <w:p w:rsidR="00000000" w:rsidDel="00000000" w:rsidP="00000000" w:rsidRDefault="00000000" w:rsidRPr="00000000" w14:paraId="000000D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First author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You drove the idea, implementation, and validation experiments.</w:t>
      </w:r>
    </w:p>
    <w:p w:rsidR="00000000" w:rsidDel="00000000" w:rsidP="00000000" w:rsidRDefault="00000000" w:rsidRPr="00000000" w14:paraId="000000D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Last author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co-founder,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their methodological contribution is sustained and intellectual (not just early advice). Last-author position in this field signals senior responsibility; it should not be a courtesy.</w:t>
      </w:r>
    </w:p>
    <w:p w:rsidR="00000000" w:rsidDel="00000000" w:rsidP="00000000" w:rsidRDefault="00000000" w:rsidRPr="00000000" w14:paraId="000000D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Corresponding author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(you’ll handle revisions, and reviewers will Google you).</w:t>
      </w:r>
    </w:p>
    <w:p w:rsidR="00000000" w:rsidDel="00000000" w:rsidP="00000000" w:rsidRDefault="00000000" w:rsidRPr="00000000" w14:paraId="000000D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Middle authors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anyone who performs the human dual-extraction comparator work, the statistical analysis, or the manuscript drafting — they should be authors per ICMJE if they meet the four criteria (substantial contribution, drafting/revising, final approval, accountability). Don’t pad.</w:t>
      </w:r>
    </w:p>
    <w:p w:rsidR="00000000" w:rsidDel="00000000" w:rsidP="00000000" w:rsidRDefault="00000000" w:rsidRPr="00000000" w14:paraId="000000E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Acknowledgements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anyone who provided source SRs, gave feedback, or test-piloted but didn’t write or analyze.</w:t>
      </w:r>
    </w:p>
    <w:p w:rsidR="00000000" w:rsidDel="00000000" w:rsidP="00000000" w:rsidRDefault="00000000" w:rsidRPr="00000000" w14:paraId="000000E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Conflict of Interest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disclose the company and your equity in plain language. This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barrier to publication; hiding it is.</w:t>
      </w:r>
    </w:p>
    <w:p w:rsidR="00000000" w:rsidDel="00000000" w:rsidP="00000000" w:rsidRDefault="00000000" w:rsidRPr="00000000" w14:paraId="000000E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CRediT taxonomy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most of these journals now require CRediT roles per author. Fill in honestly.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note on contribution honesty: a “true co-founder” who provided methodological guidance during the early stages should appear as an author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co-founder on the cap table. If their contribution to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paper itself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(study design, data analysis, manuscript drafting) is light, they may be a middle author rather than last author — that is a separate question from their company role, and conflating the two creates trouble later.</w:t>
      </w:r>
    </w:p>
    <w:bookmarkStart w:colFirst="0" w:colLast="0" w:name="bookmark=id.mn2nnf6bk164" w:id="20"/>
    <w:bookmarkEnd w:id="20"/>
    <w:p w:rsidR="00000000" w:rsidDel="00000000" w:rsidP="00000000" w:rsidRDefault="00000000" w:rsidRPr="00000000" w14:paraId="000000E4">
      <w:pPr>
        <w:pStyle w:val="Heading2"/>
        <w:rPr/>
      </w:pPr>
      <w:bookmarkStart w:colFirst="0" w:colLast="0" w:name="_heading=h.4wxogp6khkxu" w:id="21"/>
      <w:bookmarkEnd w:id="21"/>
      <w:r w:rsidDel="00000000" w:rsidR="00000000" w:rsidRPr="00000000">
        <w:rPr>
          <w:rtl w:val="0"/>
        </w:rPr>
        <w:t xml:space="preserve">1.9 Citing the Software Paper in Downstream Research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paper is published, you want every user of the software to cite it. Four mechanisms make this happen reliably:</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In-app citation banner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single-click “Cite this tool” button that copies a formatted citation in APA, Vancouver, BibTeX, and RIS formats. This is the highest-leverage 30 minutes of engineering work you will do for academic adoption.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CITATION.cff 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your GitHub repo (if you open-source any part) plus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Zenodo DOI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version of the codebase. This gets you a citation tracked in Google Scholar.</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Method-section boilerplate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users can paste: provide a one-paragraph “How to cite [Tool] in your methods” on a dedicated documentation page, including the model versions used, prompt approach, and the specific paper DOI. Example phrasing: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“AI-assisted data extraction was performed using [Tool] v1.0 (Vala et al., 2026) with subsequent verification by two independent human reviewers, in line with RAISE recommendations (</w:t>
      </w:r>
      <w:hyperlink r:id="rId50">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Cochrane RAISE</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Companion JOSS paper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parallel — JOSS papers get a CrossRef DOI and are tracked by Google Scholar (</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JOSS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gives users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-citable artifact alongside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-citable artifact, which is how Covidence, DistillerSR, and EPPI-Reviewer all do it.</w:t>
      </w:r>
    </w:p>
    <w:bookmarkStart w:colFirst="0" w:colLast="0" w:name="bookmark=id.h28uzqxgj9fn" w:id="22"/>
    <w:bookmarkEnd w:id="22"/>
    <w:p w:rsidR="00000000" w:rsidDel="00000000" w:rsidP="00000000" w:rsidRDefault="00000000" w:rsidRPr="00000000" w14:paraId="000000EA">
      <w:pPr>
        <w:pStyle w:val="Heading1"/>
        <w:rPr/>
      </w:pPr>
      <w:bookmarkStart w:colFirst="0" w:colLast="0" w:name="_heading=h.o6x6c48e6imr" w:id="23"/>
      <w:bookmarkEnd w:id="23"/>
      <w:r w:rsidDel="00000000" w:rsidR="00000000" w:rsidRPr="00000000">
        <w:rPr>
          <w:rtl w:val="0"/>
        </w:rPr>
        <w:t xml:space="preserve">Section 2 — Company Formation (India-Specific)</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is materially different from the generic US/Delaware advice you will find in 90% of founder content.</w:t>
      </w:r>
    </w:p>
    <w:bookmarkStart w:colFirst="0" w:colLast="0" w:name="bookmark=id.f3ono6tv930x" w:id="24"/>
    <w:bookmarkEnd w:id="24"/>
    <w:p w:rsidR="00000000" w:rsidDel="00000000" w:rsidP="00000000" w:rsidRDefault="00000000" w:rsidRPr="00000000" w14:paraId="000000EC">
      <w:pPr>
        <w:pStyle w:val="Heading2"/>
        <w:rPr/>
      </w:pPr>
      <w:bookmarkStart w:colFirst="0" w:colLast="0" w:name="_heading=h.ansge874oa8k" w:id="25"/>
      <w:bookmarkEnd w:id="25"/>
      <w:r w:rsidDel="00000000" w:rsidR="00000000" w:rsidRPr="00000000">
        <w:rPr>
          <w:rtl w:val="0"/>
        </w:rPr>
        <w:t xml:space="preserve">2.1 Incorporate Before Launch — Yes, With Caveats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Incorporate before the first paid customer, the first hire, and the first external collaboration agreement.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incorporate before the founders’ agreement is signed.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hard reasons:</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SaaS sale to an institutional customer (universities, evidence-synthesis groups, pharma) is functionally impossible from a sole-proprietorship; their procurement will not raise a PO to a person.</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you take money or a paid customer, GST registration is triggered in many cases (</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Vakalat Today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LAFFAZ</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institutional investors require Pvt. Ltd. before they will invest (</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LAFFAZ</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Cashfree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Pre-incorporation IP held in personal name has to be formally assigned to the company post-incorporation. This is fine if planned, messy if forgotten.</w:t>
      </w:r>
    </w:p>
    <w:bookmarkStart w:colFirst="0" w:colLast="0" w:name="bookmark=id.pxublf5ly9n0" w:id="26"/>
    <w:bookmarkEnd w:id="26"/>
    <w:p w:rsidR="00000000" w:rsidDel="00000000" w:rsidP="00000000" w:rsidRDefault="00000000" w:rsidRPr="00000000" w14:paraId="000000F3">
      <w:pPr>
        <w:pStyle w:val="Heading2"/>
        <w:rPr/>
      </w:pPr>
      <w:bookmarkStart w:colFirst="0" w:colLast="0" w:name="_heading=h.su1jgklnp525" w:id="27"/>
      <w:bookmarkEnd w:id="27"/>
      <w:r w:rsidDel="00000000" w:rsidR="00000000" w:rsidRPr="00000000">
        <w:rPr>
          <w:rtl w:val="0"/>
        </w:rPr>
        <w:t xml:space="preserve">2.2 Recommended Structure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Private Limited Company under the Companies Act 2013, incorporated via SPICe+ on the MCA V3 portal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consensus default for any India-based SaaS that intends to scale or raise funding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Vakalat Today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LAFFAZ</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Peko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RegisterKaro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specifications:</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Minimum 2 directors, 2 shareholders, at least one director must be an Indian resident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182 days in the preceding financial year per Section 149(3)).</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statutory minimum paid-up capital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set authorized capital to ₹10 lakh, not ₹1 lakh. Increasing authorized capital later costs stamp duty in every state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Karak</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doing it once at incorporation is cheaper.</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7–10 working days end-to-end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Peko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RegisterKaro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₹7,000–25,000 government + ₹15,000–25,000 professional fees, depending on state (</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Peko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Karak</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integrates incorporation, PAN, TAN, DIN, EPFO, ESIC, and (optionally) GSTIN in one filing (</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RegisterKaro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not incorporate as LLP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LLPs cannot issue equity-class shares, cannot raise VC cleanly, and almost always need to convert to Pvt. Ltd. before fundraising (</w:t>
      </w: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LAFFAZ</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not incorporate as OPC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Person Company). Only Indian-resident solo founders are eligible, and since you have a co-founder, it doesn’t fit (</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Peko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Apply for DPIIT Startup India recognition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immediately after incorporation. It is free, takes ~1 week, and unlocks income-tax holiday eligibility (Section 80-IAC), Angel Tax exemption (Section 56(2)(viib)), reduced trademark fees, and self-certification on labor laws.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 the Delaware flip question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defer it. The flip costs ₹40–60 lakh in legal/tax/FEMA work and 6 months of founder attention (</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Unstoppable VK</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post-Finance (No. 2) Act 2024 it triggers Indian capital gains tax at ~14.95% effective on the share-swap value (</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S Banka Advisors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decision to flip should be driven by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who you are raising from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by founder anxiety. Flip only when (a) you have a term sheet from a US-based VC that requires it, or (b) you are about to sign US enterprise customers who want to contract with a US entity. Until then, an Indian Pvt. Ltd. with a wholly-owned Delaware subsidiary for US contracting (the cheaper interim move under FEMA ODI rules — automatic route up to 400% of net worth, see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PN Associates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sufficient.</w:t>
      </w:r>
    </w:p>
    <w:bookmarkStart w:colFirst="0" w:colLast="0" w:name="bookmark=id.1g1zndvg1kp9" w:id="28"/>
    <w:bookmarkEnd w:id="28"/>
    <w:p w:rsidR="00000000" w:rsidDel="00000000" w:rsidP="00000000" w:rsidRDefault="00000000" w:rsidRPr="00000000" w14:paraId="000000FF">
      <w:pPr>
        <w:pStyle w:val="Heading2"/>
        <w:rPr/>
      </w:pPr>
      <w:bookmarkStart w:colFirst="0" w:colLast="0" w:name="_heading=h.lghmbxu4fae3" w:id="29"/>
      <w:bookmarkEnd w:id="29"/>
      <w:r w:rsidDel="00000000" w:rsidR="00000000" w:rsidRPr="00000000">
        <w:rPr>
          <w:rtl w:val="0"/>
        </w:rPr>
        <w:t xml:space="preserve">2.3 Founders’ Agreement — Sign Before Incorporation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This is the most important document of the next 30 days. Sign it before the SPICe+ filing.</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the standard advice everywhere converges — once shares are issued without vesting, you cannot retroactively add a vesting schedule without unanimous consent of all shareholders, and any retrospective restriction is treated as a fresh transfer with potential tax consequences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Cashfree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Promise Legal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agreement must cover, at minimum:</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Equity split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explicit rationale</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Vesting schedule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 2.5)</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Roles and decision-making authority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 decides product, who decides hiring, who has casting vote)</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IP assignment to the company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all pre-existing code, data, prompts, and methodology</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Confidentiality and non-compete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(note: Indian courts only partially enforce non-competes; use non-solicit and confidentiality clauses instead)</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Exit provisions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 happens if a founder leaves (good-leaver, bad-leaver, repurchase rights at par value or fair value)</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Dispute resolution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arbitration seat (e.g., Mumbai or Bengaluru), governing law</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 on side activities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explicit definition of permitted advisory work, teaching, etc.</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Templates: do not trust generic templates verbatim. The </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Cashfree template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Promise Legal template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reasonable starting points, but have a startup lawyer (typical cost ₹25,000–60,000 for review) red-line it. This is not the place to save money.</w:t>
      </w:r>
    </w:p>
    <w:bookmarkStart w:colFirst="0" w:colLast="0" w:name="bookmark=id.uhhgjv3b7dd" w:id="30"/>
    <w:bookmarkEnd w:id="30"/>
    <w:p w:rsidR="00000000" w:rsidDel="00000000" w:rsidP="00000000" w:rsidRDefault="00000000" w:rsidRPr="00000000" w14:paraId="0000010C">
      <w:pPr>
        <w:pStyle w:val="Heading2"/>
        <w:rPr/>
      </w:pPr>
      <w:bookmarkStart w:colFirst="0" w:colLast="0" w:name="_heading=h.os3kwxp3rzi5" w:id="31"/>
      <w:bookmarkEnd w:id="31"/>
      <w:r w:rsidDel="00000000" w:rsidR="00000000" w:rsidRPr="00000000">
        <w:rPr>
          <w:rtl w:val="0"/>
        </w:rPr>
        <w:t xml:space="preserve">2.4 Co-Founder Equity Considerations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said “true co-founder”. Honest framework:</w:t>
      </w:r>
    </w:p>
    <w:tbl>
      <w:tblPr>
        <w:tblStyle w:val="Table4"/>
        <w:tblW w:w="9576.0" w:type="dxa"/>
        <w:jc w:val="left"/>
        <w:tblInd w:w="-108.0" w:type="dxa"/>
        <w:tblLayout w:type="fixed"/>
        <w:tblLook w:val="0020"/>
      </w:tblPr>
      <w:tblGrid>
        <w:gridCol w:w="4788"/>
        <w:gridCol w:w="4788"/>
        <w:tblGridChange w:id="0">
          <w:tblGrid>
            <w:gridCol w:w="4788"/>
            <w:gridCol w:w="4788"/>
          </w:tblGrid>
        </w:tblGridChange>
      </w:tblGrid>
      <w:tr>
        <w:trPr>
          <w:cantSplit w:val="0"/>
          <w:tblHeader w:val="1"/>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Factor</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Weight to consider</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Idea origination</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 ideas are cheap, execution is everything</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Original methodology contribution</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Code/product execution</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Day-to-day operational involvement</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 committed (full-time vs part-time)</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high</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Capital invested</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Low–medium (separate from equity, can be debt or preferred)</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Brand/network/credibility brought</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commitment going forward</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high</w:t>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the description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you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drove the idea, product, and execution; co-founder gave substantial early methodological guidance and may continue — typical equity splits in this scenario range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70/30 (you majority) to 80/20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 50/50 unless contributions and time commitments are genuinely equal forward-looking; 50/50 splits have a documented track record of paralyzing founder decision-making.</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the </w:t>
      </w: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Slicing Pie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framework or the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Foundrs.com calculator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honestly, write the answer down, then sleep on it for 48 hours before signing.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co-founder will be part-time or going forward will only provide methodological input occasionally, an honest reframing is to give them a smaller founder stake (e.g., 5–15%)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advisor agreement, rather than co-founder operating equity.</w:t>
      </w:r>
    </w:p>
    <w:bookmarkStart w:colFirst="0" w:colLast="0" w:name="bookmark=id.db6qa1104r2r" w:id="32"/>
    <w:bookmarkEnd w:id="32"/>
    <w:p w:rsidR="00000000" w:rsidDel="00000000" w:rsidP="00000000" w:rsidRDefault="00000000" w:rsidRPr="00000000" w14:paraId="00000123">
      <w:pPr>
        <w:pStyle w:val="Heading2"/>
        <w:rPr/>
      </w:pPr>
      <w:bookmarkStart w:colFirst="0" w:colLast="0" w:name="_heading=h.15d3mx3ec958" w:id="33"/>
      <w:bookmarkEnd w:id="33"/>
      <w:r w:rsidDel="00000000" w:rsidR="00000000" w:rsidRPr="00000000">
        <w:rPr>
          <w:rtl w:val="0"/>
        </w:rPr>
        <w:t xml:space="preserve">2.5 Vesting Recommendations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4-year vesting with 1-year cliff, monthly thereafter, with double-trigger acceleration on change of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global SaaS default and the only schedule investors will not renegotiate (</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Promise Legal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Causo Hub</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USTAXX</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Specifics:</w:t>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0–12 months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 vests (cliff).</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Month 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25% vests as a single tranche.</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Months 13–48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1/48th vests monthly.</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Repurchase right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company has the right (not obligation) to repurchase unvested shares at par value if a founder departs. Vested shares are theirs to keep.</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Acceleration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Single-trigger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 for founders (it weakens acquirer leverage).</w:t>
      </w:r>
    </w:p>
    <w:p w:rsidR="00000000" w:rsidDel="00000000" w:rsidP="00000000" w:rsidRDefault="00000000" w:rsidRPr="00000000" w14:paraId="0000012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Double-trigger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 change of control AND (b) termination without cause within 12 months, all unvested shares accelerate. This is the standard reasonable founder protection.</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Pre-incorporation contribution credit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MVP was built over the last 12 months, you can structure vesting to give credit for that — e.g., “vesting deemed to have commenced on [pre-incorporation date]”, so a portion vests at incorporation. This is fair to recognize prior work but should be capped at, say, 25% pre-vested at incorporation.</w:t>
      </w:r>
    </w:p>
    <w:bookmarkStart w:colFirst="0" w:colLast="0" w:name="bookmark=id.mou6l8vsfrwh" w:id="34"/>
    <w:bookmarkEnd w:id="34"/>
    <w:p w:rsidR="00000000" w:rsidDel="00000000" w:rsidP="00000000" w:rsidRDefault="00000000" w:rsidRPr="00000000" w14:paraId="0000012E">
      <w:pPr>
        <w:pStyle w:val="Heading2"/>
        <w:rPr/>
      </w:pPr>
      <w:bookmarkStart w:colFirst="0" w:colLast="0" w:name="_heading=h.4f06u2ft65wp" w:id="35"/>
      <w:bookmarkEnd w:id="35"/>
      <w:r w:rsidDel="00000000" w:rsidR="00000000" w:rsidRPr="00000000">
        <w:rPr>
          <w:rtl w:val="0"/>
        </w:rPr>
        <w:t xml:space="preserve">2.6 Intellectual Property Ownership</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built the MVP fully independently — this is the single biggest legal advantage you have. No university IP claim. No spinout licensing required. No technology transfer office negotiation eating 10–20% of your equity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Oxford</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Edinburgh</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TenU USIT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However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must still formally assign all pre-incorporation IP into the new Pvt. Ltd. Otherwise the company doesn’t own its own product, and any future investor’s due diligence will catch this and either delay or kill the round (</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Andrew Bosin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USTAXX</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Mechanics:</w:t>
      </w:r>
    </w:p>
    <w:p w:rsidR="00000000" w:rsidDel="00000000" w:rsidP="00000000" w:rsidRDefault="00000000" w:rsidRPr="00000000" w14:paraId="000001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Founder IP Assignment Agreement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founders execute an assignment of all source code, designs, prompts, fine-tuned models, training data (subject to license terms of any third-party data), trademarks, domain names, and know-how relating to the product,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 exchange for the founder shares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 this a contemporaneous condition of share issuance.</w:t>
      </w:r>
    </w:p>
    <w:p w:rsidR="00000000" w:rsidDel="00000000" w:rsidP="00000000" w:rsidRDefault="00000000" w:rsidRPr="00000000" w14:paraId="000001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PIIA (Proprietary Information and Inventions Assignment)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standard going-forward agreement that all future inventions during employment are owned by the company.</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 the build history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keep your git history intact, archive your old AWS/GCP bills, save dated communications. If anyone ever challenges your ownership, this is the evidentiary record.</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Third-party software audit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list every open-source library used and verify license compatibility. MIT/BSD/Apache 2.0 are commercially fine; GPL/AGPL are problematic for closed-source SaaS — you may need to replace them. LLM API outputs from OpenAI/Anthropic are licensed back to you under their commercial terms; review them.</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Training data provenance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fine-tuned or did RAG over any specific corpus (e.g., scraped PubMed, downloaded papers), document the legal basis. Scraping copyrighted papers without permission for commercial training is legally exposed; using publicly-available abstracts, MEDLINE, or open-access content is fine.</w:t>
      </w:r>
    </w:p>
    <w:bookmarkStart w:colFirst="0" w:colLast="0" w:name="bookmark=id.oygaz06c5tx5" w:id="36"/>
    <w:bookmarkEnd w:id="36"/>
    <w:p w:rsidR="00000000" w:rsidDel="00000000" w:rsidP="00000000" w:rsidRDefault="00000000" w:rsidRPr="00000000" w14:paraId="00000137">
      <w:pPr>
        <w:pStyle w:val="Heading2"/>
        <w:rPr/>
      </w:pPr>
      <w:bookmarkStart w:colFirst="0" w:colLast="0" w:name="_heading=h.rqmw4pz9ps6s" w:id="37"/>
      <w:bookmarkEnd w:id="37"/>
      <w:r w:rsidDel="00000000" w:rsidR="00000000" w:rsidRPr="00000000">
        <w:rPr>
          <w:rtl w:val="0"/>
        </w:rPr>
        <w:t xml:space="preserve">2.7 Developer Contracts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high-risk if done casually. The pattern that has killed many SaaS deals: contractor writes core code, never signed IP assignment, has implicit copyright ownership, refuses to assign later, blocks the M&amp;A or funding round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Andrew Bosin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need before the developer touches the code:</w:t>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Master Services Agreement (MSA)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they’re a contractor,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Employment Agreement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they’re an employee.</w:t>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Schedule of 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Statement of Work (SoW) for the specific build.</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Work-for-hire and IP assignment clause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explicit assignment of all deliverables, including derivatives, source code, documentation, designs, prompts. Indian Copyright Act doesn’t automatically transfer copyright to the commissioning party for software; you must contract for it.</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Confidentiality and NDA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named consequences.</w:t>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Non-solicit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 months post-termination is enforceable; non-compete generally is not in India under Indian Contract Act §27).</w:t>
      </w:r>
    </w:p>
    <w:p w:rsidR="00000000" w:rsidDel="00000000" w:rsidP="00000000" w:rsidRDefault="00000000" w:rsidRPr="00000000" w14:paraId="000001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Background check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consent.</w:t>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Defined deliverables, milestones, and acceptance criteria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vague “build the platform” SoWs are the source of every disputed bill.</w:t>
      </w:r>
    </w:p>
    <w:p w:rsidR="00000000" w:rsidDel="00000000" w:rsidP="00000000" w:rsidRDefault="00000000" w:rsidRPr="00000000" w14:paraId="000001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Right to audit code quality and security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third-party code review at the end is worth its cost.</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Termination clauses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both parties should have clear exit paths.</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handling clauses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if the developer accesses user data, they must comply with the DPDP Act 2023 (</w:t>
      </w: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KSandK</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developer compensation, consider a hybrid: cash + a small ESOP grant (vesting over 4 years, 1-year cliff) under a board-approved ESOP plan. This aligns them with long-term outcomes without giving up cash you don’t have.</w:t>
      </w:r>
    </w:p>
    <w:bookmarkStart w:colFirst="0" w:colLast="0" w:name="bookmark=id.q1pwlotz8ttu" w:id="38"/>
    <w:bookmarkEnd w:id="38"/>
    <w:p w:rsidR="00000000" w:rsidDel="00000000" w:rsidP="00000000" w:rsidRDefault="00000000" w:rsidRPr="00000000" w14:paraId="00000145">
      <w:pPr>
        <w:pStyle w:val="Heading2"/>
        <w:rPr/>
      </w:pPr>
      <w:bookmarkStart w:colFirst="0" w:colLast="0" w:name="_heading=h.4ln1upcyqlkq" w:id="39"/>
      <w:bookmarkEnd w:id="39"/>
      <w:r w:rsidDel="00000000" w:rsidR="00000000" w:rsidRPr="00000000">
        <w:rPr>
          <w:rtl w:val="0"/>
        </w:rPr>
        <w:t xml:space="preserve">2.8 Trademark Strategy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trademarks are crowded — the USPTO recorded 600,000+ applications in 2025 (</w:t>
      </w: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Twocents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this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before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publicly launch:</w:t>
      </w:r>
    </w:p>
    <w:p w:rsidR="00000000" w:rsidDel="00000000" w:rsidP="00000000" w:rsidRDefault="00000000" w:rsidRPr="00000000" w14:paraId="000001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Clearance 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search the </w:t>
      </w: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Indian IP Trade Marks Public Search</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USPTO TESS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EUIPO TMview</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Google, App Store, and common-law usage. If your intended name has any prior use in software/SaaS for evidence synthesis, change it. Spending a year building a brand only to receive a cease-and-desist letter is a known and avoidable failure mode.</w:t>
      </w:r>
    </w:p>
    <w:p w:rsidR="00000000" w:rsidDel="00000000" w:rsidP="00000000" w:rsidRDefault="00000000" w:rsidRPr="00000000" w14:paraId="000001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the Indian trademark first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under Class 9 (downloadable software) and Class 42 (SaaS). Indian TM filing is ~₹4,500–9,000 per class as a DPIIT-recognized startup (50% off normal fees, around ₹4,500). Filing takes ~6 months to approval if unopposed.</w:t>
      </w:r>
    </w:p>
    <w:p w:rsidR="00000000" w:rsidDel="00000000" w:rsidP="00000000" w:rsidRDefault="00000000" w:rsidRPr="00000000" w14:paraId="000001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US “Intent-to-Use” application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6 months of Indian filing to claim priority date under the </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Madrid Protocol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USPTO charges $250–350 per class.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Intent-to-Use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lets you reserve the mark before commercial use begins (</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Promise Legal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EUIPO filing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plan EU customers — file via Madrid or directly through EUIPO. For SaaS companies, direct EUIPO filing is often more efficient than Madrid for the EU specifically (</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Invntree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WCR Legal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classes 9 and 42 at minimum, plus 16 (printed materials) and 35 (business services) if relevant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Stemer Law</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WCR Legal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Register domains and social handles in parallel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plus your country code. Defensive registration of obvious typos is worth ~$50/year and saves you a lot of grief later.</w:t>
      </w:r>
    </w:p>
    <w:p w:rsidR="00000000" w:rsidDel="00000000" w:rsidP="00000000" w:rsidRDefault="00000000" w:rsidRPr="00000000" w14:paraId="000001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Madrid Protocol caveat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file via Madrid, your international registration is dependent on the Indian “basic” mark for 5 years — a “central attack” risk (</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Invntree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small portfolio of key markets, direct national filing is sometimes safer.</w:t>
      </w:r>
    </w:p>
    <w:bookmarkStart w:colFirst="0" w:colLast="0" w:name="bookmark=id.spo6w5mdwmqm" w:id="40"/>
    <w:bookmarkEnd w:id="40"/>
    <w:p w:rsidR="00000000" w:rsidDel="00000000" w:rsidP="00000000" w:rsidRDefault="00000000" w:rsidRPr="00000000" w14:paraId="0000014F">
      <w:pPr>
        <w:pStyle w:val="Heading2"/>
        <w:rPr/>
      </w:pPr>
      <w:bookmarkStart w:colFirst="0" w:colLast="0" w:name="_heading=h.t49d12sc2851" w:id="41"/>
      <w:bookmarkEnd w:id="41"/>
      <w:r w:rsidDel="00000000" w:rsidR="00000000" w:rsidRPr="00000000">
        <w:rPr>
          <w:rtl w:val="0"/>
        </w:rPr>
        <w:t xml:space="preserve">2.9 Legal Documents Required Before Launch</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checklist before the first paying user:</w:t>
      </w:r>
    </w:p>
    <w:p w:rsidR="00000000" w:rsidDel="00000000" w:rsidP="00000000" w:rsidRDefault="00000000" w:rsidRPr="00000000" w14: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Certificate of Incorporation (SPICe+ output)</w:t>
      </w:r>
    </w:p>
    <w:p w:rsidR="00000000" w:rsidDel="00000000" w:rsidP="00000000" w:rsidRDefault="00000000" w:rsidRPr="00000000" w14:paraId="000001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MoA and AoA (filed with SPICe+)</w:t>
      </w:r>
    </w:p>
    <w:p w:rsidR="00000000" w:rsidDel="00000000" w:rsidP="00000000" w:rsidRDefault="00000000" w:rsidRPr="00000000" w14:paraId="000001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Founders’ Agreement (signed pre-incorporation)</w:t>
      </w:r>
    </w:p>
    <w:p w:rsidR="00000000" w:rsidDel="00000000" w:rsidP="00000000" w:rsidRDefault="00000000" w:rsidRPr="00000000" w14:paraId="000001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Founder Stock Purchase Agreements with vesting (signed contemporaneously with share issuance)</w:t>
      </w:r>
    </w:p>
    <w:p w:rsidR="00000000" w:rsidDel="00000000" w:rsidP="00000000" w:rsidRDefault="00000000" w:rsidRPr="00000000" w14:paraId="000001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Founder IP Assignment Agreements</w:t>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 and TAN (auto-issued with SPICe+)</w:t>
      </w:r>
    </w:p>
    <w:p w:rsidR="00000000" w:rsidDel="00000000" w:rsidP="00000000" w:rsidRDefault="00000000" w:rsidRPr="00000000" w14:paraId="000001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Bank account opened (Razorpay X, ICICI iStart, HDFC SmartHub Vyapar are commonly used)</w:t>
      </w:r>
    </w:p>
    <w:p w:rsidR="00000000" w:rsidDel="00000000" w:rsidP="00000000" w:rsidRDefault="00000000" w:rsidRPr="00000000" w14:paraId="000001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GST registration if turnover &gt; ₹20 lakh threshold or interstate sales (most SaaS triggers this immediately)</w:t>
      </w:r>
    </w:p>
    <w:p w:rsidR="00000000" w:rsidDel="00000000" w:rsidP="00000000" w:rsidRDefault="00000000" w:rsidRPr="00000000" w14:paraId="000001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Shops &amp; Establishment registration in your state</w:t>
      </w:r>
    </w:p>
    <w:p w:rsidR="00000000" w:rsidDel="00000000" w:rsidP="00000000" w:rsidRDefault="00000000" w:rsidRPr="00000000" w14:paraId="000001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Terms of 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(covering license grant, restrictions, AI output disclaimers, no-warranty-of-medical-accuracy, IP, payment terms, liability cap, governing law = India)</w:t>
      </w:r>
    </w:p>
    <w:p w:rsidR="00000000" w:rsidDel="00000000" w:rsidP="00000000" w:rsidRDefault="00000000" w:rsidRPr="00000000" w14:paraId="000001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Privacy Policy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(DPDP-compliant — see 3.7 below)</w:t>
      </w:r>
    </w:p>
    <w:p w:rsidR="00000000" w:rsidDel="00000000" w:rsidP="00000000" w:rsidRDefault="00000000" w:rsidRPr="00000000" w14:paraId="000001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Processing Agreement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(DPA) template for institutional customers</w:t>
      </w:r>
    </w:p>
    <w:p w:rsidR="00000000" w:rsidDel="00000000" w:rsidP="00000000" w:rsidRDefault="00000000" w:rsidRPr="00000000" w14:paraId="000001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Cookie consent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mechanism</w:t>
      </w:r>
    </w:p>
    <w:p w:rsidR="00000000" w:rsidDel="00000000" w:rsidP="00000000" w:rsidRDefault="00000000" w:rsidRPr="00000000" w14:paraId="000001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 Use Disclosure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statement explaining models used, hallucination risk, human-in-the-loop requirement</w:t>
      </w:r>
    </w:p>
    <w:p w:rsidR="00000000" w:rsidDel="00000000" w:rsidP="00000000" w:rsidRDefault="00000000" w:rsidRPr="00000000" w14:paraId="000001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Acceptable Use Policy</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ESOP Plan (board-approved, even if not actively granting yet)</w:t>
      </w:r>
    </w:p>
    <w:p w:rsidR="00000000" w:rsidDel="00000000" w:rsidP="00000000" w:rsidRDefault="00000000" w:rsidRPr="00000000" w14:paraId="000001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DPIIT Startup India recognition</w:t>
      </w:r>
    </w:p>
    <w:p w:rsidR="00000000" w:rsidDel="00000000" w:rsidP="00000000" w:rsidRDefault="00000000" w:rsidRPr="00000000" w14:paraId="000001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MSDS / contractor agreements with all developers</w:t>
      </w:r>
    </w:p>
    <w:p w:rsidR="00000000" w:rsidDel="00000000" w:rsidP="00000000" w:rsidRDefault="00000000" w:rsidRPr="00000000" w14:paraId="000001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Trademark filing (at least Indian, ideally Indian + US ITU)</w:t>
      </w:r>
    </w:p>
    <w:p w:rsidR="00000000" w:rsidDel="00000000" w:rsidP="00000000" w:rsidRDefault="00000000" w:rsidRPr="00000000" w14:paraId="000001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Cyber liability insurance and professional indemnity insurance (the AI output liability question is real)</w:t>
      </w:r>
    </w:p>
    <w:bookmarkStart w:colFirst="0" w:colLast="0" w:name="bookmark=id.gqmoewri0jfi" w:id="42"/>
    <w:bookmarkEnd w:id="42"/>
    <w:p w:rsidR="00000000" w:rsidDel="00000000" w:rsidP="00000000" w:rsidRDefault="00000000" w:rsidRPr="00000000" w14:paraId="00000165">
      <w:pPr>
        <w:pStyle w:val="Heading1"/>
        <w:rPr/>
      </w:pPr>
      <w:bookmarkStart w:colFirst="0" w:colLast="0" w:name="_heading=h.vtuddthuyu11" w:id="43"/>
      <w:bookmarkEnd w:id="43"/>
      <w:r w:rsidDel="00000000" w:rsidR="00000000" w:rsidRPr="00000000">
        <w:rPr>
          <w:rtl w:val="0"/>
        </w:rPr>
        <w:t xml:space="preserve">Section 3 — Commercialization Roadmap</w:t>
      </w:r>
    </w:p>
    <w:bookmarkStart w:colFirst="0" w:colLast="0" w:name="bookmark=id.yjyyalm61r2h" w:id="44"/>
    <w:bookmarkEnd w:id="44"/>
    <w:p w:rsidR="00000000" w:rsidDel="00000000" w:rsidP="00000000" w:rsidRDefault="00000000" w:rsidRPr="00000000" w14:paraId="00000166">
      <w:pPr>
        <w:pStyle w:val="Heading2"/>
        <w:rPr/>
      </w:pPr>
      <w:bookmarkStart w:colFirst="0" w:colLast="0" w:name="_heading=h.hkfxnsjjo3r7" w:id="45"/>
      <w:bookmarkEnd w:id="45"/>
      <w:r w:rsidDel="00000000" w:rsidR="00000000" w:rsidRPr="00000000">
        <w:rPr>
          <w:rtl w:val="0"/>
        </w:rPr>
        <w:t xml:space="preserve">3.1 Beta Launch Strategy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Closed beta with 20–40 hand-selected researchers over 6–8 weeks, recruited from systematic-review communities, with explicit feedback obligations in exchange for free access.</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Tactically:</w:t>
      </w:r>
    </w:p>
    <w:p w:rsidR="00000000" w:rsidDel="00000000" w:rsidP="00000000" w:rsidRDefault="00000000" w:rsidRPr="00000000" w14:paraId="000001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Recruit from Cochrane review groups, PROSPERO-registered ongoing SR teams, JBI nodes, Campbell systematic reviewers, and university librarians who manage SR services.</w:t>
      </w:r>
    </w:p>
    <w:p w:rsidR="00000000" w:rsidDel="00000000" w:rsidP="00000000" w:rsidRDefault="00000000" w:rsidRPr="00000000" w14:paraId="000001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a public-facing landing page with a waitlist 6–8 weeks before opening beta — this is where the medRxiv preprint gets its first traffic. The waitlist itself is a marketing asset and an investor signal.</w:t>
      </w:r>
    </w:p>
    <w:p w:rsidR="00000000" w:rsidDel="00000000" w:rsidP="00000000" w:rsidRDefault="00000000" w:rsidRPr="00000000" w14:paraId="000001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beta user gets onboarding office hours (30 min Zoom), a Slack/Discord channel for issues, and a feedback survey at week 3 and week 6.</w:t>
      </w:r>
    </w:p>
    <w:p w:rsidR="00000000" w:rsidDel="00000000" w:rsidP="00000000" w:rsidRDefault="00000000" w:rsidRPr="00000000" w14:paraId="000001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Time-box the beta. A beta that runs forever has zero pricing leverage and trains users to expect “free”.</w:t>
      </w:r>
    </w:p>
    <w:p w:rsidR="00000000" w:rsidDel="00000000" w:rsidP="00000000" w:rsidRDefault="00000000" w:rsidRPr="00000000" w14:paraId="000001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end of beta, convert paying users explicitly. The single biggest mistake in academic SaaS is letting beta access drift into permanent free use.</w:t>
      </w:r>
    </w:p>
    <w:bookmarkStart w:colFirst="0" w:colLast="0" w:name="bookmark=id.i7zz7b09nq7" w:id="46"/>
    <w:bookmarkEnd w:id="46"/>
    <w:p w:rsidR="00000000" w:rsidDel="00000000" w:rsidP="00000000" w:rsidRDefault="00000000" w:rsidRPr="00000000" w14:paraId="0000016E">
      <w:pPr>
        <w:pStyle w:val="Heading2"/>
        <w:rPr/>
      </w:pPr>
      <w:bookmarkStart w:colFirst="0" w:colLast="0" w:name="_heading=h.7x0w0n56w23n" w:id="47"/>
      <w:bookmarkEnd w:id="47"/>
      <w:r w:rsidDel="00000000" w:rsidR="00000000" w:rsidRPr="00000000">
        <w:rPr>
          <w:rtl w:val="0"/>
        </w:rPr>
        <w:t xml:space="preserve">3.2 Academic User Acquisition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Distinct from regular SaaS GTM. The acquisition channels that actually work in this niche:</w:t>
      </w:r>
    </w:p>
    <w:p w:rsidR="00000000" w:rsidDel="00000000" w:rsidP="00000000" w:rsidRDefault="00000000" w:rsidRPr="00000000" w14:paraId="000001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Library partnerships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university librarians are the gatekeepers for Covidence institutional licenses (</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Covidence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450+ universities have Covidence institutional licenses. Building relationships with research librarians who manage SR services is the single highest-leverage GTM activity.</w:t>
      </w:r>
    </w:p>
    <w:p w:rsidR="00000000" w:rsidDel="00000000" w:rsidP="00000000" w:rsidRDefault="00000000" w:rsidRPr="00000000" w14:paraId="000001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Cochrane review groups and methodological networks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present at Cochrane Colloquium (annual), JBI events, Campbell Collaboration meetings, Global Evidence Summit. Conference adoption converts to institutional adoption.</w:t>
      </w:r>
    </w:p>
    <w:p w:rsidR="00000000" w:rsidDel="00000000" w:rsidP="00000000" w:rsidRDefault="00000000" w:rsidRPr="00000000" w14:paraId="000001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PROSPERO mining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every registered SR has an email contact. Cold outreach to active SR teams works if (a) you offer something they actually want and (b) you’re not generic.</w:t>
      </w:r>
    </w:p>
    <w:p w:rsidR="00000000" w:rsidDel="00000000" w:rsidP="00000000" w:rsidRDefault="00000000" w:rsidRPr="00000000" w14:paraId="000001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Methodologist influencers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there’s a small network of academic methodologists with outsized influence (e.g., authors of the published validation papers cited above). A genuine partnership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sponsorship — with one or two of them shifts perception.</w:t>
      </w:r>
    </w:p>
    <w:p w:rsidR="00000000" w:rsidDel="00000000" w:rsidP="00000000" w:rsidRDefault="00000000" w:rsidRPr="00000000" w14:paraId="000001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Workshops / training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free 90-minute webinars on “AI-assisted data extraction with TRIPOD+AI reporting” do better than product demos. The product is incidental.</w:t>
      </w:r>
    </w:p>
    <w:p w:rsidR="00000000" w:rsidDel="00000000" w:rsidP="00000000" w:rsidRDefault="00000000" w:rsidRPr="00000000" w14:paraId="000001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Open-source companion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release a free, open-source library/CLI that does basic extraction tasks. Users who adopt the OSS version convert to the SaaS version at 3–10% rates, which beats cold inbound by an order of magnitude.</w:t>
      </w:r>
    </w:p>
    <w:bookmarkStart w:colFirst="0" w:colLast="0" w:name="bookmark=id.dxm5x29t29ky" w:id="48"/>
    <w:bookmarkEnd w:id="48"/>
    <w:p w:rsidR="00000000" w:rsidDel="00000000" w:rsidP="00000000" w:rsidRDefault="00000000" w:rsidRPr="00000000" w14:paraId="00000176">
      <w:pPr>
        <w:pStyle w:val="Heading2"/>
        <w:rPr/>
      </w:pPr>
      <w:bookmarkStart w:colFirst="0" w:colLast="0" w:name="_heading=h.sk4up7ia8j43" w:id="49"/>
      <w:bookmarkEnd w:id="49"/>
      <w:r w:rsidDel="00000000" w:rsidR="00000000" w:rsidRPr="00000000">
        <w:rPr>
          <w:rtl w:val="0"/>
        </w:rPr>
        <w:t xml:space="preserve">3.3 University Partnerships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tiers: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1: Pilot programs with named champions.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Pick 3–5 universities. Each gets a free or heavily discounted institutional license in exchange for (a) a case-study writeup, (b) one academic co-authored paper, and (c) a named champion who will reference you to other institutions. Cohort size: 5–20 named users per institution.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Tier 2: Methodology centers.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Cochrane review groups, JBI nodes, AHRQ EPCs in the US, NIHR-funded SR groups in the UK. These groups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produce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dozens of SRs/year, so winning one of them generates a stream of papers that cite your software. Treat these like enterprise customers — long sales cycle, named account manager, custom onboarding.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Avoid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paying for “academic partnerships” that are mostly marketing. Real academic partnerships are bilateral and involve published outputs.</w:t>
      </w:r>
    </w:p>
    <w:bookmarkStart w:colFirst="0" w:colLast="0" w:name="bookmark=id.2ia769fjgv5r" w:id="50"/>
    <w:bookmarkEnd w:id="50"/>
    <w:p w:rsidR="00000000" w:rsidDel="00000000" w:rsidP="00000000" w:rsidRDefault="00000000" w:rsidRPr="00000000" w14:paraId="0000017B">
      <w:pPr>
        <w:pStyle w:val="Heading2"/>
        <w:rPr/>
      </w:pPr>
      <w:bookmarkStart w:colFirst="0" w:colLast="0" w:name="_heading=h.bl76m7tztnnc" w:id="51"/>
      <w:bookmarkEnd w:id="51"/>
      <w:r w:rsidDel="00000000" w:rsidR="00000000" w:rsidRPr="00000000">
        <w:rPr>
          <w:rtl w:val="0"/>
        </w:rPr>
        <w:t xml:space="preserve">3.4 Pricing Strategy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competitive landscape sets your pricing floor and ceiling.</w:t>
      </w:r>
    </w:p>
    <w:tbl>
      <w:tblPr>
        <w:tblStyle w:val="Table5"/>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Competitor</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Pricing</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Covidence individual</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$339/yr (1 review) / $907/yr (3 reviews)</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Covidence</w:t>
              </w:r>
            </w:hyperlink>
            <w:r w:rsidDel="00000000" w:rsidR="00000000" w:rsidRPr="00000000">
              <w:rPr>
                <w:rtl w:val="0"/>
              </w:rPr>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Covidence institutional</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$25,000/yr list, ~$12,500 Yr 1 negotiated</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FAU procurement</w:t>
              </w:r>
            </w:hyperlink>
            <w:r w:rsidDel="00000000" w:rsidR="00000000" w:rsidRPr="00000000">
              <w:rPr>
                <w:rtl w:val="0"/>
              </w:rPr>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Covidence (Research Gold synthesis)</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$240–450/yr per reviewer; institutional $3K–12K</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Research Gold</w:t>
              </w:r>
            </w:hyperlink>
            <w:r w:rsidDel="00000000" w:rsidR="00000000" w:rsidRPr="00000000">
              <w:rPr>
                <w:rtl w:val="0"/>
              </w:rPr>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DistillerSR student</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$19.95/mo for 3 users</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 pricing</w:t>
              </w:r>
            </w:hyperlink>
            <w:r w:rsidDel="00000000" w:rsidR="00000000" w:rsidRPr="00000000">
              <w:rPr>
                <w:rtl w:val="0"/>
              </w:rPr>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DistillerSR per project</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$94 / project</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 pricing</w:t>
              </w:r>
            </w:hyperlink>
            <w:r w:rsidDel="00000000" w:rsidR="00000000" w:rsidRPr="00000000">
              <w:rPr>
                <w:rtl w:val="0"/>
              </w:rPr>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DistillerSR research project</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$194</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 pricing</w:t>
              </w:r>
            </w:hyperlink>
            <w:r w:rsidDel="00000000" w:rsidR="00000000" w:rsidRPr="00000000">
              <w:rPr>
                <w:rtl w:val="0"/>
              </w:rPr>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DistillerSR enterprise</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~$5,000/yr+ minimum</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Research Gold AI tools 2026</w:t>
              </w:r>
            </w:hyperlink>
            <w:r w:rsidDel="00000000" w:rsidR="00000000" w:rsidRPr="00000000">
              <w:rPr>
                <w:rtl w:val="0"/>
              </w:rPr>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Rayyan</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 tier + ~$249/yr</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Research Gold AI tools 2026</w:t>
              </w:r>
            </w:hyperlink>
            <w:r w:rsidDel="00000000" w:rsidR="00000000" w:rsidRPr="00000000">
              <w:rPr>
                <w:rtl w:val="0"/>
              </w:rPr>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Atlas (2026 entrant)</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mid-market AI-native</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Atlas</w:t>
              </w:r>
            </w:hyperlink>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Recommended pricing 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Research Gold and DistillerSR as the closest market comps):</w:t>
      </w:r>
    </w:p>
    <w:tbl>
      <w:tblPr>
        <w:tblStyle w:val="Table6"/>
        <w:tblW w:w="9576.0" w:type="dxa"/>
        <w:jc w:val="left"/>
        <w:tblInd w:w="-108.0" w:type="dxa"/>
        <w:tblLayout w:type="fixed"/>
        <w:tblLook w:val="0020"/>
      </w:tblPr>
      <w:tblGrid>
        <w:gridCol w:w="2394"/>
        <w:gridCol w:w="2394"/>
        <w:gridCol w:w="2394"/>
        <w:gridCol w:w="2394"/>
        <w:tblGridChange w:id="0">
          <w:tblGrid>
            <w:gridCol w:w="2394"/>
            <w:gridCol w:w="2394"/>
            <w:gridCol w:w="2394"/>
            <w:gridCol w:w="2394"/>
          </w:tblGrid>
        </w:tblGridChange>
      </w:tblGrid>
      <w:tr>
        <w:trPr>
          <w:cantSplit w:val="0"/>
          <w:tblHeader w:val="1"/>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Tier</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Audience</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Limits</w:t>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Students, evaluators</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active project, 20 studies, watermarked exports, attribution-required citation</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Student</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Verified students</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$15/mo or $120/yr</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projects, 100 studies, no enterprise features</w:t>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Researcher</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Individual researcher</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$35/mo or $290/yr</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Unlimited projects, 1,000 studies/yr, advanced features</w:t>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 team (3–10 users)</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$1,500–3,500/yr</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researcher features + collaboration + admin</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Institutional</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University-wide site license</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$8,000–18,000/yr Yr 1; $15,000–30,000/yr Yr 3</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Unlimited users, SSO, audit logs, DPA, dedicated CSM</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Pharma, HTA agencies, regulators</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 (start at $30,000/yr)</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institutional + private hosting + SLAs + 21 CFR Part 11 readiness</w:t>
            </w:r>
          </w:p>
        </w:tc>
      </w:tr>
    </w:tb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pricing principles specific to academic SaaS:</w:t>
      </w:r>
    </w:p>
    <w:p w:rsidR="00000000" w:rsidDel="00000000" w:rsidP="00000000" w:rsidRDefault="00000000" w:rsidRPr="00000000" w14:paraId="000001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Always have a free tier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Discoverability and citation rate both depend on it. Rayyan’s growth came from this.</w:t>
      </w:r>
    </w:p>
    <w:p w:rsidR="00000000" w:rsidDel="00000000" w:rsidP="00000000" w:rsidRDefault="00000000" w:rsidRPr="00000000" w14:paraId="000001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Discount aggressively in Year 1 for institutions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(Covidence’s procurement quote shows 50% Yr 1, 25% Yr 2, list Yr 3 — </w:t>
      </w: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FAU</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the same pattern.</w:t>
      </w:r>
    </w:p>
    <w:p w:rsidR="00000000" w:rsidDel="00000000" w:rsidP="00000000" w:rsidRDefault="00000000" w:rsidRPr="00000000" w14:paraId="000001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Bill annually, not monthly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institutional and lab tiers. Procurement cycles are annual.</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usage-based pricing for academic users — they hate it. Use seat-based or project-based pricing instead.</w:t>
      </w:r>
    </w:p>
    <w:bookmarkStart w:colFirst="0" w:colLast="0" w:name="bookmark=id.txyzd1b6y67i" w:id="52"/>
    <w:bookmarkEnd w:id="52"/>
    <w:p w:rsidR="00000000" w:rsidDel="00000000" w:rsidP="00000000" w:rsidRDefault="00000000" w:rsidRPr="00000000" w14:paraId="000001BD">
      <w:pPr>
        <w:pStyle w:val="Heading2"/>
        <w:rPr/>
      </w:pPr>
      <w:bookmarkStart w:colFirst="0" w:colLast="0" w:name="_heading=h.84khb7pqkuz9" w:id="53"/>
      <w:bookmarkEnd w:id="53"/>
      <w:r w:rsidDel="00000000" w:rsidR="00000000" w:rsidRPr="00000000">
        <w:rPr>
          <w:rtl w:val="0"/>
        </w:rPr>
        <w:t xml:space="preserve">3.5 Enterprise Opportunities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non-obvious bigger market:</w:t>
      </w:r>
    </w:p>
    <w:p w:rsidR="00000000" w:rsidDel="00000000" w:rsidP="00000000" w:rsidRDefault="00000000" w:rsidRPr="00000000" w14:paraId="000001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Pharmaceutical companies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regulatory submissions, drug-safety reviews, market access dossiers. They pay 5–20× academic pricing. DistillerSR’s enterprise tier is heavily pharma-funded.</w:t>
      </w:r>
    </w:p>
    <w:p w:rsidR="00000000" w:rsidDel="00000000" w:rsidP="00000000" w:rsidRDefault="00000000" w:rsidRPr="00000000" w14:paraId="000001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HTA agencies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(NICE in the UK, CADTH in Canada, IQWiG in Germany, ICER in the US) — these conduct hundreds of evidence reviews per year. Long sales cycles, but landing one is transformative.</w:t>
      </w:r>
    </w:p>
    <w:p w:rsidR="00000000" w:rsidDel="00000000" w:rsidP="00000000" w:rsidRDefault="00000000" w:rsidRPr="00000000" w14:paraId="000001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Regulators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FDA Sentinel, EMA, MHRA. Procurement is glacial but the credibility halo is enormous.</w:t>
      </w:r>
    </w:p>
    <w:p w:rsidR="00000000" w:rsidDel="00000000" w:rsidP="00000000" w:rsidRDefault="00000000" w:rsidRPr="00000000" w14:paraId="000001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Clinical guideline developers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 ACP, AHA, NICE guideline committees).</w:t>
      </w:r>
    </w:p>
    <w:p w:rsidR="00000000" w:rsidDel="00000000" w:rsidP="00000000" w:rsidRDefault="00000000" w:rsidRPr="00000000" w14:paraId="000001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 / market-access consultancies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doing literature reviews for pharma clients.</w:t>
      </w:r>
    </w:p>
    <w:p w:rsidR="00000000" w:rsidDel="00000000" w:rsidP="00000000" w:rsidRDefault="00000000" w:rsidRPr="00000000" w14:paraId="000001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Cochrane Central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itself — a long-shot but worth pursuing.</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Enterprise readiness checklist: SSO (SAML/OIDC), audit logs, data residency options (EU, US, India), SOC 2 Type II, 21 CFR Part 11 readiness if pharma, BAA capability if any PHI, custom DPAs, on-prem or VPC deployment option for the most paranoid customers.</w:t>
      </w:r>
    </w:p>
    <w:bookmarkStart w:colFirst="0" w:colLast="0" w:name="bookmark=id.xi34so52xv3e" w:id="54"/>
    <w:bookmarkEnd w:id="54"/>
    <w:p w:rsidR="00000000" w:rsidDel="00000000" w:rsidP="00000000" w:rsidRDefault="00000000" w:rsidRPr="00000000" w14:paraId="000001C6">
      <w:pPr>
        <w:pStyle w:val="Heading2"/>
        <w:rPr/>
      </w:pPr>
      <w:bookmarkStart w:colFirst="0" w:colLast="0" w:name="_heading=h.yr7hh4f7pl3h" w:id="55"/>
      <w:bookmarkEnd w:id="55"/>
      <w:r w:rsidDel="00000000" w:rsidR="00000000" w:rsidRPr="00000000">
        <w:rPr>
          <w:rtl w:val="0"/>
        </w:rPr>
        <w:t xml:space="preserve">3.6 Regulatory and Compliance Considerations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legal regime for AI-assisted data extraction in evidence synthesis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itself heavily regulated, but adjacent regimes apply:</w:t>
      </w:r>
    </w:p>
    <w:p w:rsidR="00000000" w:rsidDel="00000000" w:rsidP="00000000" w:rsidRDefault="00000000" w:rsidRPr="00000000" w14:paraId="000001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a medical device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your tool extracts data from research papers; it does not diagnose, treat, or provide clinical decisions. So you are out of SaMD (Software as a Medical Device) / FDA Class II/III territory,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unless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start providing risk scores or clinical recommendations from extracted data. Stay out of that for v1.</w:t>
      </w:r>
    </w:p>
    <w:p w:rsidR="00000000" w:rsidDel="00000000" w:rsidP="00000000" w:rsidRDefault="00000000" w:rsidRPr="00000000" w14:paraId="000001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 you process PHI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if researchers upload de-identified patient data) — HIPAA and BAA obligations apply for US customers, and DPDP applies in India.</w:t>
      </w:r>
    </w:p>
    <w:p w:rsidR="00000000" w:rsidDel="00000000" w:rsidP="00000000" w:rsidRDefault="00000000" w:rsidRPr="00000000" w14:paraId="000001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GDPR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have any EU users or process EU residents’ data.</w:t>
      </w:r>
    </w:p>
    <w:p w:rsidR="00000000" w:rsidDel="00000000" w:rsidP="00000000" w:rsidRDefault="00000000" w:rsidRPr="00000000" w14:paraId="000001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DPDP Act 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DPDP Rules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(notified 14 November 2025) for India (</w:t>
      </w: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PIB India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ICMJE/COPE publication ethics standards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your tool must allow users to comply with these. AI Use Disclosure prompts in-app are a feature, not a footnote.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Reporting framework compliance to build in by design:</w:t>
      </w:r>
    </w:p>
    <w:p w:rsidR="00000000" w:rsidDel="00000000" w:rsidP="00000000" w:rsidRDefault="00000000" w:rsidRPr="00000000" w14:paraId="000001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PRISMA 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export</w:t>
      </w:r>
    </w:p>
    <w:p w:rsidR="00000000" w:rsidDel="00000000" w:rsidP="00000000" w:rsidRDefault="00000000" w:rsidRPr="00000000" w14:paraId="000001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TRIPOD+AI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BMJ 2024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TRIPOD-LLM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Nat Med 2025, PMID 39779929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bake the checklist into the export</w:t>
      </w:r>
    </w:p>
    <w:p w:rsidR="00000000" w:rsidDel="00000000" w:rsidP="00000000" w:rsidRDefault="00000000" w:rsidRPr="00000000" w14:paraId="000001D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PROBAST+AI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BMJ 2025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for users doing risk-of-bias</w:t>
      </w:r>
    </w:p>
    <w:p w:rsidR="00000000" w:rsidDel="00000000" w:rsidP="00000000" w:rsidRDefault="00000000" w:rsidRPr="00000000" w14:paraId="000001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Cochrane RAISE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Cochrane/Campbell/JBI/CEE position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Cochrane Library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AI disclosure section in Cochrane reviews</w:t>
      </w:r>
    </w:p>
    <w:p w:rsidR="00000000" w:rsidDel="00000000" w:rsidP="00000000" w:rsidRDefault="00000000" w:rsidRPr="00000000" w14:paraId="000001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CHARMS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prediction-model SRs (</w:t>
      </w: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TRIPOD-SRMA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single most defensible product positioning: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“AI-assisted, human-verified”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Cochrane and JBI are explicit that AI must not fully replace human reviewers (</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PMC RR Methods Group</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Lean into this; do not fight it.</w:t>
      </w:r>
    </w:p>
    <w:bookmarkStart w:colFirst="0" w:colLast="0" w:name="bookmark=id.ng5h09e5jqzf" w:id="56"/>
    <w:bookmarkEnd w:id="56"/>
    <w:p w:rsidR="00000000" w:rsidDel="00000000" w:rsidP="00000000" w:rsidRDefault="00000000" w:rsidRPr="00000000" w14:paraId="000001D4">
      <w:pPr>
        <w:pStyle w:val="Heading2"/>
        <w:rPr/>
      </w:pPr>
      <w:bookmarkStart w:colFirst="0" w:colLast="0" w:name="_heading=h.8k7qvrmqpq7f" w:id="57"/>
      <w:bookmarkEnd w:id="57"/>
      <w:r w:rsidDel="00000000" w:rsidR="00000000" w:rsidRPr="00000000">
        <w:rPr>
          <w:rtl w:val="0"/>
        </w:rPr>
        <w:t xml:space="preserve">3.7 Data Privacy Requirements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India-first DPDP compliance is your baseline.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GDPR-equivalent for EU customers. HIPAA-readiness for US healthcare customers.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DPDP Act 2023 + Rules 2025 checklist for an Indian SaaS (</w:t>
      </w: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KSandK</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Cyber Secify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RingSafe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Granular consent 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separate checkboxes for collection, processing, marketing, third-party sharing. Pre-ticked boxes are non-compliant.</w:t>
      </w:r>
    </w:p>
    <w:p w:rsidR="00000000" w:rsidDel="00000000" w:rsidP="00000000" w:rsidRDefault="00000000" w:rsidRPr="00000000" w14:paraId="000001D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Plain-language privacy notice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§5 elements (what data, purpose, rights, withdrawal, complaint mechanism), available in English + at least one Indian language.</w:t>
      </w:r>
    </w:p>
    <w:p w:rsidR="00000000" w:rsidDel="00000000" w:rsidP="00000000" w:rsidRDefault="00000000" w:rsidRPr="00000000" w14:paraId="000001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flow map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every personal-data element, source, purpose, lawful basis, storage location, retention period, downstream processors, cross-border flows.</w:t>
      </w:r>
    </w:p>
    <w:p w:rsidR="00000000" w:rsidDel="00000000" w:rsidP="00000000" w:rsidRDefault="00000000" w:rsidRPr="00000000" w14:paraId="000001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Vendor DPAs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with every subprocessor (OpenAI/Anthropic, AWS/GCP, payment processor, analytics tool).</w:t>
      </w:r>
    </w:p>
    <w:p w:rsidR="00000000" w:rsidDel="00000000" w:rsidP="00000000" w:rsidRDefault="00000000" w:rsidRPr="00000000" w14:paraId="000001D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Defined data retention periods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and an automated deletion mechanism.</w:t>
      </w:r>
    </w:p>
    <w:p w:rsidR="00000000" w:rsidDel="00000000" w:rsidP="00000000" w:rsidRDefault="00000000" w:rsidRPr="00000000" w14:paraId="000001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72-hour breach notification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documented incident response runbook.</w:t>
      </w:r>
    </w:p>
    <w:p w:rsidR="00000000" w:rsidDel="00000000" w:rsidP="00000000" w:rsidRDefault="00000000" w:rsidRPr="00000000" w14:paraId="000001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Parental consent 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users &lt; 18.</w:t>
      </w:r>
    </w:p>
    <w:p w:rsidR="00000000" w:rsidDel="00000000" w:rsidP="00000000" w:rsidRDefault="00000000" w:rsidRPr="00000000" w14:paraId="000001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Cross-border transfer documentation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under DPDP this is allowed except where the Central Government restricts a country, but you must document and disclose flows.</w:t>
      </w:r>
    </w:p>
    <w:p w:rsidR="00000000" w:rsidDel="00000000" w:rsidP="00000000" w:rsidRDefault="00000000" w:rsidRPr="00000000" w14:paraId="000001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Protection Officer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designated a Significant Data Fiduciary — likely not in early stage, but plan for it.</w:t>
      </w:r>
    </w:p>
    <w:p w:rsidR="00000000" w:rsidDel="00000000" w:rsidP="00000000" w:rsidRDefault="00000000" w:rsidRPr="00000000" w14:paraId="000001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Public grievance redressal mechanism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named contact and SLA.</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Penalties under DPDP are material: up to ₹250 crore per violation (</w:t>
      </w: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Cyber Secify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enterprise sales, the SOC 2 question:</w:t>
      </w:r>
    </w:p>
    <w:p w:rsidR="00000000" w:rsidDel="00000000" w:rsidP="00000000" w:rsidRDefault="00000000" w:rsidRPr="00000000" w14:paraId="000001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Year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aim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 2 Type 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end of Year 1 (~3–4 months audit window, $15,000–30,000 + ~$5,000/yr Drata/Vanta tooling).</w:t>
      </w:r>
    </w:p>
    <w:p w:rsidR="00000000" w:rsidDel="00000000" w:rsidP="00000000" w:rsidRDefault="00000000" w:rsidRPr="00000000" w14:paraId="000001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Year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 2 Type II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(12-month observation period). This is what enterprise/pharma customers will require.</w:t>
      </w:r>
    </w:p>
    <w:p w:rsidR="00000000" w:rsidDel="00000000" w:rsidP="00000000" w:rsidRDefault="00000000" w:rsidRPr="00000000" w14:paraId="000001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ISO 27001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sell to EU governments or large enterprise — but it is heavier than SOC 2 and lower-priority for first 18 months.</w:t>
      </w:r>
    </w:p>
    <w:bookmarkStart w:colFirst="0" w:colLast="0" w:name="bookmark=id.9hu9x7z89ock" w:id="58"/>
    <w:bookmarkEnd w:id="58"/>
    <w:p w:rsidR="00000000" w:rsidDel="00000000" w:rsidP="00000000" w:rsidRDefault="00000000" w:rsidRPr="00000000" w14:paraId="000001E6">
      <w:pPr>
        <w:pStyle w:val="Heading2"/>
        <w:rPr/>
      </w:pPr>
      <w:bookmarkStart w:colFirst="0" w:colLast="0" w:name="_heading=h.8cfcbthmwjig" w:id="59"/>
      <w:bookmarkEnd w:id="59"/>
      <w:r w:rsidDel="00000000" w:rsidR="00000000" w:rsidRPr="00000000">
        <w:rPr>
          <w:rtl w:val="0"/>
        </w:rPr>
        <w:t xml:space="preserve">3.8 Long-Term SaaS Scaling Roadmap</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Year-by-year compute, infra, and product priorities, calibrated to MVP-to-Series-A scale:</w:t>
      </w:r>
    </w:p>
    <w:tbl>
      <w:tblPr>
        <w:tblStyle w:val="Table7"/>
        <w:tblW w:w="9576.0" w:type="dxa"/>
        <w:jc w:val="left"/>
        <w:tblInd w:w="-108.0" w:type="dxa"/>
        <w:tblLayout w:type="fixed"/>
        <w:tblLook w:val="0020"/>
      </w:tblPr>
      <w:tblGrid>
        <w:gridCol w:w="1916"/>
        <w:gridCol w:w="1915"/>
        <w:gridCol w:w="1915"/>
        <w:gridCol w:w="1915"/>
        <w:gridCol w:w="1915"/>
        <w:tblGridChange w:id="0">
          <w:tblGrid>
            <w:gridCol w:w="1916"/>
            <w:gridCol w:w="1915"/>
            <w:gridCol w:w="1915"/>
            <w:gridCol w:w="1915"/>
            <w:gridCol w:w="1915"/>
          </w:tblGrid>
        </w:tblGridChange>
      </w:tblGrid>
      <w:tr>
        <w:trPr>
          <w:cantSplit w:val="0"/>
          <w:tblHeader w:val="1"/>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Infra</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target</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 mo</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Closed beta, validation paper, ToS/PrivPolicy</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Single-region AWS or GCP, no enterprise features</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 co-founder + 1 dev</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ARR (pilot users)</w:t>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6–12 mo</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launch with paid tiers; PROSPERO/Cochrane export</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Multi-region prep, audit logs, SSO ready</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frontend, + 1 ML engineer</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$30–80K ARR</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12–18 mo</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Enterprise feature set: SAML, audit logs, custom DPA, SOC 2 Type I</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EU and US regions live; SOC 2 Type I</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customer success, + 1 sales</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$200–500K ARR</w:t>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18–24 mo</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SR support, version diff’ing, API for institutional partners</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 2 Type II, 99.9% SLA</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sales, + 1 SDR</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$500K–1.5M ARR</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24–36 mo</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Workflow integrations (Cochrane, JBI, PROSPERO API); on-prem option for pharma</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Regional data residency; on-prem deployment package</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12–20 ppl</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$1.5–5M ARR</w:t>
            </w:r>
          </w:p>
        </w:tc>
      </w:tr>
    </w:tbl>
    <w:bookmarkStart w:colFirst="0" w:colLast="0" w:name="bookmark=id.c8ku2rk16kku" w:id="60"/>
    <w:bookmarkEnd w:id="60"/>
    <w:p w:rsidR="00000000" w:rsidDel="00000000" w:rsidP="00000000" w:rsidRDefault="00000000" w:rsidRPr="00000000" w14:paraId="00000206">
      <w:pPr>
        <w:pStyle w:val="Heading1"/>
        <w:rPr/>
      </w:pPr>
      <w:bookmarkStart w:colFirst="0" w:colLast="0" w:name="_heading=h.v31hethql7zb" w:id="61"/>
      <w:bookmarkEnd w:id="61"/>
      <w:r w:rsidDel="00000000" w:rsidR="00000000" w:rsidRPr="00000000">
        <w:rPr>
          <w:rtl w:val="0"/>
        </w:rPr>
        <w:t xml:space="preserve">Section 4 — Research and Business Synergy</w:t>
      </w:r>
    </w:p>
    <w:bookmarkStart w:colFirst="0" w:colLast="0" w:name="bookmark=id.v7pkl2mlsl1o" w:id="62"/>
    <w:bookmarkEnd w:id="62"/>
    <w:p w:rsidR="00000000" w:rsidDel="00000000" w:rsidP="00000000" w:rsidRDefault="00000000" w:rsidRPr="00000000" w14:paraId="00000207">
      <w:pPr>
        <w:pStyle w:val="Heading2"/>
        <w:rPr/>
      </w:pPr>
      <w:bookmarkStart w:colFirst="0" w:colLast="0" w:name="_heading=h.90kwaqxw4kvc" w:id="63"/>
      <w:bookmarkEnd w:id="63"/>
      <w:r w:rsidDel="00000000" w:rsidR="00000000" w:rsidRPr="00000000">
        <w:rPr>
          <w:rtl w:val="0"/>
        </w:rPr>
        <w:t xml:space="preserve">4.1 Growing Academic Credibility and Commercial Traction Simultaneously</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trap to avoid: treating the academic and commercial tracks as independent. They are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funnel.</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Mental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academic paper that uses your software is a marketing asset; every commercial customer is a potential co-author. The flywheel:</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paper → academic adoption → user reviews use the tool → those reviews cite the validation paper → citations build SEO authority → inbound traffic → free signups → paid conversions → revenue funds new validation studies → next paper → more citations →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Tactical implementations:</w:t>
      </w:r>
    </w:p>
    <w:p w:rsidR="00000000" w:rsidDel="00000000" w:rsidP="00000000" w:rsidRDefault="00000000" w:rsidRPr="00000000" w14:paraId="000002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Citation tracking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monitor Google Scholar weekly. Reach out personally to anyone who cites your paper to ask if they want a free institutional pilot.</w:t>
      </w:r>
    </w:p>
    <w:p w:rsidR="00000000" w:rsidDel="00000000" w:rsidP="00000000" w:rsidRDefault="00000000" w:rsidRPr="00000000" w14:paraId="0000020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Case studies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institutional customer gets a case-study write-up (their consent required), and ideally a co-authored methodology paper.</w:t>
      </w:r>
    </w:p>
    <w:p w:rsidR="00000000" w:rsidDel="00000000" w:rsidP="00000000" w:rsidRDefault="00000000" w:rsidRPr="00000000" w14:paraId="000002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Customer advisory 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4–8 named academics, quarterly calls, equity-light advisor agreements (0.1–0.25% each).</w:t>
      </w:r>
    </w:p>
    <w:p w:rsidR="00000000" w:rsidDel="00000000" w:rsidP="00000000" w:rsidRDefault="00000000" w:rsidRPr="00000000" w14:paraId="000002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Pre-publication access program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offer free access to actively-publishing SR teams in exchange for early feedback and citation on publication.</w:t>
      </w:r>
    </w:p>
    <w:bookmarkStart w:colFirst="0" w:colLast="0" w:name="bookmark=id.d0ik6qlqqkbq" w:id="64"/>
    <w:bookmarkEnd w:id="64"/>
    <w:p w:rsidR="00000000" w:rsidDel="00000000" w:rsidP="00000000" w:rsidRDefault="00000000" w:rsidRPr="00000000" w14:paraId="00000210">
      <w:pPr>
        <w:pStyle w:val="Heading2"/>
        <w:rPr/>
      </w:pPr>
      <w:bookmarkStart w:colFirst="0" w:colLast="0" w:name="_heading=h.z1yegmgzcfcp" w:id="65"/>
      <w:bookmarkEnd w:id="65"/>
      <w:r w:rsidDel="00000000" w:rsidR="00000000" w:rsidRPr="00000000">
        <w:rPr>
          <w:rtl w:val="0"/>
        </w:rPr>
        <w:t xml:space="preserve">4.2 Publication Pipeline Where Future Papers Cite the Software Paper</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Concrete sequence to build a citation pipeline:</w:t>
      </w:r>
    </w:p>
    <w:tbl>
      <w:tblPr>
        <w:tblStyle w:val="Table8"/>
        <w:tblW w:w="9576.0" w:type="dxa"/>
        <w:jc w:val="left"/>
        <w:tblInd w:w="-108.0" w:type="dxa"/>
        <w:tblLayout w:type="fixed"/>
        <w:tblLook w:val="0020"/>
      </w:tblPr>
      <w:tblGrid>
        <w:gridCol w:w="2394"/>
        <w:gridCol w:w="2394"/>
        <w:gridCol w:w="2394"/>
        <w:gridCol w:w="2394"/>
        <w:tblGridChange w:id="0">
          <w:tblGrid>
            <w:gridCol w:w="2394"/>
            <w:gridCol w:w="2394"/>
            <w:gridCol w:w="2394"/>
            <w:gridCol w:w="2394"/>
          </w:tblGrid>
        </w:tblGridChange>
      </w:tblGrid>
      <w:tr>
        <w:trPr>
          <w:cantSplit w:val="0"/>
          <w:tblHeader w:val="1"/>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Paper</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Timeline</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Authorship</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Validation/software paper</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Months 1–4</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 co-founder</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citable artifact</w:t>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JOSS software companion</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Months 2–4</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DOI</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Methodology benchmark paper</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Months 6–10</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+ 1–2 academic collaborators</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Head-to-head vs Elicit/Covidence AI</w:t>
            </w:r>
          </w:p>
        </w:tc>
      </w:tr>
      <w:tr>
        <w:trPr>
          <w:cantSplit w:val="0"/>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Case-study paper with first institutional customer</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Months 8–12</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customer + you</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Domain credibility</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Best-practices paper with methodological community</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Months 10–15</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 Cochrane methodologist</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 leadership</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Living SR feasibility paper</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Months 12–18</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 customer team</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Showcases unique capability</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Benchmark dataset paper</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Months 12–24</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 ≥ 1 academic</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Releases public benchmark; positions you as infrastructure</w:t>
            </w:r>
          </w:p>
        </w:tc>
      </w:tr>
    </w:tbl>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month 24 you have 5–7 papers in the literature, all citing paper #1. This is where the academic moat comes from.</w:t>
      </w:r>
    </w:p>
    <w:bookmarkStart w:colFirst="0" w:colLast="0" w:name="bookmark=id.i0abaz2fxlhl" w:id="66"/>
    <w:bookmarkEnd w:id="66"/>
    <w:p w:rsidR="00000000" w:rsidDel="00000000" w:rsidP="00000000" w:rsidRDefault="00000000" w:rsidRPr="00000000" w14:paraId="00000233">
      <w:pPr>
        <w:pStyle w:val="Heading2"/>
        <w:rPr/>
      </w:pPr>
      <w:bookmarkStart w:colFirst="0" w:colLast="0" w:name="_heading=h.y9k2zoifj09s" w:id="67"/>
      <w:bookmarkEnd w:id="67"/>
      <w:r w:rsidDel="00000000" w:rsidR="00000000" w:rsidRPr="00000000">
        <w:rPr>
          <w:rtl w:val="0"/>
        </w:rPr>
        <w:t xml:space="preserve">4.3 Converting Academic Adoption into SaaS Growth</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free→paid conversion mechanics specific to this market:</w:t>
      </w:r>
    </w:p>
    <w:p w:rsidR="00000000" w:rsidDel="00000000" w:rsidP="00000000" w:rsidRDefault="00000000" w:rsidRPr="00000000" w14:paraId="0000023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Per-project pricing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aligns with the user’s mental model — students think in projects, not seats. DistillerSR uses this (</w:t>
      </w: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Institutional “tap-on-the-shoulder” 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when 3+ users at the same university sign up individually, your sales team reaches out to the library to propose an institutional license. This is exactly how Covidence and DistillerSR grow.</w:t>
      </w:r>
    </w:p>
    <w:p w:rsidR="00000000" w:rsidDel="00000000" w:rsidP="00000000" w:rsidRDefault="00000000" w:rsidRPr="00000000" w14:paraId="000002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Citation banner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small “Powered by [Tool] — Cite us” footer in every export. Free virality.</w:t>
      </w:r>
    </w:p>
    <w:p w:rsidR="00000000" w:rsidDel="00000000" w:rsidP="00000000" w:rsidRDefault="00000000" w:rsidRPr="00000000" w14:paraId="000002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PI-led pull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students adopt tools, PIs renew them. Build features the PI cares about (compliance, audit trail, reporting) and features students care about (speed, UX), separately.</w:t>
      </w:r>
    </w:p>
    <w:p w:rsidR="00000000" w:rsidDel="00000000" w:rsidP="00000000" w:rsidRDefault="00000000" w:rsidRPr="00000000" w14:paraId="000002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PROSPERO crawl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monitor PROSPERO weekly for newly-registered SRs that match your product fit, then cold-outreach the corresponding author.</w:t>
      </w:r>
    </w:p>
    <w:bookmarkStart w:colFirst="0" w:colLast="0" w:name="bookmark=id.yueag8ugeqh9" w:id="68"/>
    <w:bookmarkEnd w:id="68"/>
    <w:p w:rsidR="00000000" w:rsidDel="00000000" w:rsidP="00000000" w:rsidRDefault="00000000" w:rsidRPr="00000000" w14:paraId="0000023A">
      <w:pPr>
        <w:pStyle w:val="Heading2"/>
        <w:rPr/>
      </w:pPr>
      <w:bookmarkStart w:colFirst="0" w:colLast="0" w:name="_heading=h.2uxv49bxksni" w:id="69"/>
      <w:bookmarkEnd w:id="69"/>
      <w:r w:rsidDel="00000000" w:rsidR="00000000" w:rsidRPr="00000000">
        <w:rPr>
          <w:rtl w:val="0"/>
        </w:rPr>
        <w:t xml:space="preserve">4.4 Positioning Against Existing Tools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competitive map, based on the comparison sources (</w:t>
      </w:r>
      <w:hyperlink r:id="rId1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Atlas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Research Gold</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PMC software comparison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PMC tools analysis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HKU LibGuide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9"/>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Competitor</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Weakness you can exploit</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Covidence</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Cochrane endorsement, end-to-end workflow, 450+ institutions</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features are assistive, not validated; expensive at institutional tier ($25K list); workflow-rigid</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DistillerSR</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enterprise/regulatory workflow, deepest features</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$5K minimum and confusing pricing; less LLM-native</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Rayyan</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 tier, huge user base, ML screening</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Weak data extraction; basic AI</w:t>
            </w:r>
          </w:p>
        </w:tc>
      </w:tr>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Elicit</w:t>
            </w: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LLM-native, fast, good UX</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PRISMA-compliant out of the box; confabulation; weak collaboration</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EPPI-Reviewer</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analytical depth, free for UK academics</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Steep learning curve, UI dated</w:t>
            </w:r>
          </w:p>
        </w:tc>
      </w:tr>
      <w:tr>
        <w:trPr>
          <w:cantSplit w:val="0"/>
          <w:tblHeader w:val="0"/>
        </w:trPr>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Nested Knowledge</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Modern living-review focus</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 established</w:t>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RobotReviewer</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 automated bias assessment</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Narrow scope, no extraction workflow</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Atlas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(2026 entrant)</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AI-native, modern</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unproven</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Positioning options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(pick one — do not muddle):</w:t>
      </w:r>
    </w:p>
    <w:p w:rsidR="00000000" w:rsidDel="00000000" w:rsidP="00000000" w:rsidRDefault="00000000" w:rsidRPr="00000000" w14:paraId="0000025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first peer-reviewed AI extraction platform that complies with TRIPOD+AI, PROBAST+AI, and RAISE out of the 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methodological credibility play. Strongest with Cochrane/JBI/HTA buyers.</w:t>
      </w:r>
    </w:p>
    <w:p w:rsidR="00000000" w:rsidDel="00000000" w:rsidP="00000000" w:rsidRDefault="00000000" w:rsidRPr="00000000" w14:paraId="000002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“AI-assisted extraction that takes 30 seconds instead of 30 minutes per study, with built-in PRISMA reporting.”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speed/UX play. Strongest with individual researchers and labs.</w:t>
      </w:r>
    </w:p>
    <w:p w:rsidR="00000000" w:rsidDel="00000000" w:rsidP="00000000" w:rsidRDefault="00000000" w:rsidRPr="00000000" w14:paraId="000002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Covidence alternative for AI-era systematic reviews.”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direct comparison play. Strongest in pricing-sensitive market.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strongest combination is #1 + #2, with #3 implicit in the pricing.</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should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claim: “Replaces human reviewers.” Cochrane, JBI, Campbell, and CEE have all explicitly stated AI cannot fully replace a human reviewer (</w:t>
      </w:r>
      <w:hyperlink r:id="rId1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Cochrane Library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PMC RR Methods Group</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Making that claim destroys methodological credibility for years.</w:t>
      </w:r>
    </w:p>
    <w:bookmarkStart w:colFirst="0" w:colLast="0" w:name="bookmark=id.8663ttiyeivf" w:id="70"/>
    <w:bookmarkEnd w:id="70"/>
    <w:p w:rsidR="00000000" w:rsidDel="00000000" w:rsidP="00000000" w:rsidRDefault="00000000" w:rsidRPr="00000000" w14:paraId="0000025D">
      <w:pPr>
        <w:pStyle w:val="Heading1"/>
        <w:rPr/>
      </w:pPr>
      <w:bookmarkStart w:colFirst="0" w:colLast="0" w:name="_heading=h.kus21wgg1j9w" w:id="71"/>
      <w:bookmarkEnd w:id="71"/>
      <w:r w:rsidDel="00000000" w:rsidR="00000000" w:rsidRPr="00000000">
        <w:rPr>
          <w:rtl w:val="0"/>
        </w:rPr>
        <w:t xml:space="preserve">Section 5 — 30-Day Action Plan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concrete and time-boxed. Assume you start week 1 today.</w:t>
      </w:r>
    </w:p>
    <w:bookmarkStart w:colFirst="0" w:colLast="0" w:name="bookmark=id.4dmvag5qpbn6" w:id="72"/>
    <w:bookmarkEnd w:id="72"/>
    <w:p w:rsidR="00000000" w:rsidDel="00000000" w:rsidP="00000000" w:rsidRDefault="00000000" w:rsidRPr="00000000" w14:paraId="0000025F">
      <w:pPr>
        <w:pStyle w:val="Heading2"/>
        <w:rPr/>
      </w:pPr>
      <w:bookmarkStart w:colFirst="0" w:colLast="0" w:name="_heading=h.tk4rtnvdfapv" w:id="73"/>
      <w:bookmarkEnd w:id="73"/>
      <w:r w:rsidDel="00000000" w:rsidR="00000000" w:rsidRPr="00000000">
        <w:rPr>
          <w:rtl w:val="0"/>
        </w:rPr>
        <w:t xml:space="preserve">Week 1 — Foundations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Publication track</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1–2: Finalize source SR list for validation study (3 SRs minimum from 2–3 clinical domains). Reach out to original review teams to request gold-standard extracted data.</w:t>
      </w:r>
    </w:p>
    <w:p w:rsidR="00000000" w:rsidDel="00000000" w:rsidP="00000000" w:rsidRDefault="00000000" w:rsidRPr="00000000" w14:paraId="0000026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3: Draft validation study protocol using TRIPOD-LLM checklist as template (</w:t>
      </w:r>
      <w:hyperlink r:id="rId1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Nat Med 2025, PMID 39779929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4–5: Register protocol on Open Science Framework (OSF). Do not skip this; it is the difference between a publishable study and a borderline one.</w:t>
      </w:r>
    </w:p>
    <w:p w:rsidR="00000000" w:rsidDel="00000000" w:rsidP="00000000" w:rsidRDefault="00000000" w:rsidRPr="00000000" w14:paraId="0000026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6–7: Set up data-collection infrastructure (extraction forms, comparator scripts, evaluation harness).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Legal track</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 Begin co-founder honest equity conversation. Don’t rush.</w:t>
      </w:r>
    </w:p>
    <w:p w:rsidR="00000000" w:rsidDel="00000000" w:rsidP="00000000" w:rsidRDefault="00000000" w:rsidRPr="00000000" w14:paraId="000002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2–3: Engage a startup lawyer in India (₹50K–1L retainer typical for 0–6 months). Use a recognized firm — IndusLaw, Cyril Amarchand, AZB, Khaitan, or specialized boutiques like Veyrah, Burgeon Law.</w:t>
      </w:r>
    </w:p>
    <w:p w:rsidR="00000000" w:rsidDel="00000000" w:rsidP="00000000" w:rsidRDefault="00000000" w:rsidRPr="00000000" w14:paraId="000002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4–7: Draft Founders’ Agreement. Iterate until both founders agree without reservation. Do not sign yet.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Product track</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1–7: Internal feature freeze. Stop adding features; harden what exists. Identify the 3 features absolutely needed for a beta and cut everything else.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 track</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1–3: Run trademark clearance search (India + US + EU). If your intended name is taken or risky, choose a new one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in month 3.</w:t>
      </w:r>
    </w:p>
    <w:p w:rsidR="00000000" w:rsidDel="00000000" w:rsidP="00000000" w:rsidRDefault="00000000" w:rsidRPr="00000000" w14:paraId="000002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4–7: Register domains, social handles, GitHub org. Set up Gmail Workspace or Zoho Mail for the new name.</w:t>
      </w:r>
    </w:p>
    <w:bookmarkStart w:colFirst="0" w:colLast="0" w:name="bookmark=id.vi54jjf1meyp" w:id="74"/>
    <w:bookmarkEnd w:id="74"/>
    <w:p w:rsidR="00000000" w:rsidDel="00000000" w:rsidP="00000000" w:rsidRDefault="00000000" w:rsidRPr="00000000" w14:paraId="0000026E">
      <w:pPr>
        <w:pStyle w:val="Heading2"/>
        <w:rPr/>
      </w:pPr>
      <w:bookmarkStart w:colFirst="0" w:colLast="0" w:name="_heading=h.913ltdiitu7j" w:id="75"/>
      <w:bookmarkEnd w:id="75"/>
      <w:r w:rsidDel="00000000" w:rsidR="00000000" w:rsidRPr="00000000">
        <w:rPr>
          <w:rtl w:val="0"/>
        </w:rPr>
        <w:t xml:space="preserve">Week 2 — Incorporation and Validation Setup</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Publication track</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8–10: Recruit two human extractors for the gold-standard work (paid contractors, ₹30–60K each for 30–50 hours). Onboard with extraction guidelines.</w:t>
      </w:r>
    </w:p>
    <w:p w:rsidR="00000000" w:rsidDel="00000000" w:rsidP="00000000" w:rsidRDefault="00000000" w:rsidRPr="00000000" w14:paraId="0000027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11–14: Pilot the extraction pipeline on 5 papers to debug. Identify any issues before scaling.</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Legal track</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8: Sign Founders’ Agreement and IP Assignment Agreement.</w:t>
      </w:r>
    </w:p>
    <w:p w:rsidR="00000000" w:rsidDel="00000000" w:rsidP="00000000" w:rsidRDefault="00000000" w:rsidRPr="00000000" w14:paraId="000002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9–10: Obtain DSC (Digital Signature Certificate) for both directors. Cost ₹1,500–2,500 each, takes 1–2 days (</w:t>
      </w:r>
      <w:hyperlink r:id="rId1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RegisterKaro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LAFFAZ</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11–14: File SPICe+ on MCA portal. Submit MoA, AoA, registered office proof. Expect 7–10 working days to Certificate of Incorporation.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Product track</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8–14: Build the in-app citation banner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CITATION.cff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Provision Zenodo for software DOI.</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 track</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8: File Indian trademark (Classes 9 and 42) under the new Pvt. Ltd. name.</w:t>
      </w:r>
    </w:p>
    <w:p w:rsidR="00000000" w:rsidDel="00000000" w:rsidP="00000000" w:rsidRDefault="00000000" w:rsidRPr="00000000" w14:paraId="0000027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12: Set up Carta-equivalent or Pulley-equivalent for India — most Indian Pvt. Ltds. use a CS firm’s cap-table sheet plus the MCA filings. Aladdin/Eqvista/QuotaBook are India-available alternatives.</w:t>
      </w:r>
    </w:p>
    <w:bookmarkStart w:colFirst="0" w:colLast="0" w:name="bookmark=id.oqkeoj56fmj8" w:id="76"/>
    <w:bookmarkEnd w:id="76"/>
    <w:p w:rsidR="00000000" w:rsidDel="00000000" w:rsidP="00000000" w:rsidRDefault="00000000" w:rsidRPr="00000000" w14:paraId="0000027B">
      <w:pPr>
        <w:pStyle w:val="Heading2"/>
        <w:rPr/>
      </w:pPr>
      <w:bookmarkStart w:colFirst="0" w:colLast="0" w:name="_heading=h.ojmiq4ovh36h" w:id="77"/>
      <w:bookmarkEnd w:id="77"/>
      <w:r w:rsidDel="00000000" w:rsidR="00000000" w:rsidRPr="00000000">
        <w:rPr>
          <w:rtl w:val="0"/>
        </w:rPr>
        <w:t xml:space="preserve">Week 3 — Validation Execution Begins, Company Live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Publication track</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15–21: Run extraction pipeline on full sample. In parallel, run comparator extractions (Elicit free tier, vanilla ChatGPT). Two human extractors do gold-standard extraction independently. Begin disagreement adjudication.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Legal track</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15: Receive Certificate of Incorporation. PAN/TAN delivered with it.</w:t>
      </w:r>
    </w:p>
    <w:p w:rsidR="00000000" w:rsidDel="00000000" w:rsidP="00000000" w:rsidRDefault="00000000" w:rsidRPr="00000000" w14:paraId="0000028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16: Open company bank account (Razorpay X / ICICI iStart). Initial deposit of paid-up capital from founder bank accounts.</w:t>
      </w:r>
    </w:p>
    <w:p w:rsidR="00000000" w:rsidDel="00000000" w:rsidP="00000000" w:rsidRDefault="00000000" w:rsidRPr="00000000" w14:paraId="0000028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17: File DPIIT Startup India recognition application.</w:t>
      </w:r>
    </w:p>
    <w:p w:rsidR="00000000" w:rsidDel="00000000" w:rsidP="00000000" w:rsidRDefault="00000000" w:rsidRPr="00000000" w14:paraId="000002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18–21: Issue founder shares with vesting schedule attached. Execute Founder Stock Purchase Agreements. Update cap table.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Product track</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15–21: Implement DPDP-compliant consent UI, privacy notice, data flow audit.</w:t>
      </w:r>
    </w:p>
    <w:p w:rsidR="00000000" w:rsidDel="00000000" w:rsidP="00000000" w:rsidRDefault="00000000" w:rsidRPr="00000000" w14:paraId="0000028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18: Draft Terms of Service, Privacy Policy, DPA, AI Use Disclosure — share with lawyer for review.</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 track</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19: Apply for GST registration if you’ll cross threshold (most SaaS does).</w:t>
      </w:r>
    </w:p>
    <w:p w:rsidR="00000000" w:rsidDel="00000000" w:rsidP="00000000" w:rsidRDefault="00000000" w:rsidRPr="00000000" w14:paraId="000002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21: Stand up the landing page + waitlist signup. Begin building the email list.</w:t>
      </w:r>
    </w:p>
    <w:bookmarkStart w:colFirst="0" w:colLast="0" w:name="bookmark=id.vhj2o5e2k6kl" w:id="78"/>
    <w:bookmarkEnd w:id="78"/>
    <w:p w:rsidR="00000000" w:rsidDel="00000000" w:rsidP="00000000" w:rsidRDefault="00000000" w:rsidRPr="00000000" w14:paraId="00000289">
      <w:pPr>
        <w:pStyle w:val="Heading2"/>
        <w:rPr/>
      </w:pPr>
      <w:bookmarkStart w:colFirst="0" w:colLast="0" w:name="_heading=h.8q9yn2t2qegh" w:id="79"/>
      <w:bookmarkEnd w:id="79"/>
      <w:r w:rsidDel="00000000" w:rsidR="00000000" w:rsidRPr="00000000">
        <w:rPr>
          <w:rtl w:val="0"/>
        </w:rPr>
        <w:t xml:space="preserve">Week 4 — Manuscript Draft, Beta Recruitment, Launch Prep</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Publication track</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22–28: Complete data analysis. Generate confusion matrices, error taxonomy, time-savings analysis, stratified performance by data-type.</w:t>
      </w:r>
    </w:p>
    <w:p w:rsidR="00000000" w:rsidDel="00000000" w:rsidP="00000000" w:rsidRDefault="00000000" w:rsidRPr="00000000" w14:paraId="0000028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25–28: Begin drafting manuscript using IMRAD structure: Background → Methods (with TRIPOD-LLM checklist as appendix) → Results → Discussion (with limitations, RAISE disclosure, COI). Aim for first draft by end of Week 4.</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Legal track</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22–24: Finalize ToS, Privacy Policy, DPA, AUP after lawyer review. Publish on website.</w:t>
      </w:r>
    </w:p>
    <w:p w:rsidR="00000000" w:rsidDel="00000000" w:rsidP="00000000" w:rsidRDefault="00000000" w:rsidRPr="00000000" w14:paraId="0000028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25–28: File US Intent-to-Use trademark application (priority date locked).</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Product track</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22–28: Implement export to PRISMA flow diagram, TRIPOD+AI-aligned methods text, and RAISE AI Use Disclosure block. These are conversion-relevant features.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Company track</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22: Open beta recruitment email goes out to waitlist. Aim for 30–50 confirmed beta users by end of Week 4.</w:t>
      </w:r>
    </w:p>
    <w:p w:rsidR="00000000" w:rsidDel="00000000" w:rsidP="00000000" w:rsidRDefault="00000000" w:rsidRPr="00000000" w14:paraId="0000029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Day 26: Investor outreach prep — draft a 10-slide deck. Don’t pitch yet; just be ready.</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Milestones at end of Day 30</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Pvt. Ltd. incorporated, DPIIT applied, GST registered, bank account live, founders’ shares issued with vesting</w:t>
      </w:r>
    </w:p>
    <w:p w:rsidR="00000000" w:rsidDel="00000000" w:rsidP="00000000" w:rsidRDefault="00000000" w:rsidRPr="00000000" w14:paraId="0000029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Trademark filed in India + US (ITU)</w:t>
      </w:r>
    </w:p>
    <w:p w:rsidR="00000000" w:rsidDel="00000000" w:rsidP="00000000" w:rsidRDefault="00000000" w:rsidRPr="00000000" w14:paraId="0000029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Founders’ Agreement + IP Assignment + ToS + Privacy + DPA all signed and published</w:t>
      </w:r>
    </w:p>
    <w:p w:rsidR="00000000" w:rsidDel="00000000" w:rsidP="00000000" w:rsidRDefault="00000000" w:rsidRPr="00000000" w14:paraId="0000029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study data collection complete; manuscript first draft underway</w:t>
      </w:r>
    </w:p>
    <w:p w:rsidR="00000000" w:rsidDel="00000000" w:rsidP="00000000" w:rsidRDefault="00000000" w:rsidRPr="00000000" w14:paraId="0000029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Landing page live, waitlist ≥ 200, beta cohort ≥ 30</w:t>
      </w:r>
    </w:p>
    <w:p w:rsidR="00000000" w:rsidDel="00000000" w:rsidP="00000000" w:rsidRDefault="00000000" w:rsidRPr="00000000" w14:paraId="0000029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Citation banner + CITATION.cff in product</w:t>
      </w:r>
    </w:p>
    <w:bookmarkStart w:colFirst="0" w:colLast="0" w:name="bookmark=id.t9p7biy1rxgb" w:id="80"/>
    <w:bookmarkEnd w:id="80"/>
    <w:p w:rsidR="00000000" w:rsidDel="00000000" w:rsidP="00000000" w:rsidRDefault="00000000" w:rsidRPr="00000000" w14:paraId="0000029C">
      <w:pPr>
        <w:pStyle w:val="Heading1"/>
        <w:rPr/>
      </w:pPr>
      <w:bookmarkStart w:colFirst="0" w:colLast="0" w:name="_heading=h.6h42otda63h8" w:id="81"/>
      <w:bookmarkEnd w:id="81"/>
      <w:r w:rsidDel="00000000" w:rsidR="00000000" w:rsidRPr="00000000">
        <w:rPr>
          <w:rtl w:val="0"/>
        </w:rPr>
        <w:t xml:space="preserve">Section 6 — 12-Month Strategic Roadmap</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Organized by track. Numbers are realistic for a two-founder, 1–3 developer team.</w:t>
      </w:r>
    </w:p>
    <w:bookmarkStart w:colFirst="0" w:colLast="0" w:name="bookmark=id.3oz0w2d7wipz" w:id="82"/>
    <w:bookmarkEnd w:id="82"/>
    <w:p w:rsidR="00000000" w:rsidDel="00000000" w:rsidP="00000000" w:rsidRDefault="00000000" w:rsidRPr="00000000" w14:paraId="0000029E">
      <w:pPr>
        <w:pStyle w:val="Heading2"/>
        <w:rPr/>
      </w:pPr>
      <w:bookmarkStart w:colFirst="0" w:colLast="0" w:name="_heading=h.kql6jlwbvnfu" w:id="83"/>
      <w:bookmarkEnd w:id="83"/>
      <w:r w:rsidDel="00000000" w:rsidR="00000000" w:rsidRPr="00000000">
        <w:rPr>
          <w:rtl w:val="0"/>
        </w:rPr>
        <w:t xml:space="preserve">6.1 Product Roadmap</w:t>
      </w:r>
    </w:p>
    <w:tbl>
      <w:tblPr>
        <w:tblStyle w:val="Table10"/>
        <w:tblW w:w="9576.0" w:type="dxa"/>
        <w:jc w:val="left"/>
        <w:tblInd w:w="-108.0" w:type="dxa"/>
        <w:tblLayout w:type="fixed"/>
        <w:tblLook w:val="0020"/>
      </w:tblPr>
      <w:tblGrid>
        <w:gridCol w:w="4788"/>
        <w:gridCol w:w="4788"/>
        <w:tblGridChange w:id="0">
          <w:tblGrid>
            <w:gridCol w:w="4788"/>
            <w:gridCol w:w="4788"/>
          </w:tblGrid>
        </w:tblGridChange>
      </w:tblGrid>
      <w:tr>
        <w:trPr>
          <w:cantSplit w:val="0"/>
          <w:tblHeader w:val="1"/>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Quarter</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priorities</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Q1 (M1–3)</w:t>
            </w: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Production-hardening, DPDP-compliant onboarding, PRISMA/TRIPOD/RAISE-aligned exports, in-app citation banner, basic team collaboration.</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Q2 (M4–6)</w:t>
            </w: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launch. Stripe billing, free + paid tiers live. SSO (Google, Microsoft). Audit logs. Public API v1 (read-only).</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Q3 (M7–9)</w:t>
            </w: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Institutional features: SAML SSO, org admin console, custom DPA flow, usage analytics for librarians. Begin SOC 2 Type I process. Living-SR support (version diff’ing, alert on new evidence).</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Q4 (M10–12)</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 2 Type I achieved. EU data residency live. Workflow integrations: Cochrane RevMan import, Rayyan/Covidence import for migration, Zotero/Mendeley integration.</w:t>
            </w:r>
          </w:p>
        </w:tc>
      </w:tr>
    </w:tbl>
    <w:bookmarkStart w:colFirst="0" w:colLast="0" w:name="bookmark=id.v6fz1gi38iw7" w:id="84"/>
    <w:bookmarkEnd w:id="84"/>
    <w:p w:rsidR="00000000" w:rsidDel="00000000" w:rsidP="00000000" w:rsidRDefault="00000000" w:rsidRPr="00000000" w14:paraId="000002A9">
      <w:pPr>
        <w:pStyle w:val="Heading2"/>
        <w:rPr/>
      </w:pPr>
      <w:bookmarkStart w:colFirst="0" w:colLast="0" w:name="_heading=h.s9iqu8mknjoz" w:id="85"/>
      <w:bookmarkEnd w:id="85"/>
      <w:r w:rsidDel="00000000" w:rsidR="00000000" w:rsidRPr="00000000">
        <w:rPr>
          <w:rtl w:val="0"/>
        </w:rPr>
        <w:t xml:space="preserve">6.2 Publication Roadmap</w:t>
      </w:r>
    </w:p>
    <w:tbl>
      <w:tblPr>
        <w:tblStyle w:val="Table11"/>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Paper</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study protocol on OSF</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Published</w:t>
            </w:r>
          </w:p>
        </w:tc>
      </w:tr>
      <w:tr>
        <w:trPr>
          <w:cantSplit w:val="0"/>
          <w:tblHeader w:val="0"/>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M2</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paper draft complete</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review</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medRxiv preprint posted; journal submission (JCE or RSM)</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Submitted</w:t>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M4</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JOSS companion submission</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Submitted</w:t>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M6</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revision response (assuming reviews come back at M5)</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review</w:t>
            </w:r>
          </w:p>
        </w:tc>
      </w:tr>
      <w:tr>
        <w:trPr>
          <w:cantSplit w:val="0"/>
          <w:tblHeader w:val="0"/>
        </w:trPr>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M7</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paper accepted (realistic case); JOSS accepted</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Published</w:t>
            </w:r>
          </w:p>
        </w:tc>
      </w:tr>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M8–10</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Methodology benchmark paper (head-to-head vs Covidence AI + Elicit + ChatGPT)</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Drafting</w:t>
            </w:r>
          </w:p>
        </w:tc>
      </w:tr>
      <w:tr>
        <w:trPr>
          <w:cantSplit w:val="0"/>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M9–12</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customer case-study paper</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Drafting</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M12</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Benchmark dataset paper draft</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Preparing release</w:t>
            </w:r>
          </w:p>
        </w:tc>
      </w:tr>
    </w:tbl>
    <w:bookmarkStart w:colFirst="0" w:colLast="0" w:name="bookmark=id.spoxu5imf09h" w:id="86"/>
    <w:bookmarkEnd w:id="86"/>
    <w:p w:rsidR="00000000" w:rsidDel="00000000" w:rsidP="00000000" w:rsidRDefault="00000000" w:rsidRPr="00000000" w14:paraId="000002C8">
      <w:pPr>
        <w:pStyle w:val="Heading2"/>
        <w:rPr/>
      </w:pPr>
      <w:bookmarkStart w:colFirst="0" w:colLast="0" w:name="_heading=h.zctr7rbypqxi" w:id="87"/>
      <w:bookmarkEnd w:id="87"/>
      <w:r w:rsidDel="00000000" w:rsidR="00000000" w:rsidRPr="00000000">
        <w:rPr>
          <w:rtl w:val="0"/>
        </w:rPr>
        <w:t xml:space="preserve">6.3 Funding Roadmap</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non-obvious recommendation for your situation: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bootstrap or angel-fund through the validation paper and first 50–100 paying users, then raise on real traction, not on a pitch.</w:t>
      </w:r>
      <w:r w:rsidDel="00000000" w:rsidR="00000000" w:rsidRPr="00000000">
        <w:rPr>
          <w:rtl w:val="0"/>
        </w:rPr>
      </w:r>
    </w:p>
    <w:tbl>
      <w:tblPr>
        <w:tblStyle w:val="Table12"/>
        <w:tblW w:w="9576.0" w:type="dxa"/>
        <w:jc w:val="left"/>
        <w:tblInd w:w="-108.0" w:type="dxa"/>
        <w:tblLayout w:type="fixed"/>
        <w:tblLook w:val="0020"/>
      </w:tblPr>
      <w:tblGrid>
        <w:gridCol w:w="1916"/>
        <w:gridCol w:w="1915"/>
        <w:gridCol w:w="1915"/>
        <w:gridCol w:w="1915"/>
        <w:gridCol w:w="1915"/>
        <w:tblGridChange w:id="0">
          <w:tblGrid>
            <w:gridCol w:w="1916"/>
            <w:gridCol w:w="1915"/>
            <w:gridCol w:w="1915"/>
            <w:gridCol w:w="1915"/>
            <w:gridCol w:w="1915"/>
          </w:tblGrid>
        </w:tblGridChange>
      </w:tblGrid>
      <w:tr>
        <w:trPr>
          <w:cantSplit w:val="0"/>
          <w:tblHeader w:val="1"/>
        </w:trPr>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Timing</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Amount</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Pre-incorporation</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M0</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₹0–5L of founder capital</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Founder savings</w:t>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Bootstrap / pre-seed angel</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M3–6</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₹25L–1.5Cr</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Indian SaaS angels, DPIIT-recognized angel investors</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Validates the round you’ll raise later</w:t>
            </w:r>
          </w:p>
        </w:tc>
      </w:tr>
      <w:tr>
        <w:trPr>
          <w:cantSplit w:val="0"/>
          <w:tblHeader w:val="0"/>
        </w:trPr>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Seed</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M9–12</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₹3–8Cr ($400K–$1M)</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Seed funds: Together Fund, Stellaris, Blume, Accel Atoms, 100Unicorns</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validation paper accepted + $30K+ ARR</w:t>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Series A</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M18–24</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₹15–40Cr ($2–5M)</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Bigger funds;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when the Delaware flip question becomes real</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$500K+ ARR with predictable growth</w:t>
            </w:r>
          </w:p>
        </w:tc>
      </w:tr>
    </w:tbl>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Grants worth applying to in parallel:</w:t>
      </w:r>
    </w:p>
    <w:p w:rsidR="00000000" w:rsidDel="00000000" w:rsidP="00000000" w:rsidRDefault="00000000" w:rsidRPr="00000000" w14:paraId="000002E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DST/SERB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technology development grants (India)</w:t>
      </w:r>
    </w:p>
    <w:p w:rsidR="00000000" w:rsidDel="00000000" w:rsidP="00000000" w:rsidRDefault="00000000" w:rsidRPr="00000000" w14:paraId="000002E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BIRAC BIG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any health-data angle (₹50L)</w:t>
      </w:r>
    </w:p>
    <w:p w:rsidR="00000000" w:rsidDel="00000000" w:rsidP="00000000" w:rsidRDefault="00000000" w:rsidRPr="00000000" w14:paraId="000002E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NIDHI-PRAYAS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(₹10L pre-incubation grant via your nearest incubator)</w:t>
      </w:r>
    </w:p>
    <w:p w:rsidR="00000000" w:rsidDel="00000000" w:rsidP="00000000" w:rsidRDefault="00000000" w:rsidRPr="00000000" w14:paraId="000002E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Startup India Seed Fund Scheme (SISFS)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up to ₹50L, via approved incubators</w:t>
      </w:r>
    </w:p>
    <w:p w:rsidR="00000000" w:rsidDel="00000000" w:rsidP="00000000" w:rsidRDefault="00000000" w:rsidRPr="00000000" w14:paraId="000002E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Wellcome 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 calls (UK-based; collaborate with a UK academic for eligibility)</w:t>
      </w:r>
    </w:p>
    <w:p w:rsidR="00000000" w:rsidDel="00000000" w:rsidP="00000000" w:rsidRDefault="00000000" w:rsidRPr="00000000" w14:paraId="000002E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NIHR Invention for Innovation (i4i)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(UK)</w:t>
      </w:r>
    </w:p>
    <w:bookmarkStart w:colFirst="0" w:colLast="0" w:name="bookmark=id.ch78d463awds" w:id="88"/>
    <w:bookmarkEnd w:id="88"/>
    <w:p w:rsidR="00000000" w:rsidDel="00000000" w:rsidP="00000000" w:rsidRDefault="00000000" w:rsidRPr="00000000" w14:paraId="000002EA">
      <w:pPr>
        <w:pStyle w:val="Heading2"/>
        <w:rPr/>
      </w:pPr>
      <w:bookmarkStart w:colFirst="0" w:colLast="0" w:name="_heading=h.ktw5fwqqw7sn" w:id="89"/>
      <w:bookmarkEnd w:id="89"/>
      <w:r w:rsidDel="00000000" w:rsidR="00000000" w:rsidRPr="00000000">
        <w:rPr>
          <w:rtl w:val="0"/>
        </w:rPr>
        <w:t xml:space="preserve">6.4 Team-Building Roadmap</w:t>
      </w:r>
    </w:p>
    <w:tbl>
      <w:tblPr>
        <w:tblStyle w:val="Table13"/>
        <w:tblW w:w="9576.0" w:type="dxa"/>
        <w:jc w:val="left"/>
        <w:tblInd w:w="-108.0" w:type="dxa"/>
        <w:tblLayout w:type="fixed"/>
        <w:tblLook w:val="0020"/>
      </w:tblPr>
      <w:tblGrid>
        <w:gridCol w:w="3192"/>
        <w:gridCol w:w="3192"/>
        <w:gridCol w:w="3192"/>
        <w:tblGridChange w:id="0">
          <w:tblGrid>
            <w:gridCol w:w="3192"/>
            <w:gridCol w:w="3192"/>
            <w:gridCol w:w="3192"/>
          </w:tblGrid>
        </w:tblGridChange>
      </w:tblGrid>
      <w:tr>
        <w:trPr>
          <w:cantSplit w:val="0"/>
          <w:tblHeader w:val="1"/>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Hire</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w:t>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M1–3</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senior full-stack developer (the one already planned)</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hardening</w:t>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M4–6</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ML/NLP engineer</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Improve extraction performance</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M6–9</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designer/PM hybrid</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quality, customer onboarding</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M9–12</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customer success lead (with academic background)</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Convert academic users; the only role where domain knowledge beats SaaS experience</w:t>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M12–18</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sales/BD lead (academic-enterprise experience)</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Institutional pipeline</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M15–18</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backend engineer (scale)</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 integrations</w:t>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M18–24</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SDR / inside sales</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Inbound qualification</w:t>
            </w:r>
          </w:p>
        </w:tc>
      </w:tr>
    </w:tbl>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not hire generic SaaS sellers in the first 18 months. The buyer journey for university and pharma SR groups is so domain-specific that a smart academic with sales aptitude will outperform a polished SaaS AE who does not know what PROSPERO is.</w:t>
      </w:r>
    </w:p>
    <w:bookmarkStart w:colFirst="0" w:colLast="0" w:name="bookmark=id.st6s9zlejuql" w:id="90"/>
    <w:bookmarkEnd w:id="90"/>
    <w:p w:rsidR="00000000" w:rsidDel="00000000" w:rsidP="00000000" w:rsidRDefault="00000000" w:rsidRPr="00000000" w14:paraId="00000304">
      <w:pPr>
        <w:pStyle w:val="Heading2"/>
        <w:rPr/>
      </w:pPr>
      <w:bookmarkStart w:colFirst="0" w:colLast="0" w:name="_heading=h.hla8jcml16yf" w:id="91"/>
      <w:bookmarkEnd w:id="91"/>
      <w:r w:rsidDel="00000000" w:rsidR="00000000" w:rsidRPr="00000000">
        <w:rPr>
          <w:rtl w:val="0"/>
        </w:rPr>
        <w:t xml:space="preserve">6.5 Revenue Roadmap (Illustrative)</w:t>
      </w:r>
    </w:p>
    <w:tbl>
      <w:tblPr>
        <w:tblStyle w:val="Table14"/>
        <w:tblW w:w="9576.0" w:type="dxa"/>
        <w:jc w:val="left"/>
        <w:tblInd w:w="-108.0" w:type="dxa"/>
        <w:tblLayout w:type="fixed"/>
        <w:tblLook w:val="0020"/>
      </w:tblPr>
      <w:tblGrid>
        <w:gridCol w:w="1916"/>
        <w:gridCol w:w="1915"/>
        <w:gridCol w:w="1915"/>
        <w:gridCol w:w="1915"/>
        <w:gridCol w:w="1915"/>
        <w:tblGridChange w:id="0">
          <w:tblGrid>
            <w:gridCol w:w="1916"/>
            <w:gridCol w:w="1915"/>
            <w:gridCol w:w="1915"/>
            <w:gridCol w:w="1915"/>
            <w:gridCol w:w="1915"/>
          </w:tblGrid>
        </w:tblGridChange>
      </w:tblGrid>
      <w:tr>
        <w:trPr>
          <w:cantSplit w:val="0"/>
          <w:tblHeader w:val="1"/>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Paying users (researcher/lab)</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Institutional contracts</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 (₹)</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 ($)</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(beta)</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M6</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30–60</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₹10–25L</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$12–30K</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M9</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100–200</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₹30–80L</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$35–95K</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M12</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200–400</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₹70L–1.5Cr</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$85–180K</w:t>
            </w:r>
          </w:p>
        </w:tc>
      </w:tr>
      <w:tr>
        <w:trPr>
          <w:cantSplit w:val="0"/>
          <w:tblHeader w:val="0"/>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M18</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500–1000</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8–12</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₹2–4Cr</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$240–480K</w:t>
            </w:r>
          </w:p>
        </w:tc>
      </w:tr>
      <w:tr>
        <w:trPr>
          <w:cantSplit w:val="0"/>
          <w:tblHeader w:val="0"/>
        </w:trPr>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M24</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1200–2500</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15–25</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₹5–10Cr</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$600K–1.2M</w:t>
            </w:r>
          </w:p>
        </w:tc>
      </w:tr>
    </w:tbl>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aggressive but not absurd given the recent precedent of Covidence’s 450+ institutional licenses (</w:t>
      </w:r>
      <w:hyperlink r:id="rId1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Covidence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DistillerSR’s 75+ academic institutions (</w:t>
      </w:r>
      <w:hyperlink r:id="rId1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constraint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market demand; it is your ability to convert.</w:t>
      </w:r>
    </w:p>
    <w:bookmarkStart w:colFirst="0" w:colLast="0" w:name="bookmark=id.vq9rw6k4uktq" w:id="92"/>
    <w:bookmarkEnd w:id="92"/>
    <w:p w:rsidR="00000000" w:rsidDel="00000000" w:rsidP="00000000" w:rsidRDefault="00000000" w:rsidRPr="00000000" w14:paraId="00000329">
      <w:pPr>
        <w:pStyle w:val="Heading1"/>
        <w:rPr/>
      </w:pPr>
      <w:bookmarkStart w:colFirst="0" w:colLast="0" w:name="_heading=h.ur81qxczl4nc" w:id="93"/>
      <w:bookmarkEnd w:id="93"/>
      <w:r w:rsidDel="00000000" w:rsidR="00000000" w:rsidRPr="00000000">
        <w:rPr>
          <w:rtl w:val="0"/>
        </w:rPr>
        <w:t xml:space="preserve">Three Things to Push Back On</w:t>
      </w:r>
    </w:p>
    <w:p w:rsidR="00000000" w:rsidDel="00000000" w:rsidP="00000000" w:rsidRDefault="00000000" w:rsidRPr="00000000" w14:paraId="0000032A">
      <w:pPr>
        <w:numPr>
          <w:ilvl w:val="0"/>
          <w:numId w:val="44"/>
        </w:numPr>
        <w:ind w:left="720" w:hanging="360"/>
        <w:rPr/>
      </w:pPr>
      <w:r w:rsidDel="00000000" w:rsidR="00000000" w:rsidRPr="00000000">
        <w:rPr>
          <w:b w:val="1"/>
          <w:bCs w:val="1"/>
          <w:rtl w:val="0"/>
        </w:rPr>
        <w:t xml:space="preserve">“Publish a paper in 1–2 months”</w:t>
      </w:r>
      <w:r w:rsidDel="00000000" w:rsidR="00000000" w:rsidRPr="00000000">
        <w:rPr>
          <w:rtl w:val="0"/>
        </w:rPr>
        <w:t xml:space="preserve"> — submit in 1–2 months, yes. </w:t>
      </w:r>
      <w:r w:rsidDel="00000000" w:rsidR="00000000" w:rsidRPr="00000000">
        <w:rPr>
          <w:i w:val="1"/>
          <w:iCs w:val="1"/>
          <w:rtl w:val="0"/>
        </w:rPr>
        <w:t xml:space="preserve">Accepted</w:t>
      </w:r>
      <w:r w:rsidDel="00000000" w:rsidR="00000000" w:rsidRPr="00000000">
        <w:rPr>
          <w:rtl w:val="0"/>
        </w:rPr>
        <w:t xml:space="preserve"> in 1–2 months, no. Plan for 6–9 months from first submission to acceptance, factoring in 1–2 rejections and revisions. The preprint gives you the citation immediately, which is what you actually need.</w:t>
      </w:r>
    </w:p>
    <w:p w:rsidR="00000000" w:rsidDel="00000000" w:rsidP="00000000" w:rsidRDefault="00000000" w:rsidRPr="00000000" w14:paraId="0000032B">
      <w:pPr>
        <w:numPr>
          <w:ilvl w:val="0"/>
          <w:numId w:val="44"/>
        </w:numPr>
        <w:ind w:left="720" w:hanging="360"/>
        <w:rPr/>
      </w:pPr>
      <w:r w:rsidDel="00000000" w:rsidR="00000000" w:rsidRPr="00000000">
        <w:rPr>
          <w:b w:val="1"/>
          <w:bCs w:val="1"/>
          <w:rtl w:val="0"/>
        </w:rPr>
        <w:t xml:space="preserve">“Hand over the software to a developer for production-level development”</w:t>
      </w:r>
      <w:r w:rsidDel="00000000" w:rsidR="00000000" w:rsidRPr="00000000">
        <w:rPr>
          <w:rtl w:val="0"/>
        </w:rPr>
        <w:t xml:space="preserve"> — be careful with the framing. You should </w:t>
      </w:r>
      <w:r w:rsidDel="00000000" w:rsidR="00000000" w:rsidRPr="00000000">
        <w:rPr>
          <w:i w:val="1"/>
          <w:iCs w:val="1"/>
          <w:rtl w:val="0"/>
        </w:rPr>
        <w:t xml:space="preserve">not</w:t>
      </w:r>
      <w:r w:rsidDel="00000000" w:rsidR="00000000" w:rsidRPr="00000000">
        <w:rPr>
          <w:rtl w:val="0"/>
        </w:rPr>
        <w:t xml:space="preserve"> fully hand it over; you should bring in a developer to harden and scale it while you retain product direction and architectural authority. A founder who fully outsources the codebase loses (a) the ability to fundraise on technical credibility, (b) the leverage to fire the developer if they underperform, and (c) the ability to recruit a strong CTO later. Stay involved in code review and architecture, even when your primary role shifts toward CEO duties.</w:t>
      </w:r>
    </w:p>
    <w:p w:rsidR="00000000" w:rsidDel="00000000" w:rsidP="00000000" w:rsidRDefault="00000000" w:rsidRPr="00000000" w14:paraId="0000032C">
      <w:pPr>
        <w:numPr>
          <w:ilvl w:val="0"/>
          <w:numId w:val="44"/>
        </w:numPr>
        <w:ind w:left="720" w:hanging="360"/>
        <w:rPr/>
      </w:pPr>
      <w:r w:rsidDel="00000000" w:rsidR="00000000" w:rsidRPr="00000000">
        <w:rPr>
          <w:b w:val="1"/>
          <w:bCs w:val="1"/>
          <w:rtl w:val="0"/>
        </w:rPr>
        <w:t xml:space="preserve">“My co-founder may be considered a co-founder”</w:t>
      </w:r>
      <w:r w:rsidDel="00000000" w:rsidR="00000000" w:rsidRPr="00000000">
        <w:rPr>
          <w:rtl w:val="0"/>
        </w:rPr>
        <w:t xml:space="preserve"> — the “may” is doing a lot of work in that sentence. Decide before incorporation. The framework in 2.4 is honest. If they are a true co-founder, write the agreement and give the equity. If they are a methodological advisor, give them an advisor agreement (0.25–1% over 2-year vest) and call them an advisor. Either is fine; ambiguity is not.</w:t>
      </w:r>
    </w:p>
    <w:bookmarkStart w:colFirst="0" w:colLast="0" w:name="bookmark=id.9tevgvp97yzb" w:id="94"/>
    <w:bookmarkEnd w:id="94"/>
    <w:p w:rsidR="00000000" w:rsidDel="00000000" w:rsidP="00000000" w:rsidRDefault="00000000" w:rsidRPr="00000000" w14:paraId="0000032D">
      <w:pPr>
        <w:pStyle w:val="Heading1"/>
        <w:rPr/>
      </w:pPr>
      <w:bookmarkStart w:colFirst="0" w:colLast="0" w:name="_heading=h.3bosmjb2i03m" w:id="95"/>
      <w:bookmarkEnd w:id="95"/>
      <w:r w:rsidDel="00000000" w:rsidR="00000000" w:rsidRPr="00000000">
        <w:rPr>
          <w:rtl w:val="0"/>
        </w:rPr>
        <w:t xml:space="preserve">Reference Library (All Hyperlinked)</w:t>
      </w:r>
    </w:p>
    <w:bookmarkStart w:colFirst="0" w:colLast="0" w:name="bookmark=id.2gufect8wenm" w:id="96"/>
    <w:bookmarkEnd w:id="96"/>
    <w:p w:rsidR="00000000" w:rsidDel="00000000" w:rsidP="00000000" w:rsidRDefault="00000000" w:rsidRPr="00000000" w14:paraId="0000032E">
      <w:pPr>
        <w:pStyle w:val="Heading2"/>
        <w:rPr/>
      </w:pPr>
      <w:bookmarkStart w:colFirst="0" w:colLast="0" w:name="_heading=h.ltyotcu5g6h7" w:id="97"/>
      <w:bookmarkEnd w:id="97"/>
      <w:r w:rsidDel="00000000" w:rsidR="00000000" w:rsidRPr="00000000">
        <w:rPr>
          <w:rtl w:val="0"/>
        </w:rPr>
        <w:t xml:space="preserve">Methodological Standards</w:t>
      </w:r>
    </w:p>
    <w:p w:rsidR="00000000" w:rsidDel="00000000" w:rsidP="00000000" w:rsidRDefault="00000000" w:rsidRPr="00000000" w14:paraId="0000032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TRIPOD+AI statement (BMJ 2024)</w:t>
        </w:r>
      </w:hyperlink>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TRIPOD-LLM (Nat Med 2025, PMID 39779929)</w:t>
        </w:r>
      </w:hyperlink>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PROBAST+AI (BMJ 2025)</w:t>
        </w:r>
      </w:hyperlink>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TRIPOD-SRMA (BMJ 2023)</w:t>
        </w:r>
      </w:hyperlink>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EQUATOR Network reporting guidelines hub</w:t>
        </w:r>
      </w:hyperlink>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PROBAST official site</w:t>
        </w:r>
      </w:hyperlink>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RAISE recommendations</w:t>
        </w:r>
      </w:hyperlink>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Cochrane/Campbell/JBI/CEE joint position statement (2025)</w:t>
        </w:r>
      </w:hyperlink>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Cochrane Rapid Reviews AI position (2025)</w:t>
        </w:r>
      </w:hyperlink>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Cochrane Methods Report 2025</w:t>
        </w:r>
      </w:hyperlink>
      <w:r w:rsidDel="00000000" w:rsidR="00000000" w:rsidRPr="00000000">
        <w:rPr>
          <w:rtl w:val="0"/>
        </w:rPr>
      </w:r>
    </w:p>
    <w:bookmarkStart w:colFirst="0" w:colLast="0" w:name="bookmark=id.vh6wb4m52hsg" w:id="98"/>
    <w:bookmarkEnd w:id="98"/>
    <w:p w:rsidR="00000000" w:rsidDel="00000000" w:rsidP="00000000" w:rsidRDefault="00000000" w:rsidRPr="00000000" w14:paraId="00000339">
      <w:pPr>
        <w:pStyle w:val="Heading2"/>
        <w:rPr/>
      </w:pPr>
      <w:bookmarkStart w:colFirst="0" w:colLast="0" w:name="_heading=h.dkz9d780fxn7" w:id="99"/>
      <w:bookmarkEnd w:id="99"/>
      <w:r w:rsidDel="00000000" w:rsidR="00000000" w:rsidRPr="00000000">
        <w:rPr>
          <w:rtl w:val="0"/>
        </w:rPr>
        <w:t xml:space="preserve">Validation Precedents (Model Your Paper on These)</w:t>
      </w:r>
    </w:p>
    <w:p w:rsidR="00000000" w:rsidDel="00000000" w:rsidP="00000000" w:rsidRDefault="00000000" w:rsidRPr="00000000" w14:paraId="0000033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Khraisha et al. 2025 (ChatGPT-4o second rater, </w:t>
        </w:r>
      </w:hyperlink>
      <w:hyperlink r:id="rId147">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PLoS One</w:t>
        </w:r>
      </w:hyperlink>
      <w:hyperlink r:id="rId1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Reason et al. 2024 (custom GPT-4, </w:t>
        </w:r>
      </w:hyperlink>
      <w:hyperlink r:id="rId150">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BMJ Open</w:t>
        </w:r>
      </w:hyperlink>
      <w:hyperlink r:id="rId1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Helms Andersen et al. 2025 (Elicit + ChatGPT, </w:t>
        </w:r>
      </w:hyperlink>
      <w:hyperlink r:id="rId153">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Cochrane ESM</w:t>
        </w:r>
      </w:hyperlink>
      <w:hyperlink r:id="rId1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Khan &amp; Bicen 2025 (LLM in SLRs, </w:t>
        </w:r>
      </w:hyperlink>
      <w:hyperlink r:id="rId156">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JMIR AI</w:t>
        </w:r>
      </w:hyperlink>
      <w:hyperlink r:id="rId1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Konet et al. 2025 (LLM SWAR, </w:t>
        </w:r>
      </w:hyperlink>
      <w:hyperlink r:id="rId159">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medRxiv</w:t>
        </w:r>
      </w:hyperlink>
      <w:hyperlink r:id="rId1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Gargari et al. 2025 (Custom GPT, </w:t>
        </w:r>
      </w:hyperlink>
      <w:hyperlink r:id="rId162">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JMIR Formative</w:t>
        </w:r>
      </w:hyperlink>
      <w:hyperlink r:id="rId1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Sun et al. 2024 (Collaborative LLMs for living SRs, </w:t>
        </w:r>
      </w:hyperlink>
      <w:hyperlink r:id="rId165">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PMC</w:t>
        </w:r>
      </w:hyperlink>
      <w:hyperlink r:id="rId1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Landschaft et al. 2024 (GPT-4 + RAG, Fraunhofer)</w:t>
        </w:r>
      </w:hyperlink>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Issaiy et al. 2023 (GPT-4 SR evaluation, arXiv)</w:t>
        </w:r>
      </w:hyperlink>
      <w:r w:rsidDel="00000000" w:rsidR="00000000" w:rsidRPr="00000000">
        <w:rPr>
          <w:rtl w:val="0"/>
        </w:rPr>
      </w:r>
    </w:p>
    <w:bookmarkStart w:colFirst="0" w:colLast="0" w:name="bookmark=id.nn99fl52f373" w:id="100"/>
    <w:bookmarkEnd w:id="100"/>
    <w:p w:rsidR="00000000" w:rsidDel="00000000" w:rsidP="00000000" w:rsidRDefault="00000000" w:rsidRPr="00000000" w14:paraId="00000343">
      <w:pPr>
        <w:pStyle w:val="Heading2"/>
        <w:rPr/>
      </w:pPr>
      <w:bookmarkStart w:colFirst="0" w:colLast="0" w:name="_heading=h.himleluwj0an" w:id="101"/>
      <w:bookmarkEnd w:id="101"/>
      <w:r w:rsidDel="00000000" w:rsidR="00000000" w:rsidRPr="00000000">
        <w:rPr>
          <w:rtl w:val="0"/>
        </w:rPr>
        <w:t xml:space="preserve">Journals</w:t>
      </w:r>
    </w:p>
    <w:p w:rsidR="00000000" w:rsidDel="00000000" w:rsidP="00000000" w:rsidRDefault="00000000" w:rsidRPr="00000000" w14:paraId="0000034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69">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Journal of Clinical Epidemiology</w:t>
        </w:r>
      </w:hyperlink>
      <w:hyperlink r:id="rId1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author guide</w:t>
        </w:r>
      </w:hyperlink>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71">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Research Synthesis Methods</w:t>
        </w:r>
      </w:hyperlink>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72">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Cochrane ESM</w:t>
        </w:r>
      </w:hyperlink>
      <w:hyperlink r:id="rId1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AI special issue</w:t>
        </w:r>
      </w:hyperlink>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74">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JOSS</w:t>
        </w:r>
      </w:hyperlink>
      <w:hyperlink r:id="rId1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author guide</w:t>
        </w:r>
      </w:hyperlink>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76">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JOSS</w:t>
        </w:r>
      </w:hyperlink>
      <w:hyperlink r:id="rId1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submission docs</w:t>
        </w:r>
      </w:hyperlink>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78">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Journal of Open Research Software</w:t>
        </w:r>
      </w:hyperlink>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79">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Journal of Statistical Software</w:t>
        </w:r>
      </w:hyperlink>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80">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BMC Bioinformatics</w:t>
        </w:r>
      </w:hyperlink>
      <w:hyperlink r:id="rId1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software article guidelines</w:t>
        </w:r>
      </w:hyperlink>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82">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Genome Biology</w:t>
        </w:r>
      </w:hyperlink>
      <w:hyperlink r:id="rId1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software guidelines</w:t>
        </w:r>
      </w:hyperlink>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84">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BMC Health Services Research</w:t>
        </w:r>
      </w:hyperlink>
      <w:hyperlink r:id="rId1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software article</w:t>
        </w:r>
      </w:hyperlink>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Software Sustainability Institute journal list</w:t>
        </w:r>
      </w:hyperlink>
      <w:r w:rsidDel="00000000" w:rsidR="00000000" w:rsidRPr="00000000">
        <w:rPr>
          <w:rtl w:val="0"/>
        </w:rPr>
      </w:r>
    </w:p>
    <w:bookmarkStart w:colFirst="0" w:colLast="0" w:name="bookmark=id.apms77miaff" w:id="102"/>
    <w:bookmarkEnd w:id="102"/>
    <w:p w:rsidR="00000000" w:rsidDel="00000000" w:rsidP="00000000" w:rsidRDefault="00000000" w:rsidRPr="00000000" w14:paraId="0000034F">
      <w:pPr>
        <w:pStyle w:val="Heading2"/>
        <w:rPr/>
      </w:pPr>
      <w:bookmarkStart w:colFirst="0" w:colLast="0" w:name="_heading=h.59mbgexn2jy" w:id="103"/>
      <w:bookmarkEnd w:id="103"/>
      <w:r w:rsidDel="00000000" w:rsidR="00000000" w:rsidRPr="00000000">
        <w:rPr>
          <w:rtl w:val="0"/>
        </w:rPr>
        <w:t xml:space="preserve">Competitive Landscape</w:t>
      </w:r>
    </w:p>
    <w:p w:rsidR="00000000" w:rsidDel="00000000" w:rsidP="00000000" w:rsidRDefault="00000000" w:rsidRPr="00000000" w14:paraId="0000035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Covidence pricing</w:t>
        </w:r>
      </w:hyperlink>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Covidence institutional licensing</w:t>
        </w:r>
      </w:hyperlink>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Covidence procurement quote (FAU)</w:t>
        </w:r>
      </w:hyperlink>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 academic pricing</w:t>
        </w:r>
      </w:hyperlink>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 student FAQ</w:t>
        </w:r>
      </w:hyperlink>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DistillerSR for academics</w:t>
        </w:r>
      </w:hyperlink>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AI Tools 2026 comparison (Atlas)</w:t>
        </w:r>
      </w:hyperlink>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Covidence alternatives (Research Gold)</w:t>
        </w:r>
      </w:hyperlink>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AI for SR Tools 2026 (Research Gold)</w:t>
        </w:r>
      </w:hyperlink>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SR software comparison (PMC)</w:t>
        </w:r>
      </w:hyperlink>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Web-based SR tools feature analysis (PMC)</w:t>
        </w:r>
      </w:hyperlink>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HKU LibGuide AI tools for SR</w:t>
        </w:r>
      </w:hyperlink>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1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BMJ EBM rapid review software guidance</w:t>
        </w:r>
      </w:hyperlink>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JMLA Covidence vs Rayyan</w:t>
        </w:r>
      </w:hyperlink>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Wayne State digital tools paper</w:t>
        </w:r>
      </w:hyperlink>
      <w:r w:rsidDel="00000000" w:rsidR="00000000" w:rsidRPr="00000000">
        <w:rPr>
          <w:rtl w:val="0"/>
        </w:rPr>
      </w:r>
    </w:p>
    <w:bookmarkStart w:colFirst="0" w:colLast="0" w:name="bookmark=id.lfxvp41enbsm" w:id="104"/>
    <w:bookmarkEnd w:id="104"/>
    <w:p w:rsidR="00000000" w:rsidDel="00000000" w:rsidP="00000000" w:rsidRDefault="00000000" w:rsidRPr="00000000" w14:paraId="0000035F">
      <w:pPr>
        <w:pStyle w:val="Heading2"/>
        <w:rPr/>
      </w:pPr>
      <w:bookmarkStart w:colFirst="0" w:colLast="0" w:name="_heading=h.knelmo1ja9d0" w:id="105"/>
      <w:bookmarkEnd w:id="105"/>
      <w:r w:rsidDel="00000000" w:rsidR="00000000" w:rsidRPr="00000000">
        <w:rPr>
          <w:rtl w:val="0"/>
        </w:rPr>
        <w:t xml:space="preserve">India Incorporation and Law</w:t>
      </w:r>
    </w:p>
    <w:p w:rsidR="00000000" w:rsidDel="00000000" w:rsidP="00000000" w:rsidRDefault="00000000" w:rsidRPr="00000000" w14:paraId="0000036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Indian Pvt. Ltd. registration (RegisterKaro)</w:t>
        </w:r>
      </w:hyperlink>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Pvt. Ltd. registration (Peko)</w:t>
        </w:r>
      </w:hyperlink>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Pvt. Ltd. registration (Virtual Auditor)</w:t>
        </w:r>
      </w:hyperlink>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India SPICe+ process (The Karak)</w:t>
        </w:r>
      </w:hyperlink>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Tech SME incorporation guide (Vakalat Today)</w:t>
        </w:r>
      </w:hyperlink>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Startup formation India (LAFFAZ)</w:t>
        </w:r>
      </w:hyperlink>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Indian startup compliance FAQ (Bhavya Sharma)</w:t>
        </w:r>
      </w:hyperlink>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Founders agreement (Cashfree)</w:t>
        </w:r>
      </w:hyperlink>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Founder agreement template (Promise Legal)</w:t>
        </w:r>
      </w:hyperlink>
      <w:r w:rsidDel="00000000" w:rsidR="00000000" w:rsidRPr="00000000">
        <w:rPr>
          <w:rtl w:val="0"/>
        </w:rPr>
      </w:r>
    </w:p>
    <w:bookmarkStart w:colFirst="0" w:colLast="0" w:name="bookmark=id.3v9wt9dr6w65" w:id="106"/>
    <w:bookmarkEnd w:id="106"/>
    <w:p w:rsidR="00000000" w:rsidDel="00000000" w:rsidP="00000000" w:rsidRDefault="00000000" w:rsidRPr="00000000" w14:paraId="00000369">
      <w:pPr>
        <w:pStyle w:val="Heading2"/>
        <w:rPr/>
      </w:pPr>
      <w:bookmarkStart w:colFirst="0" w:colLast="0" w:name="_heading=h.93dwoq6dyyy9" w:id="107"/>
      <w:bookmarkEnd w:id="107"/>
      <w:r w:rsidDel="00000000" w:rsidR="00000000" w:rsidRPr="00000000">
        <w:rPr>
          <w:rtl w:val="0"/>
        </w:rPr>
        <w:t xml:space="preserve">Delaware Flip</w:t>
      </w:r>
    </w:p>
    <w:p w:rsidR="00000000" w:rsidDel="00000000" w:rsidP="00000000" w:rsidRDefault="00000000" w:rsidRPr="00000000" w14:paraId="0000036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Delaware flip founder guide (Unstoppable VK)</w:t>
        </w:r>
      </w:hyperlink>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India to overseas flip (Aritra Partners)</w:t>
        </w:r>
      </w:hyperlink>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Delaware flip mechanics (Virtual Auditor)</w:t>
        </w:r>
      </w:hyperlink>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Flip tax analysis (A S Banka Advisors)</w:t>
        </w:r>
      </w:hyperlink>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Doing the Delaware Flip (TLH Law)</w:t>
        </w:r>
      </w:hyperlink>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ODI rules for DPIIT startups (PN Associates)</w:t>
        </w:r>
      </w:hyperlink>
      <w:r w:rsidDel="00000000" w:rsidR="00000000" w:rsidRPr="00000000">
        <w:rPr>
          <w:rtl w:val="0"/>
        </w:rPr>
      </w:r>
    </w:p>
    <w:bookmarkStart w:colFirst="0" w:colLast="0" w:name="bookmark=id.rq7bthdnakfp" w:id="108"/>
    <w:bookmarkEnd w:id="108"/>
    <w:p w:rsidR="00000000" w:rsidDel="00000000" w:rsidP="00000000" w:rsidRDefault="00000000" w:rsidRPr="00000000" w14:paraId="00000370">
      <w:pPr>
        <w:pStyle w:val="Heading2"/>
        <w:rPr/>
      </w:pPr>
      <w:bookmarkStart w:colFirst="0" w:colLast="0" w:name="_heading=h.7zoq2sxk4phj" w:id="109"/>
      <w:bookmarkEnd w:id="109"/>
      <w:r w:rsidDel="00000000" w:rsidR="00000000" w:rsidRPr="00000000">
        <w:rPr>
          <w:rtl w:val="0"/>
        </w:rPr>
        <w:t xml:space="preserve">Data Privacy (DPDP, GDPR, HIPAA)</w:t>
      </w:r>
    </w:p>
    <w:p w:rsidR="00000000" w:rsidDel="00000000" w:rsidP="00000000" w:rsidRDefault="00000000" w:rsidRPr="00000000" w14:paraId="0000037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DPDP Act + Rules 2025 PIB summary</w:t>
        </w:r>
      </w:hyperlink>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DPDP Rules 2025 full text (CADP)</w:t>
        </w:r>
      </w:hyperlink>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DPDP compliance for SaaS (KSandK)</w:t>
        </w:r>
      </w:hyperlink>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DPDP SaaS checklist (Cyber Secify)</w:t>
        </w:r>
      </w:hyperlink>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DPDP for B2B SaaS (RingSafe)</w:t>
        </w:r>
      </w:hyperlink>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DPDP Rules overview (EY India)</w:t>
        </w:r>
      </w:hyperlink>
      <w:r w:rsidDel="00000000" w:rsidR="00000000" w:rsidRPr="00000000">
        <w:rPr>
          <w:rtl w:val="0"/>
        </w:rPr>
      </w:r>
    </w:p>
    <w:bookmarkStart w:colFirst="0" w:colLast="0" w:name="bookmark=id.oqb0emc5o1vh" w:id="110"/>
    <w:bookmarkEnd w:id="110"/>
    <w:p w:rsidR="00000000" w:rsidDel="00000000" w:rsidP="00000000" w:rsidRDefault="00000000" w:rsidRPr="00000000" w14:paraId="00000377">
      <w:pPr>
        <w:pStyle w:val="Heading2"/>
        <w:rPr/>
      </w:pPr>
      <w:bookmarkStart w:colFirst="0" w:colLast="0" w:name="_heading=h.bxev2fjbkga3" w:id="111"/>
      <w:bookmarkEnd w:id="111"/>
      <w:r w:rsidDel="00000000" w:rsidR="00000000" w:rsidRPr="00000000">
        <w:rPr>
          <w:rtl w:val="0"/>
        </w:rPr>
        <w:t xml:space="preserve">Trademark</w:t>
      </w:r>
    </w:p>
    <w:p w:rsidR="00000000" w:rsidDel="00000000" w:rsidP="00000000" w:rsidRDefault="00000000" w:rsidRPr="00000000" w14:paraId="0000037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USPTO Madrid Protocol guide</w:t>
        </w:r>
      </w:hyperlink>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SaaS trademark strategy (Twocents)</w:t>
        </w:r>
      </w:hyperlink>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Trademarks for software (Stemer Law)</w:t>
        </w:r>
      </w:hyperlink>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Startup trademark strategy (Promise Legal)</w:t>
        </w:r>
      </w:hyperlink>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Madrid vs national filing (Invntree)</w:t>
        </w:r>
      </w:hyperlink>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Web3/AI trademark strategy (WCR Legal)</w:t>
        </w:r>
      </w:hyperlink>
      <w:r w:rsidDel="00000000" w:rsidR="00000000" w:rsidRPr="00000000">
        <w:rPr>
          <w:rtl w:val="0"/>
        </w:rPr>
      </w:r>
    </w:p>
    <w:bookmarkStart w:colFirst="0" w:colLast="0" w:name="bookmark=id.ebrd4i9gy3zm" w:id="112"/>
    <w:bookmarkEnd w:id="112"/>
    <w:p w:rsidR="00000000" w:rsidDel="00000000" w:rsidP="00000000" w:rsidRDefault="00000000" w:rsidRPr="00000000" w14:paraId="0000037E">
      <w:pPr>
        <w:pStyle w:val="Heading2"/>
        <w:rPr/>
      </w:pPr>
      <w:bookmarkStart w:colFirst="0" w:colLast="0" w:name="_heading=h.lxl505gsqdyk" w:id="113"/>
      <w:bookmarkEnd w:id="113"/>
      <w:r w:rsidDel="00000000" w:rsidR="00000000" w:rsidRPr="00000000">
        <w:rPr>
          <w:rtl w:val="0"/>
        </w:rPr>
        <w:t xml:space="preserve">Delaware-Specific (For the Future Flip)</w:t>
      </w:r>
    </w:p>
    <w:p w:rsidR="00000000" w:rsidDel="00000000" w:rsidP="00000000" w:rsidRDefault="00000000" w:rsidRPr="00000000" w14:paraId="0000037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Delaware AI/SaaS formation (Terms.Law)</w:t>
        </w:r>
      </w:hyperlink>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Delaware C-Corp 2026 (USTAXX)</w:t>
        </w:r>
      </w:hyperlink>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Delaware founder 2026 guide (Causo)</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AI SaaS incorporation 2026 (Bosin)</w:t>
        </w:r>
      </w:hyperlink>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Delaware for SaaS+AI (Bosin)</w:t>
        </w:r>
      </w:hyperlink>
      <w:r w:rsidDel="00000000" w:rsidR="00000000" w:rsidRPr="00000000">
        <w:rPr>
          <w:rtl w:val="0"/>
        </w:rPr>
      </w:r>
    </w:p>
    <w:bookmarkStart w:colFirst="0" w:colLast="0" w:name="bookmark=id.qlbabj3f2byw" w:id="114"/>
    <w:bookmarkEnd w:id="114"/>
    <w:p w:rsidR="00000000" w:rsidDel="00000000" w:rsidP="00000000" w:rsidRDefault="00000000" w:rsidRPr="00000000" w14:paraId="00000384">
      <w:pPr>
        <w:pStyle w:val="Heading2"/>
        <w:rPr/>
      </w:pPr>
      <w:bookmarkStart w:colFirst="0" w:colLast="0" w:name="_heading=h.ytimplvjhuij" w:id="115"/>
      <w:bookmarkEnd w:id="115"/>
      <w:r w:rsidDel="00000000" w:rsidR="00000000" w:rsidRPr="00000000">
        <w:rPr>
          <w:rtl w:val="0"/>
        </w:rPr>
        <w:t xml:space="preserve">Compliance and Infrastructure</w:t>
      </w:r>
    </w:p>
    <w:p w:rsidR="00000000" w:rsidDel="00000000" w:rsidP="00000000" w:rsidRDefault="00000000" w:rsidRPr="00000000" w14:paraId="0000038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SaaS data protection (xAQUA SOC 2/HIPAA/GDPR)</w:t>
        </w:r>
      </w:hyperlink>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LandingAI compliance reference</w:t>
        </w:r>
      </w:hyperlink>
      <w:r w:rsidDel="00000000" w:rsidR="00000000" w:rsidRPr="00000000">
        <w:rPr>
          <w:rtl w:val="0"/>
        </w:rPr>
      </w:r>
    </w:p>
    <w:bookmarkStart w:colFirst="0" w:colLast="0" w:name="bookmark=id.mdz6sfjq290v" w:id="116"/>
    <w:bookmarkEnd w:id="116"/>
    <w:p w:rsidR="00000000" w:rsidDel="00000000" w:rsidP="00000000" w:rsidRDefault="00000000" w:rsidRPr="00000000" w14:paraId="00000387">
      <w:pPr>
        <w:pStyle w:val="Heading2"/>
        <w:rPr/>
      </w:pPr>
      <w:bookmarkStart w:colFirst="0" w:colLast="0" w:name="_heading=h.zfnbibrj9cpx" w:id="117"/>
      <w:bookmarkEnd w:id="117"/>
      <w:r w:rsidDel="00000000" w:rsidR="00000000" w:rsidRPr="00000000">
        <w:rPr>
          <w:rtl w:val="0"/>
        </w:rPr>
        <w:t xml:space="preserve">University Tech Transfer (Context — You Are Independent, So Not Required)</w:t>
      </w:r>
    </w:p>
    <w:p w:rsidR="00000000" w:rsidDel="00000000" w:rsidP="00000000" w:rsidRDefault="00000000" w:rsidRPr="00000000" w14:paraId="0000038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Oxford spinout equity policy</w:t>
        </w:r>
      </w:hyperlink>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Oxford company structure</w:t>
        </w:r>
      </w:hyperlink>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TenU USIT Guide 2023</w:t>
        </w:r>
      </w:hyperlink>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Cambridge Enterprise IP policy</w:t>
        </w:r>
      </w:hyperlink>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Edinburgh Innovations spinout guide</w:t>
        </w:r>
      </w:hyperlink>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St Andrews spinout guide</w:t>
        </w:r>
      </w:hyperlink>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UCL Portico Ventures (software IP)</w:t>
        </w:r>
      </w:hyperlink>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2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SETsquared HoT Licence playbook</w:t>
        </w:r>
      </w:hyperlink>
      <w:r w:rsidDel="00000000" w:rsidR="00000000" w:rsidRPr="00000000">
        <w:rPr>
          <w:rtl w:val="0"/>
        </w:rPr>
      </w:r>
    </w:p>
    <w:bookmarkStart w:colFirst="0" w:colLast="0" w:name="bookmark=id.at3rb24c32rf" w:id="118"/>
    <w:bookmarkEnd w:id="118"/>
    <w:p w:rsidR="00000000" w:rsidDel="00000000" w:rsidP="00000000" w:rsidRDefault="00000000" w:rsidRPr="00000000" w14:paraId="00000390">
      <w:pPr>
        <w:pStyle w:val="Heading1"/>
        <w:rPr/>
      </w:pPr>
      <w:bookmarkStart w:colFirst="0" w:colLast="0" w:name="_heading=h.hv8vl4hmtixh" w:id="119"/>
      <w:bookmarkEnd w:id="119"/>
      <w:r w:rsidDel="00000000" w:rsidR="00000000" w:rsidRPr="00000000">
        <w:rPr>
          <w:rtl w:val="0"/>
        </w:rPr>
        <w:t xml:space="preserve">Closing Note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two things to do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do nothing else from this document:</w:t>
      </w:r>
    </w:p>
    <w:p w:rsidR="00000000" w:rsidDel="00000000" w:rsidP="00000000" w:rsidRDefault="00000000" w:rsidRPr="00000000" w14:paraId="0000039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Have the honest equity conversation with your co-founder and put a written term sheet in place before any further work happens.</w:t>
      </w:r>
    </w:p>
    <w:p w:rsidR="00000000" w:rsidDel="00000000" w:rsidP="00000000" w:rsidRDefault="00000000" w:rsidRPr="00000000" w14:paraId="0000039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the validation protocol on OSF this week so that 60 days from now you have a defensible study, not an after-the-fact analysis.</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Document prepared June 2026. All citations are hyperlinked; references reflect public sources verified at time of writing. Not legal, tax, or financial advice — engage qualified professionals for India incorporation, US flip, and DPDP compliance 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cambridge.org/core/journals/research-synthesis-methods/firstview" TargetMode="External"/><Relationship Id="rId190" Type="http://schemas.openxmlformats.org/officeDocument/2006/relationships/hyperlink" Target="https://www.distillersr.com/pricing/student-pricing" TargetMode="External"/><Relationship Id="rId42" Type="http://schemas.openxmlformats.org/officeDocument/2006/relationships/hyperlink" Target="https://pubmed.ncbi.nlm.nih.gov/40199559/" TargetMode="External"/><Relationship Id="rId41" Type="http://schemas.openxmlformats.org/officeDocument/2006/relationships/hyperlink" Target="https://onlinelibrary.wiley.com/doi/toc/10.1002/(ISSN)2832-9023.AI_in_Evidence_Synthesis" TargetMode="External"/><Relationship Id="rId44" Type="http://schemas.openxmlformats.org/officeDocument/2006/relationships/hyperlink" Target="https://journals.plos.org/plosone/article?id=10.1371/journal.pone.0313401" TargetMode="External"/><Relationship Id="rId194" Type="http://schemas.openxmlformats.org/officeDocument/2006/relationships/hyperlink" Target="https://researchgold.org/blog/covidence-alternatives-systematic-review-tools" TargetMode="External"/><Relationship Id="rId43" Type="http://schemas.openxmlformats.org/officeDocument/2006/relationships/hyperlink" Target="https://bmchealthservres.biomedcentral.com/submission-guidelines/preparing-your-manuscript/software-article" TargetMode="External"/><Relationship Id="rId193" Type="http://schemas.openxmlformats.org/officeDocument/2006/relationships/hyperlink" Target="https://www.atlasworkspace.ai/blog/ai-systematic-review-tools" TargetMode="External"/><Relationship Id="rId46" Type="http://schemas.openxmlformats.org/officeDocument/2006/relationships/hyperlink" Target="https://formative.jmir.org/2025/1/e68666" TargetMode="External"/><Relationship Id="rId192" Type="http://schemas.openxmlformats.org/officeDocument/2006/relationships/hyperlink" Target="https://www.distillersr.com/industries/academic-students" TargetMode="External"/><Relationship Id="rId45" Type="http://schemas.openxmlformats.org/officeDocument/2006/relationships/hyperlink" Target="https://ai.jmir.org/2025/1/e68097" TargetMode="External"/><Relationship Id="rId191" Type="http://schemas.openxmlformats.org/officeDocument/2006/relationships/hyperlink" Target="https://www.distillersr.com/pricing/student-pricing/student-program-faqs" TargetMode="External"/><Relationship Id="rId48" Type="http://schemas.openxmlformats.org/officeDocument/2006/relationships/hyperlink" Target="https://joss.theoj.org/" TargetMode="External"/><Relationship Id="rId187" Type="http://schemas.openxmlformats.org/officeDocument/2006/relationships/hyperlink" Target="https://www.covidence.org/pricing/" TargetMode="External"/><Relationship Id="rId47" Type="http://schemas.openxmlformats.org/officeDocument/2006/relationships/hyperlink" Target="https://link.springer.com/journal/12859/submission-guidelines/software-article" TargetMode="External"/><Relationship Id="rId186" Type="http://schemas.openxmlformats.org/officeDocument/2006/relationships/hyperlink" Target="https://software.ac.uk/which-journals-should-i-publish-my-software" TargetMode="External"/><Relationship Id="rId185" Type="http://schemas.openxmlformats.org/officeDocument/2006/relationships/hyperlink" Target="https://bmchealthservres.biomedcentral.com/submission-guidelines/preparing-your-manuscript/software-article" TargetMode="External"/><Relationship Id="rId49" Type="http://schemas.openxmlformats.org/officeDocument/2006/relationships/hyperlink" Target="https://www.medrxiv.org/content/10.1101/2025.03.20.25324350v1" TargetMode="External"/><Relationship Id="rId184" Type="http://schemas.openxmlformats.org/officeDocument/2006/relationships/hyperlink" Target="https://bmchealthservres.biomedcentral.com/submission-guidelines/preparing-your-manuscript/software-article" TargetMode="External"/><Relationship Id="rId189" Type="http://schemas.openxmlformats.org/officeDocument/2006/relationships/hyperlink" Target="https://techfee.fau.edu/approvedproposals/Download.cfm?pid=3085" TargetMode="External"/><Relationship Id="rId188" Type="http://schemas.openxmlformats.org/officeDocument/2006/relationships/hyperlink" Target="https://www.covidence.org/institutional-licenses/" TargetMode="External"/><Relationship Id="rId31" Type="http://schemas.openxmlformats.org/officeDocument/2006/relationships/hyperlink" Target="https://publica-rest.fraunhofer.de/server/api/core/bitstreams/60db6241-0c51-4a79-b3c2-06815dbc0c63/content" TargetMode="External"/><Relationship Id="rId30" Type="http://schemas.openxmlformats.org/officeDocument/2006/relationships/hyperlink" Target="https://onlinelibrary.wiley.com/doi/full/10.1002/cesm.70036" TargetMode="External"/><Relationship Id="rId33" Type="http://schemas.openxmlformats.org/officeDocument/2006/relationships/hyperlink" Target="https://journals.plos.org/plosone/article?id=10.1371/journal.pone.0313401" TargetMode="External"/><Relationship Id="rId183" Type="http://schemas.openxmlformats.org/officeDocument/2006/relationships/hyperlink" Target="https://genomebiology.biomedcentral.com/submission-guidelines/preparing-your-manuscript/software" TargetMode="External"/><Relationship Id="rId32" Type="http://schemas.openxmlformats.org/officeDocument/2006/relationships/hyperlink" Target="https://onlinelibrary.wiley.com/doi/full/10.1002/cesm.70036" TargetMode="External"/><Relationship Id="rId182" Type="http://schemas.openxmlformats.org/officeDocument/2006/relationships/hyperlink" Target="https://genomebiology.biomedcentral.com/submission-guidelines/preparing-your-manuscript/software" TargetMode="External"/><Relationship Id="rId35" Type="http://schemas.openxmlformats.org/officeDocument/2006/relationships/hyperlink" Target="https://formative.jmir.org/2025/1/e68666" TargetMode="External"/><Relationship Id="rId181" Type="http://schemas.openxmlformats.org/officeDocument/2006/relationships/hyperlink" Target="https://link.springer.com/journal/12859/submission-guidelines/software-article" TargetMode="External"/><Relationship Id="rId34" Type="http://schemas.openxmlformats.org/officeDocument/2006/relationships/hyperlink" Target="https://www.medrxiv.org/content/10.1101/2025.03.20.25324350v1" TargetMode="External"/><Relationship Id="rId180" Type="http://schemas.openxmlformats.org/officeDocument/2006/relationships/hyperlink" Target="https://link.springer.com/journal/12859/submission-guidelines/software-article" TargetMode="External"/><Relationship Id="rId37" Type="http://schemas.openxmlformats.org/officeDocument/2006/relationships/hyperlink" Target="https://formative.jmir.org/2025/1/e68666" TargetMode="External"/><Relationship Id="rId176" Type="http://schemas.openxmlformats.org/officeDocument/2006/relationships/hyperlink" Target="https://github.com/openjournals/joss/blob/main/docs/submitting.md" TargetMode="External"/><Relationship Id="rId36" Type="http://schemas.openxmlformats.org/officeDocument/2006/relationships/hyperlink" Target="https://journals.plos.org/plosone/article?id=10.1371/journal.pone.0313401" TargetMode="External"/><Relationship Id="rId175" Type="http://schemas.openxmlformats.org/officeDocument/2006/relationships/hyperlink" Target="https://joss.readthedocs.io/en/latest/paper.html" TargetMode="External"/><Relationship Id="rId39" Type="http://schemas.openxmlformats.org/officeDocument/2006/relationships/hyperlink" Target="https://www.sciencedirect.com/journal/journal-of-clinical-epidemiology/publish/guide-for-authors" TargetMode="External"/><Relationship Id="rId174" Type="http://schemas.openxmlformats.org/officeDocument/2006/relationships/hyperlink" Target="https://joss.readthedocs.io/en/latest/paper.html" TargetMode="External"/><Relationship Id="rId38" Type="http://schemas.openxmlformats.org/officeDocument/2006/relationships/hyperlink" Target="https://www.cochranelibrary.com/cdsr/doi/10.1002/14651858.ED000178/full" TargetMode="External"/><Relationship Id="rId173" Type="http://schemas.openxmlformats.org/officeDocument/2006/relationships/hyperlink" Target="https://onlinelibrary.wiley.com/doi/toc/10.1002/(ISSN)2832-9023.AI_in_Evidence_Synthesis" TargetMode="External"/><Relationship Id="rId179" Type="http://schemas.openxmlformats.org/officeDocument/2006/relationships/hyperlink" Target="https://www.jstatsoft.org/guides/submission" TargetMode="External"/><Relationship Id="rId178" Type="http://schemas.openxmlformats.org/officeDocument/2006/relationships/hyperlink" Target="https://openresearchsoftware.metajnl.com/" TargetMode="External"/><Relationship Id="rId177" Type="http://schemas.openxmlformats.org/officeDocument/2006/relationships/hyperlink" Target="https://github.com/openjournals/joss/blob/main/docs/submitting.md" TargetMode="External"/><Relationship Id="rId20" Type="http://schemas.openxmlformats.org/officeDocument/2006/relationships/hyperlink" Target="https://pubmed.ncbi.nlm.nih.gov/39779929/" TargetMode="External"/><Relationship Id="rId22" Type="http://schemas.openxmlformats.org/officeDocument/2006/relationships/hyperlink" Target="https://www.cochrane.org/events/recommendations-and-guidance-responsible-ai-evidence-synthesis" TargetMode="External"/><Relationship Id="rId21" Type="http://schemas.openxmlformats.org/officeDocument/2006/relationships/hyperlink" Target="https://www.bmj.com/content/388/bmj-2024-082505" TargetMode="External"/><Relationship Id="rId24" Type="http://schemas.openxmlformats.org/officeDocument/2006/relationships/hyperlink" Target="https://pubmed.ncbi.nlm.nih.gov/40199559/" TargetMode="External"/><Relationship Id="rId23" Type="http://schemas.openxmlformats.org/officeDocument/2006/relationships/hyperlink" Target="https://www.cochranelibrary.com/cdsr/doi/10.1002/14651858.ED000178/full" TargetMode="External"/><Relationship Id="rId26" Type="http://schemas.openxmlformats.org/officeDocument/2006/relationships/hyperlink" Target="https://www.medrxiv.org/content/10.1101/2025.03.20.25324350v1" TargetMode="External"/><Relationship Id="rId25" Type="http://schemas.openxmlformats.org/officeDocument/2006/relationships/hyperlink" Target="https://onlinelibrary.wiley.com/doi/full/10.1002/cesm.70036" TargetMode="External"/><Relationship Id="rId28" Type="http://schemas.openxmlformats.org/officeDocument/2006/relationships/hyperlink" Target="https://pmc.ncbi.nlm.nih.gov/articles/PMC11469465/" TargetMode="External"/><Relationship Id="rId27" Type="http://schemas.openxmlformats.org/officeDocument/2006/relationships/hyperlink" Target="https://journals.plos.org/plosone/article?id=10.1371/journal.pone.0313401" TargetMode="External"/><Relationship Id="rId29" Type="http://schemas.openxmlformats.org/officeDocument/2006/relationships/hyperlink" Target="https://journals.plos.org/plosone/article?id=10.1371/journal.pone.0313401" TargetMode="External"/><Relationship Id="rId11" Type="http://schemas.openxmlformats.org/officeDocument/2006/relationships/hyperlink" Target="https://www.medrxiv.org/content/10.1101/2025.03.20.25324350v1" TargetMode="External"/><Relationship Id="rId10" Type="http://schemas.openxmlformats.org/officeDocument/2006/relationships/hyperlink" Target="https://onlinelibrary.wiley.com/doi/full/10.1002/cesm.70036" TargetMode="External"/><Relationship Id="rId13" Type="http://schemas.openxmlformats.org/officeDocument/2006/relationships/hyperlink" Target="https://pmc.ncbi.nlm.nih.gov/articles/PMC11469465/" TargetMode="External"/><Relationship Id="rId12" Type="http://schemas.openxmlformats.org/officeDocument/2006/relationships/hyperlink" Target="https://pubmed.ncbi.nlm.nih.gov/40199559/" TargetMode="External"/><Relationship Id="rId15" Type="http://schemas.openxmlformats.org/officeDocument/2006/relationships/hyperlink" Target="https://onlinelibrary.wiley.com/doi/full/10.1002/cesm.70036" TargetMode="External"/><Relationship Id="rId198" Type="http://schemas.openxmlformats.org/officeDocument/2006/relationships/hyperlink" Target="https://libguides.lib.hku.hk/med/AI_Tools_for_Systematic_Review" TargetMode="External"/><Relationship Id="rId14" Type="http://schemas.openxmlformats.org/officeDocument/2006/relationships/hyperlink" Target="https://www.medrxiv.org/content/10.1101/2025.03.20.25324350v1" TargetMode="External"/><Relationship Id="rId197" Type="http://schemas.openxmlformats.org/officeDocument/2006/relationships/hyperlink" Target="https://pmc.ncbi.nlm.nih.gov/articles/PMC9112080/" TargetMode="External"/><Relationship Id="rId17" Type="http://schemas.openxmlformats.org/officeDocument/2006/relationships/hyperlink" Target="https://onlinelibrary.wiley.com/doi/full/10.1002/cesm.70036" TargetMode="External"/><Relationship Id="rId196" Type="http://schemas.openxmlformats.org/officeDocument/2006/relationships/hyperlink" Target="https://pmc.ncbi.nlm.nih.gov/articles/PMC12947929/" TargetMode="External"/><Relationship Id="rId16" Type="http://schemas.openxmlformats.org/officeDocument/2006/relationships/hyperlink" Target="https://www.medrxiv.org/content/10.1101/2025.03.20.25324350v1" TargetMode="External"/><Relationship Id="rId195" Type="http://schemas.openxmlformats.org/officeDocument/2006/relationships/hyperlink" Target="https://researchgold.org/blog/ai-tools-systematic-review-screening-extraction" TargetMode="External"/><Relationship Id="rId19" Type="http://schemas.openxmlformats.org/officeDocument/2006/relationships/hyperlink" Target="https://www.bmj.com/content/385/bmj-2023-078378" TargetMode="External"/><Relationship Id="rId18" Type="http://schemas.openxmlformats.org/officeDocument/2006/relationships/hyperlink" Target="https://pmc.ncbi.nlm.nih.gov/articles/PMC12644243/" TargetMode="External"/><Relationship Id="rId199" Type="http://schemas.openxmlformats.org/officeDocument/2006/relationships/hyperlink" Target="https://ebm.bmj.com/content/29/4/264" TargetMode="External"/><Relationship Id="rId84" Type="http://schemas.openxmlformats.org/officeDocument/2006/relationships/hyperlink" Target="https://www.ustaxx.com/blog/delaware-c-corp-formation-for-saas-founders-2026-through-series-a" TargetMode="External"/><Relationship Id="rId83" Type="http://schemas.openxmlformats.org/officeDocument/2006/relationships/hyperlink" Target="https://www.njbusiness-attorney.com/forming-delaware-c-corp-saas-ai-startups/" TargetMode="External"/><Relationship Id="rId86" Type="http://schemas.openxmlformats.org/officeDocument/2006/relationships/hyperlink" Target="https://ksandk.com/data-protection-and-data-privacy/dpdp-compliance-saas/" TargetMode="External"/><Relationship Id="rId85" Type="http://schemas.openxmlformats.org/officeDocument/2006/relationships/hyperlink" Target="https://www.njbusiness-attorney.com/forming-delaware-c-corp-saas-ai-startups/" TargetMode="External"/><Relationship Id="rId88" Type="http://schemas.openxmlformats.org/officeDocument/2006/relationships/hyperlink" Target="https://tmrsearch.ipindia.gov.in/" TargetMode="External"/><Relationship Id="rId150" Type="http://schemas.openxmlformats.org/officeDocument/2006/relationships/hyperlink" Target="https://pubmed.ncbi.nlm.nih.gov/40199559/" TargetMode="External"/><Relationship Id="rId87" Type="http://schemas.openxmlformats.org/officeDocument/2006/relationships/hyperlink" Target="https://www.twocents.software/blog/saas-trademark-strategy-protecting-your-brand-globally/" TargetMode="External"/><Relationship Id="rId89" Type="http://schemas.openxmlformats.org/officeDocument/2006/relationships/hyperlink" Target="https://www.uspto.gov/trademarks/search" TargetMode="External"/><Relationship Id="rId80" Type="http://schemas.openxmlformats.org/officeDocument/2006/relationships/hyperlink" Target="https://governance.admin.ox.ac.uk/research-innovation-committee/policies/equity-sharing" TargetMode="External"/><Relationship Id="rId82" Type="http://schemas.openxmlformats.org/officeDocument/2006/relationships/hyperlink" Target="https://www.bioindustry.org/static/70bc6769-bd9f-41cc-9a6711d8357dc66d/USIT-Guide-2023.pdf" TargetMode="External"/><Relationship Id="rId81" Type="http://schemas.openxmlformats.org/officeDocument/2006/relationships/hyperlink" Target="https://uoe-edinburgh-innovations.ed.ac.uk/sites/default/files/2024-09/Spinout%20Support%20Guid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ubmed.ncbi.nlm.nih.gov/40199559/" TargetMode="External"/><Relationship Id="rId4" Type="http://schemas.openxmlformats.org/officeDocument/2006/relationships/numbering" Target="numbering.xml"/><Relationship Id="rId148" Type="http://schemas.openxmlformats.org/officeDocument/2006/relationships/hyperlink" Target="https://journals.plos.org/plosone/article?id=10.1371/journal.pone.0313401" TargetMode="External"/><Relationship Id="rId9" Type="http://schemas.openxmlformats.org/officeDocument/2006/relationships/hyperlink" Target="https://www.cambridge.org/core/journals/research-synthesis-methods/firstview" TargetMode="External"/><Relationship Id="rId143" Type="http://schemas.openxmlformats.org/officeDocument/2006/relationships/hyperlink" Target="https://www.cochranelibrary.com/cdsr/doi/10.1002/14651858.ED000178/full" TargetMode="External"/><Relationship Id="rId142" Type="http://schemas.openxmlformats.org/officeDocument/2006/relationships/hyperlink" Target="https://www.cochrane.org/events/recommendations-and-guidance-responsible-ai-evidence-synthesis" TargetMode="External"/><Relationship Id="rId141" Type="http://schemas.openxmlformats.org/officeDocument/2006/relationships/hyperlink" Target="https://www.probast.org" TargetMode="External"/><Relationship Id="rId140" Type="http://schemas.openxmlformats.org/officeDocument/2006/relationships/hyperlink" Target="https://www.equator-network.org/reporting-guidelines/tripod-statement/" TargetMode="External"/><Relationship Id="rId5" Type="http://schemas.openxmlformats.org/officeDocument/2006/relationships/styles" Target="styles.xml"/><Relationship Id="rId147" Type="http://schemas.openxmlformats.org/officeDocument/2006/relationships/hyperlink" Target="https://journals.plos.org/plosone/article?id=10.1371/journal.pone.0313401" TargetMode="External"/><Relationship Id="rId6" Type="http://schemas.openxmlformats.org/officeDocument/2006/relationships/customXml" Target="../customXML/item1.xml"/><Relationship Id="rId146" Type="http://schemas.openxmlformats.org/officeDocument/2006/relationships/hyperlink" Target="https://journals.plos.org/plosone/article?id=10.1371/journal.pone.0313401" TargetMode="External"/><Relationship Id="rId7" Type="http://schemas.openxmlformats.org/officeDocument/2006/relationships/hyperlink" Target="https://www.cashfree.com/blog/founders-agreement/" TargetMode="External"/><Relationship Id="rId145" Type="http://schemas.openxmlformats.org/officeDocument/2006/relationships/hyperlink" Target="https://www.cochrane.org/about-us/news/cochrane-methods-report-2025" TargetMode="External"/><Relationship Id="rId8" Type="http://schemas.openxmlformats.org/officeDocument/2006/relationships/hyperlink" Target="https://joss.readthedocs.io/en/latest/paper.html" TargetMode="External"/><Relationship Id="rId144" Type="http://schemas.openxmlformats.org/officeDocument/2006/relationships/hyperlink" Target="https://pmc.ncbi.nlm.nih.gov/articles/PMC12644243/" TargetMode="External"/><Relationship Id="rId73" Type="http://schemas.openxmlformats.org/officeDocument/2006/relationships/hyperlink" Target="https://www.cashfree.com/blog/founders-agreement/" TargetMode="External"/><Relationship Id="rId72" Type="http://schemas.openxmlformats.org/officeDocument/2006/relationships/hyperlink" Target="https://promise.legal/templates/founder-agreement" TargetMode="External"/><Relationship Id="rId75" Type="http://schemas.openxmlformats.org/officeDocument/2006/relationships/hyperlink" Target="https://slicingpie.com/" TargetMode="External"/><Relationship Id="rId74" Type="http://schemas.openxmlformats.org/officeDocument/2006/relationships/hyperlink" Target="https://promise.legal/templates/founder-agreement" TargetMode="External"/><Relationship Id="rId77" Type="http://schemas.openxmlformats.org/officeDocument/2006/relationships/hyperlink" Target="https://promise.legal/templates/founder-agreement" TargetMode="External"/><Relationship Id="rId76" Type="http://schemas.openxmlformats.org/officeDocument/2006/relationships/hyperlink" Target="https://www.foundrs.com/" TargetMode="External"/><Relationship Id="rId79" Type="http://schemas.openxmlformats.org/officeDocument/2006/relationships/hyperlink" Target="https://www.ustaxx.com/blog/delaware-c-corp-formation-for-saas-founders-2026-through-series-a" TargetMode="External"/><Relationship Id="rId78" Type="http://schemas.openxmlformats.org/officeDocument/2006/relationships/hyperlink" Target="https://hub.causo.ai/guides/delaware-c-corp-setup" TargetMode="External"/><Relationship Id="rId71" Type="http://schemas.openxmlformats.org/officeDocument/2006/relationships/hyperlink" Target="https://www.cashfree.com/blog/founders-agreement/" TargetMode="External"/><Relationship Id="rId70" Type="http://schemas.openxmlformats.org/officeDocument/2006/relationships/hyperlink" Target="https://pnassociates.in/insights/odi-by-dpiit-startup-overseas-subsidiary-2025" TargetMode="External"/><Relationship Id="rId139" Type="http://schemas.openxmlformats.org/officeDocument/2006/relationships/hyperlink" Target="https://www.bmj.com/content/381/bmj-2022-073538" TargetMode="External"/><Relationship Id="rId138" Type="http://schemas.openxmlformats.org/officeDocument/2006/relationships/hyperlink" Target="https://www.bmj.com/content/388/bmj-2024-082505" TargetMode="External"/><Relationship Id="rId137" Type="http://schemas.openxmlformats.org/officeDocument/2006/relationships/hyperlink" Target="https://pubmed.ncbi.nlm.nih.gov/39779929/" TargetMode="External"/><Relationship Id="rId132" Type="http://schemas.openxmlformats.org/officeDocument/2006/relationships/hyperlink" Target="https://www.registerkaro.in/post/private-limited-company-registration-process-in-india" TargetMode="External"/><Relationship Id="rId131" Type="http://schemas.openxmlformats.org/officeDocument/2006/relationships/hyperlink" Target="https://pubmed.ncbi.nlm.nih.gov/39779929/" TargetMode="External"/><Relationship Id="rId130" Type="http://schemas.openxmlformats.org/officeDocument/2006/relationships/hyperlink" Target="https://pmc.ncbi.nlm.nih.gov/articles/PMC12644243/" TargetMode="External"/><Relationship Id="rId136" Type="http://schemas.openxmlformats.org/officeDocument/2006/relationships/hyperlink" Target="https://www.bmj.com/content/385/bmj-2023-078378" TargetMode="External"/><Relationship Id="rId135" Type="http://schemas.openxmlformats.org/officeDocument/2006/relationships/hyperlink" Target="https://www.distillersr.com/industries/academic-students" TargetMode="External"/><Relationship Id="rId134" Type="http://schemas.openxmlformats.org/officeDocument/2006/relationships/hyperlink" Target="https://www.covidence.org/institutional-licenses/" TargetMode="External"/><Relationship Id="rId133" Type="http://schemas.openxmlformats.org/officeDocument/2006/relationships/hyperlink" Target="https://laffaz.com/startup-formation-compliance-india/" TargetMode="External"/><Relationship Id="rId62" Type="http://schemas.openxmlformats.org/officeDocument/2006/relationships/hyperlink" Target="https://www.registerkaro.in/post/private-limited-company-registration-process-in-india" TargetMode="External"/><Relationship Id="rId61" Type="http://schemas.openxmlformats.org/officeDocument/2006/relationships/hyperlink" Target="https://peko.one/in/blogs/company-formation/how-to-register-a-company-in-india-2026" TargetMode="External"/><Relationship Id="rId64" Type="http://schemas.openxmlformats.org/officeDocument/2006/relationships/hyperlink" Target="https://thekarak.in/startup-registration-process-india-2026-complete-guide/" TargetMode="External"/><Relationship Id="rId63" Type="http://schemas.openxmlformats.org/officeDocument/2006/relationships/hyperlink" Target="https://peko.one/in/blogs/company-formation/how-to-register-a-company-in-india-2026" TargetMode="External"/><Relationship Id="rId66" Type="http://schemas.openxmlformats.org/officeDocument/2006/relationships/hyperlink" Target="https://laffaz.com/startup-formation-compliance-india/" TargetMode="External"/><Relationship Id="rId172" Type="http://schemas.openxmlformats.org/officeDocument/2006/relationships/hyperlink" Target="https://onlinelibrary.wiley.com/doi/toc/10.1002/(ISSN)2832-9023.AI_in_Evidence_Synthesis" TargetMode="External"/><Relationship Id="rId65" Type="http://schemas.openxmlformats.org/officeDocument/2006/relationships/hyperlink" Target="https://www.registerkaro.in/post/private-limited-company-registration-process-in-india" TargetMode="External"/><Relationship Id="rId171" Type="http://schemas.openxmlformats.org/officeDocument/2006/relationships/hyperlink" Target="https://www.cambridge.org/core/journals/research-synthesis-methods" TargetMode="External"/><Relationship Id="rId68" Type="http://schemas.openxmlformats.org/officeDocument/2006/relationships/hyperlink" Target="https://unstoppablevk.com/insights/india-us-flip-structure" TargetMode="External"/><Relationship Id="rId170" Type="http://schemas.openxmlformats.org/officeDocument/2006/relationships/hyperlink" Target="https://www.sciencedirect.com/journal/journal-of-clinical-epidemiology/publish/guide-for-authors" TargetMode="External"/><Relationship Id="rId67" Type="http://schemas.openxmlformats.org/officeDocument/2006/relationships/hyperlink" Target="https://peko.one/in/blogs/company-formation/how-to-register-a-company-in-india-2026" TargetMode="External"/><Relationship Id="rId60" Type="http://schemas.openxmlformats.org/officeDocument/2006/relationships/hyperlink" Target="https://thekarak.in/startup-registration-process-india-2026-complete-guide/" TargetMode="External"/><Relationship Id="rId165" Type="http://schemas.openxmlformats.org/officeDocument/2006/relationships/hyperlink" Target="https://pmc.ncbi.nlm.nih.gov/articles/PMC11469465/" TargetMode="External"/><Relationship Id="rId69" Type="http://schemas.openxmlformats.org/officeDocument/2006/relationships/hyperlink" Target="https://asbanka.com/2026/05/18/delaware-flip-vs-reverse-flip-the-tax-math-nobody-does/" TargetMode="External"/><Relationship Id="rId164" Type="http://schemas.openxmlformats.org/officeDocument/2006/relationships/hyperlink" Target="https://pmc.ncbi.nlm.nih.gov/articles/PMC11469465/" TargetMode="External"/><Relationship Id="rId163" Type="http://schemas.openxmlformats.org/officeDocument/2006/relationships/hyperlink" Target="https://formative.jmir.org/2025/1/e68666" TargetMode="External"/><Relationship Id="rId162" Type="http://schemas.openxmlformats.org/officeDocument/2006/relationships/hyperlink" Target="https://formative.jmir.org/2025/1/e68666" TargetMode="External"/><Relationship Id="rId169" Type="http://schemas.openxmlformats.org/officeDocument/2006/relationships/hyperlink" Target="https://www.sciencedirect.com/journal/journal-of-clinical-epidemiology/publish/guide-for-authors" TargetMode="External"/><Relationship Id="rId168" Type="http://schemas.openxmlformats.org/officeDocument/2006/relationships/hyperlink" Target="https://ar5iv.labs.arxiv.org/html/2310.17526" TargetMode="External"/><Relationship Id="rId167" Type="http://schemas.openxmlformats.org/officeDocument/2006/relationships/hyperlink" Target="https://publica-rest.fraunhofer.de/server/api/core/bitstreams/60db6241-0c51-4a79-b3c2-06815dbc0c63/content" TargetMode="External"/><Relationship Id="rId166" Type="http://schemas.openxmlformats.org/officeDocument/2006/relationships/hyperlink" Target="https://pmc.ncbi.nlm.nih.gov/articles/PMC11469465/" TargetMode="External"/><Relationship Id="rId51" Type="http://schemas.openxmlformats.org/officeDocument/2006/relationships/hyperlink" Target="https://joss.theoj.org/" TargetMode="External"/><Relationship Id="rId50" Type="http://schemas.openxmlformats.org/officeDocument/2006/relationships/hyperlink" Target="https://www.cochrane.org/events/recommendations-and-guidance-responsible-ai-evidence-synthesis" TargetMode="External"/><Relationship Id="rId53" Type="http://schemas.openxmlformats.org/officeDocument/2006/relationships/hyperlink" Target="https://laffaz.com/startup-formation-compliance-india/" TargetMode="External"/><Relationship Id="rId52" Type="http://schemas.openxmlformats.org/officeDocument/2006/relationships/hyperlink" Target="https://vakalattoday.com/incorporating-a-company-in-india-a-practical-guide-for-tech-smes/" TargetMode="External"/><Relationship Id="rId55" Type="http://schemas.openxmlformats.org/officeDocument/2006/relationships/hyperlink" Target="https://www.cashfree.com/blog/founders-agreement/" TargetMode="External"/><Relationship Id="rId161" Type="http://schemas.openxmlformats.org/officeDocument/2006/relationships/hyperlink" Target="https://formative.jmir.org/2025/1/e68666" TargetMode="External"/><Relationship Id="rId54" Type="http://schemas.openxmlformats.org/officeDocument/2006/relationships/hyperlink" Target="https://laffaz.com/startup-formation-compliance-india/" TargetMode="External"/><Relationship Id="rId160" Type="http://schemas.openxmlformats.org/officeDocument/2006/relationships/hyperlink" Target="https://www.medrxiv.org/content/10.1101/2025.03.20.25324350v1" TargetMode="External"/><Relationship Id="rId57" Type="http://schemas.openxmlformats.org/officeDocument/2006/relationships/hyperlink" Target="https://laffaz.com/startup-formation-compliance-india/" TargetMode="External"/><Relationship Id="rId56" Type="http://schemas.openxmlformats.org/officeDocument/2006/relationships/hyperlink" Target="https://vakalattoday.com/incorporating-a-company-in-india-a-practical-guide-for-tech-smes/" TargetMode="External"/><Relationship Id="rId159" Type="http://schemas.openxmlformats.org/officeDocument/2006/relationships/hyperlink" Target="https://www.medrxiv.org/content/10.1101/2025.03.20.25324350v1" TargetMode="External"/><Relationship Id="rId59" Type="http://schemas.openxmlformats.org/officeDocument/2006/relationships/hyperlink" Target="https://www.registerkaro.in/post/private-limited-company-registration-process-in-india" TargetMode="External"/><Relationship Id="rId154" Type="http://schemas.openxmlformats.org/officeDocument/2006/relationships/hyperlink" Target="https://onlinelibrary.wiley.com/doi/full/10.1002/cesm.70036" TargetMode="External"/><Relationship Id="rId58" Type="http://schemas.openxmlformats.org/officeDocument/2006/relationships/hyperlink" Target="https://peko.one/in/blogs/company-formation/how-to-register-a-company-in-india-2026" TargetMode="External"/><Relationship Id="rId153" Type="http://schemas.openxmlformats.org/officeDocument/2006/relationships/hyperlink" Target="https://onlinelibrary.wiley.com/doi/full/10.1002/cesm.70036" TargetMode="External"/><Relationship Id="rId152" Type="http://schemas.openxmlformats.org/officeDocument/2006/relationships/hyperlink" Target="https://onlinelibrary.wiley.com/doi/full/10.1002/cesm.70036" TargetMode="External"/><Relationship Id="rId151" Type="http://schemas.openxmlformats.org/officeDocument/2006/relationships/hyperlink" Target="https://pubmed.ncbi.nlm.nih.gov/40199559/" TargetMode="External"/><Relationship Id="rId158" Type="http://schemas.openxmlformats.org/officeDocument/2006/relationships/hyperlink" Target="https://www.medrxiv.org/content/10.1101/2025.03.20.25324350v1" TargetMode="External"/><Relationship Id="rId157" Type="http://schemas.openxmlformats.org/officeDocument/2006/relationships/hyperlink" Target="https://ai.jmir.org/2025/1/e68097" TargetMode="External"/><Relationship Id="rId156" Type="http://schemas.openxmlformats.org/officeDocument/2006/relationships/hyperlink" Target="https://ai.jmir.org/2025/1/e68097" TargetMode="External"/><Relationship Id="rId155" Type="http://schemas.openxmlformats.org/officeDocument/2006/relationships/hyperlink" Target="https://ai.jmir.org/2025/1/e68097" TargetMode="External"/><Relationship Id="rId107" Type="http://schemas.openxmlformats.org/officeDocument/2006/relationships/hyperlink" Target="https://researchgold.org/blog/ai-tools-systematic-review-screening-extraction" TargetMode="External"/><Relationship Id="rId228" Type="http://schemas.openxmlformats.org/officeDocument/2006/relationships/hyperlink" Target="https://wcr.legal/trademark-strategy-web3-ai-companies/" TargetMode="External"/><Relationship Id="rId106" Type="http://schemas.openxmlformats.org/officeDocument/2006/relationships/hyperlink" Target="https://researchgold.org/blog/ai-tools-systematic-review-screening-extraction" TargetMode="External"/><Relationship Id="rId227" Type="http://schemas.openxmlformats.org/officeDocument/2006/relationships/hyperlink" Target="https://www.invntree.com/blog/madrid-protocol-vs-direct-national-filing-a-strategic-decision-framework-for-global-trademark-protection-2026" TargetMode="External"/><Relationship Id="rId105" Type="http://schemas.openxmlformats.org/officeDocument/2006/relationships/hyperlink" Target="https://www.distillersr.com/pricing/student-pricing" TargetMode="External"/><Relationship Id="rId226" Type="http://schemas.openxmlformats.org/officeDocument/2006/relationships/hyperlink" Target="https://promise.legal/startup-legal-guide/ip/trademark-strategy" TargetMode="External"/><Relationship Id="rId104" Type="http://schemas.openxmlformats.org/officeDocument/2006/relationships/hyperlink" Target="https://www.distillersr.com/pricing/student-pricing" TargetMode="External"/><Relationship Id="rId225" Type="http://schemas.openxmlformats.org/officeDocument/2006/relationships/hyperlink" Target="https://stemerlaw.com/2025/08/26/software-trademarks/" TargetMode="External"/><Relationship Id="rId109" Type="http://schemas.openxmlformats.org/officeDocument/2006/relationships/hyperlink" Target="https://techfee.fau.edu/approvedproposals/Download.cfm?pid=3085" TargetMode="External"/><Relationship Id="rId108" Type="http://schemas.openxmlformats.org/officeDocument/2006/relationships/hyperlink" Target="https://www.atlasworkspace.ai/blog/ai-systematic-review-tools" TargetMode="External"/><Relationship Id="rId229" Type="http://schemas.openxmlformats.org/officeDocument/2006/relationships/hyperlink" Target="https://terms.law/2025/11/23/delaware-incorporation-for-ai-saas-tech-companies/" TargetMode="External"/><Relationship Id="rId220" Type="http://schemas.openxmlformats.org/officeDocument/2006/relationships/hyperlink" Target="https://cybersecify.com/blog/dpdp-act-compliance-checklist-saas-startups/" TargetMode="External"/><Relationship Id="rId103" Type="http://schemas.openxmlformats.org/officeDocument/2006/relationships/hyperlink" Target="https://www.distillersr.com/pricing/student-pricing" TargetMode="External"/><Relationship Id="rId224" Type="http://schemas.openxmlformats.org/officeDocument/2006/relationships/hyperlink" Target="https://www.twocents.software/blog/saas-trademark-strategy-protecting-your-brand-globally/" TargetMode="External"/><Relationship Id="rId102" Type="http://schemas.openxmlformats.org/officeDocument/2006/relationships/hyperlink" Target="https://researchgold.org/blog/covidence-alternatives-systematic-review-tools" TargetMode="External"/><Relationship Id="rId223" Type="http://schemas.openxmlformats.org/officeDocument/2006/relationships/hyperlink" Target="https://www.uspto.gov/ip-policy/international-protection/madrid-protocol/outbound-application-process" TargetMode="External"/><Relationship Id="rId101" Type="http://schemas.openxmlformats.org/officeDocument/2006/relationships/hyperlink" Target="https://techfee.fau.edu/approvedproposals/Download.cfm?pid=3085" TargetMode="External"/><Relationship Id="rId222" Type="http://schemas.openxmlformats.org/officeDocument/2006/relationships/hyperlink" Target="https://www.ey.com/content/dam/ey-unified-site/ey-com/en-in/insights/cybersecurity/documents/2025/01/ey-india-dpdp-rules-2025-v1.pdf" TargetMode="External"/><Relationship Id="rId100" Type="http://schemas.openxmlformats.org/officeDocument/2006/relationships/hyperlink" Target="https://www.covidence.org/pricing/" TargetMode="External"/><Relationship Id="rId221" Type="http://schemas.openxmlformats.org/officeDocument/2006/relationships/hyperlink" Target="https://ringsafe.in/dpdp-compliance-saas/" TargetMode="External"/><Relationship Id="rId217" Type="http://schemas.openxmlformats.org/officeDocument/2006/relationships/hyperlink" Target="https://static.pib.gov.in/WriteReadData/specificdocs/documents/2025/nov/doc20251117695301.pdf" TargetMode="External"/><Relationship Id="rId216" Type="http://schemas.openxmlformats.org/officeDocument/2006/relationships/hyperlink" Target="https://pnassociates.in/insights/odi-by-dpiit-startup-overseas-subsidiary-2025" TargetMode="External"/><Relationship Id="rId215" Type="http://schemas.openxmlformats.org/officeDocument/2006/relationships/hyperlink" Target="https://www.tlh.law/insights/doing-the-delaware-flip" TargetMode="External"/><Relationship Id="rId214" Type="http://schemas.openxmlformats.org/officeDocument/2006/relationships/hyperlink" Target="https://asbanka.com/2026/05/18/delaware-flip-vs-reverse-flip-the-tax-math-nobody-does/" TargetMode="External"/><Relationship Id="rId219" Type="http://schemas.openxmlformats.org/officeDocument/2006/relationships/hyperlink" Target="https://ksandk.com/data-protection-and-data-privacy/dpdp-compliance-saas/" TargetMode="External"/><Relationship Id="rId218" Type="http://schemas.openxmlformats.org/officeDocument/2006/relationships/hyperlink" Target="https://cadp.in/resources/official-texts/dpdp-rules-2025/" TargetMode="External"/><Relationship Id="rId213" Type="http://schemas.openxmlformats.org/officeDocument/2006/relationships/hyperlink" Target="https://virtualauditor.in/learn/flip-structure-india-delaware-fema/" TargetMode="External"/><Relationship Id="rId212" Type="http://schemas.openxmlformats.org/officeDocument/2006/relationships/hyperlink" Target="https://aritrapartners.com/india-to-overseas-flip-a-practical-legal-tax-guide-for-founders/" TargetMode="External"/><Relationship Id="rId211" Type="http://schemas.openxmlformats.org/officeDocument/2006/relationships/hyperlink" Target="https://unstoppablevk.com/insights/india-us-flip-structure" TargetMode="External"/><Relationship Id="rId210" Type="http://schemas.openxmlformats.org/officeDocument/2006/relationships/hyperlink" Target="https://promise.legal/templates/founder-agreement" TargetMode="External"/><Relationship Id="rId129" Type="http://schemas.openxmlformats.org/officeDocument/2006/relationships/hyperlink" Target="https://www.cochranelibrary.com/cdsr/doi/10.1002/14651858.ED000178/full" TargetMode="External"/><Relationship Id="rId128" Type="http://schemas.openxmlformats.org/officeDocument/2006/relationships/hyperlink" Target="https://libguides.lib.hku.hk/med/AI_Tools_for_Systematic_Review" TargetMode="External"/><Relationship Id="rId127" Type="http://schemas.openxmlformats.org/officeDocument/2006/relationships/hyperlink" Target="https://pmc.ncbi.nlm.nih.gov/articles/PMC9112080/" TargetMode="External"/><Relationship Id="rId126" Type="http://schemas.openxmlformats.org/officeDocument/2006/relationships/hyperlink" Target="https://pmc.ncbi.nlm.nih.gov/articles/PMC12947929/" TargetMode="External"/><Relationship Id="rId121" Type="http://schemas.openxmlformats.org/officeDocument/2006/relationships/hyperlink" Target="https://cybersecify.com/blog/dpdp-act-compliance-checklist-saas-startups/" TargetMode="External"/><Relationship Id="rId242" Type="http://schemas.openxmlformats.org/officeDocument/2006/relationships/hyperlink" Target="https://www.uclb.com/our-services/commercialise-your-research/non-patentable-ip/" TargetMode="External"/><Relationship Id="rId120" Type="http://schemas.openxmlformats.org/officeDocument/2006/relationships/hyperlink" Target="https://ringsafe.in/dpdp-compliance-saas/" TargetMode="External"/><Relationship Id="rId241" Type="http://schemas.openxmlformats.org/officeDocument/2006/relationships/hyperlink" Target="https://innovation.st-andrews.ac.uk/files/2025/09/University-of-St-Andrews-Spinout-Guide-compressed.pdf" TargetMode="External"/><Relationship Id="rId240" Type="http://schemas.openxmlformats.org/officeDocument/2006/relationships/hyperlink" Target="https://uoe-edinburgh-innovations.ed.ac.uk/sites/default/files/2024-09/Spinout%20Support%20Guide.pdf" TargetMode="External"/><Relationship Id="rId125" Type="http://schemas.openxmlformats.org/officeDocument/2006/relationships/hyperlink" Target="https://researchgold.org/blog/ai-tools-systematic-review-screening-extraction" TargetMode="External"/><Relationship Id="rId124" Type="http://schemas.openxmlformats.org/officeDocument/2006/relationships/hyperlink" Target="https://www.atlasworkspace.ai/blog/ai-systematic-review-tools" TargetMode="External"/><Relationship Id="rId123" Type="http://schemas.openxmlformats.org/officeDocument/2006/relationships/hyperlink" Target="https://www.distillersr.com/pricing/student-pricing" TargetMode="External"/><Relationship Id="rId122" Type="http://schemas.openxmlformats.org/officeDocument/2006/relationships/hyperlink" Target="https://www.ey.com/content/dam/ey-unified-site/ey-com/en-in/insights/cybersecurity/documents/2025/01/ey-india-dpdp-rules-2025-v1.pdf" TargetMode="External"/><Relationship Id="rId243" Type="http://schemas.openxmlformats.org/officeDocument/2006/relationships/hyperlink" Target="https://toolkit.setsquared.co.uk/playbook-hot-licence-spin-out/" TargetMode="External"/><Relationship Id="rId95" Type="http://schemas.openxmlformats.org/officeDocument/2006/relationships/hyperlink" Target="https://stemerlaw.com/2025/08/26/software-trademarks/" TargetMode="External"/><Relationship Id="rId94" Type="http://schemas.openxmlformats.org/officeDocument/2006/relationships/hyperlink" Target="https://wcr.legal/trademark-strategy-web3-ai-companies/" TargetMode="External"/><Relationship Id="rId97" Type="http://schemas.openxmlformats.org/officeDocument/2006/relationships/hyperlink" Target="https://www.invntree.com/blog/madrid-protocol-vs-direct-national-filing-a-strategic-decision-framework-for-global-trademark-protection-2026" TargetMode="External"/><Relationship Id="rId96" Type="http://schemas.openxmlformats.org/officeDocument/2006/relationships/hyperlink" Target="https://wcr.legal/trademark-strategy-web3-ai-companies/" TargetMode="External"/><Relationship Id="rId99" Type="http://schemas.openxmlformats.org/officeDocument/2006/relationships/hyperlink" Target="https://www.distillersr.com/industries/academic-students" TargetMode="External"/><Relationship Id="rId98" Type="http://schemas.openxmlformats.org/officeDocument/2006/relationships/hyperlink" Target="https://www.covidence.org/institutional-licenses/" TargetMode="External"/><Relationship Id="rId91" Type="http://schemas.openxmlformats.org/officeDocument/2006/relationships/hyperlink" Target="https://www.uspto.gov/ip-policy/international-protection/madrid-protocol/outbound-application-process" TargetMode="External"/><Relationship Id="rId90" Type="http://schemas.openxmlformats.org/officeDocument/2006/relationships/hyperlink" Target="https://www.tmdn.org/tmview/" TargetMode="External"/><Relationship Id="rId93" Type="http://schemas.openxmlformats.org/officeDocument/2006/relationships/hyperlink" Target="https://www.invntree.com/blog/madrid-protocol-vs-direct-national-filing-a-strategic-decision-framework-for-global-trademark-protection-2026" TargetMode="External"/><Relationship Id="rId92" Type="http://schemas.openxmlformats.org/officeDocument/2006/relationships/hyperlink" Target="https://promise.legal/startup-legal-guide/ip/trademark-strategy" TargetMode="External"/><Relationship Id="rId118" Type="http://schemas.openxmlformats.org/officeDocument/2006/relationships/hyperlink" Target="https://ksandk.com/data-protection-and-data-privacy/dpdp-compliance-saas/" TargetMode="External"/><Relationship Id="rId239" Type="http://schemas.openxmlformats.org/officeDocument/2006/relationships/hyperlink" Target="https://www.enterprise.cam.ac.uk/pioneering-research-innovations/develop-a-commercial-opportunity/ip-and-revenue-sharing/" TargetMode="External"/><Relationship Id="rId117" Type="http://schemas.openxmlformats.org/officeDocument/2006/relationships/hyperlink" Target="https://pmc.ncbi.nlm.nih.gov/articles/PMC12644243/" TargetMode="External"/><Relationship Id="rId238" Type="http://schemas.openxmlformats.org/officeDocument/2006/relationships/hyperlink" Target="https://www.bioindustry.org/static/70bc6769-bd9f-41cc-9a6711d8357dc66d/USIT-Guide-2023.pdf" TargetMode="External"/><Relationship Id="rId116" Type="http://schemas.openxmlformats.org/officeDocument/2006/relationships/hyperlink" Target="https://www.bmj.com/content/381/bmj-2022-073538" TargetMode="External"/><Relationship Id="rId237" Type="http://schemas.openxmlformats.org/officeDocument/2006/relationships/hyperlink" Target="https://innovation.ox.ac.uk/create-company/company-structure-and-ownership" TargetMode="External"/><Relationship Id="rId115" Type="http://schemas.openxmlformats.org/officeDocument/2006/relationships/hyperlink" Target="https://www.cochranelibrary.com/cdsr/doi/10.1002/14651858.ED000178/full" TargetMode="External"/><Relationship Id="rId236" Type="http://schemas.openxmlformats.org/officeDocument/2006/relationships/hyperlink" Target="https://governance.admin.ox.ac.uk/research-innovation-committee/policies/equity-sharing" TargetMode="External"/><Relationship Id="rId119" Type="http://schemas.openxmlformats.org/officeDocument/2006/relationships/hyperlink" Target="https://cybersecify.com/blog/dpdp-act-compliance-checklist-saas-startups/" TargetMode="External"/><Relationship Id="rId110" Type="http://schemas.openxmlformats.org/officeDocument/2006/relationships/hyperlink" Target="https://static.pib.gov.in/WriteReadData/specificdocs/documents/2025/nov/doc20251117695301.pdf" TargetMode="External"/><Relationship Id="rId231" Type="http://schemas.openxmlformats.org/officeDocument/2006/relationships/hyperlink" Target="https://hub.causo.ai/guides/delaware-c-corp-setup" TargetMode="External"/><Relationship Id="rId230" Type="http://schemas.openxmlformats.org/officeDocument/2006/relationships/hyperlink" Target="https://www.ustaxx.com/blog/delaware-c-corp-formation-for-saas-founders-2026-through-series-a" TargetMode="External"/><Relationship Id="rId114" Type="http://schemas.openxmlformats.org/officeDocument/2006/relationships/hyperlink" Target="https://www.cochrane.org/events/recommendations-and-guidance-responsible-ai-evidence-synthesis" TargetMode="External"/><Relationship Id="rId235" Type="http://schemas.openxmlformats.org/officeDocument/2006/relationships/hyperlink" Target="https://landing.ai/llms/landingai-ade-security-and-compliance-soc-2-type-ii-gdpr-hipaa-zdr-and-baa" TargetMode="External"/><Relationship Id="rId113" Type="http://schemas.openxmlformats.org/officeDocument/2006/relationships/hyperlink" Target="https://www.bmj.com/content/388/bmj-2024-082505" TargetMode="External"/><Relationship Id="rId234" Type="http://schemas.openxmlformats.org/officeDocument/2006/relationships/hyperlink" Target="https://xaqua.io/soc-2-hipaa-gdpr/" TargetMode="External"/><Relationship Id="rId112" Type="http://schemas.openxmlformats.org/officeDocument/2006/relationships/hyperlink" Target="https://pubmed.ncbi.nlm.nih.gov/39779929/" TargetMode="External"/><Relationship Id="rId233" Type="http://schemas.openxmlformats.org/officeDocument/2006/relationships/hyperlink" Target="https://www.njbusiness-attorney.com/forming-a-delaware-c-corp-for-saas-ai-startups/" TargetMode="External"/><Relationship Id="rId111" Type="http://schemas.openxmlformats.org/officeDocument/2006/relationships/hyperlink" Target="https://www.bmj.com/content/385/bmj-2023-078378" TargetMode="External"/><Relationship Id="rId232" Type="http://schemas.openxmlformats.org/officeDocument/2006/relationships/hyperlink" Target="https://www.njbusiness-attorney.com/ai-saas-startup-formation-guide/" TargetMode="External"/><Relationship Id="rId206" Type="http://schemas.openxmlformats.org/officeDocument/2006/relationships/hyperlink" Target="https://vakalattoday.com/incorporating-a-company-in-india-a-practical-guide-for-tech-smes/" TargetMode="External"/><Relationship Id="rId205" Type="http://schemas.openxmlformats.org/officeDocument/2006/relationships/hyperlink" Target="https://thekarak.in/startup-registration-process-india-2026-complete-guide/" TargetMode="External"/><Relationship Id="rId204" Type="http://schemas.openxmlformats.org/officeDocument/2006/relationships/hyperlink" Target="https://virtualauditor.in/private-limited-company-registration" TargetMode="External"/><Relationship Id="rId203" Type="http://schemas.openxmlformats.org/officeDocument/2006/relationships/hyperlink" Target="https://peko.one/in/blogs/company-formation/how-to-register-a-company-in-india-2026" TargetMode="External"/><Relationship Id="rId209" Type="http://schemas.openxmlformats.org/officeDocument/2006/relationships/hyperlink" Target="https://www.cashfree.com/blog/founders-agreement/" TargetMode="External"/><Relationship Id="rId208" Type="http://schemas.openxmlformats.org/officeDocument/2006/relationships/hyperlink" Target="https://www.bhavyasharmaandassociates.com/blog/startup-legal-compliance-faq-india/" TargetMode="External"/><Relationship Id="rId207" Type="http://schemas.openxmlformats.org/officeDocument/2006/relationships/hyperlink" Target="https://laffaz.com/startup-formation-compliance-india/" TargetMode="External"/><Relationship Id="rId202" Type="http://schemas.openxmlformats.org/officeDocument/2006/relationships/hyperlink" Target="https://www.registerkaro.in/post/private-limited-company-registration-process-in-india" TargetMode="External"/><Relationship Id="rId201" Type="http://schemas.openxmlformats.org/officeDocument/2006/relationships/hyperlink" Target="https://digitalcommons.wayne.edu/cgi/viewcontent.cgi?article=1140&amp;context=libsp" TargetMode="External"/><Relationship Id="rId200" Type="http://schemas.openxmlformats.org/officeDocument/2006/relationships/hyperlink" Target="https://jmla.pitt.edu/ojs/jmla/article/viewFile/513/7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MqrkASGv0rTX3RWnQMMaDz4odA==">CgMxLjAaHQoBMBIYChYIB0ISEhBBcmlhbCBVbmljb2RlIE1TMg9pZC5ldXdzOGlyYjU0b2YyDmguOW1zOTlzdDk0N3kwMg9pZC45MmQ3ZHYyb3BrYWQyDmguOXY0c3hwZGsyaGloMg9pZC5hMDY5MXY2cGFhZjYyDWguajViZjNqcDlwdnAyD2lkLjNlZDY2cTZjNTN3YzIOaC40aTVqMGl2M281bmIyD2lkLml5cndsdzFqdGljNTINaC56M2Q0eW8zbjlpMDIPaWQuY3Y0Y3Q0MXRxeDh6Mg5oLjl4ZDJqcG5hYnAwYjIPaWQud3NveWMxa2dvaHJxMg5oLmsxa3hjOG5zcWdhaTIPaWQuZXh2Yno0OHg0cDFrMg5oLnA1eGpkbGxwN2prYzIPaWQubDNuajU4Y2lkOXhvMg5oLmc5eWlodHk3OXV0YTIPaWQuNjZobnhnYTd2cWNqMg5oLnh1aDIzcHJzd2RxNDIPaWQubW4ybm5mNmJrMTY0Mg5oLjR3eG9ncDZraGt4dTIPaWQuaDI4dXpxeGdqOWZuMg5oLm82eDZjNDhlNmltcjIPaWQuZjNvbm82dHY5MzB4Mg5oLmFuc2dlODc0b2E4azIPaWQucHh1YmxmNWx5OW4wMg5oLnN1MWpna2xucDUyNTIPaWQuMWcxem5kdmcxa3A5Mg5oLmxnaG1ieHU0ZmFlMzIOaWQudWhoZ2p2M2I3ZGQyDmgub3Mza3d4cDNyemk1Mg9pZC5kYjZxYTExMDRyMnIyDmguMTVkM214M2VjOTU4Mg9pZC5tb3U2bDh2c2Zyd2gyDmguNGYwNnUyZnQ2NXdwMg9pZC5veWdhejA2YzV0eDUyDmgucnFtdzRwejlwczZzMg9pZC5xMXB3bG90ejh0dHUyDmguNGxuMXVwY3lxbGtxMg9pZC5zcG82dzVtZHdtcW0yDmgudDQ5ZDEyc2MyODUxMg9pZC5ncW1vZXdyaTBqZmkyDmgudnR1ZGR0aHV5dTExMg9pZC55anl5YWxtNjFyMmgyDmguaGtmeG5zampvM3I3Mg5pZC5pN3p6N2IwOW5xNzIOaC43eDB3MG41NncyM24yD2lkLmR4bTV4Mjl0MjlreTIOaC5zazR1cDdpYThqNDMyD2lkLjJpYTc2OWZqZ3Y1cjIOaC5ibDc2bTd0enRubmMyD2lkLnR4eXpkMWI2eTY3aTIOaC44NGtoYjdwcWt1ejkyD2lkLnhpMzRzbzUyeHYzZTIOaC55cjdoaDRmN3BsM2gyD2lkLm5nNWgwOWU1anF6ZjIOaC44azdxdnJtcXBxN2YyD2lkLjlodTl4N3o4OW9jazIOaC44Y2ZjYnRobXdqaWcyD2lkLmM4a3UycmsxNmtrdTIOaC52MzFoZXRocWw3emIyD2lkLnY3cGtsMm1sc2wxbzIOaC45MGt3YXF4dzRrdmMyD2lkLmQwaWs2cWxxcWticTIOaC56MXllZ21nemNmY3AyD2lkLmkwYWJhejJmeGxobDIOaC55OWsyem9pZmowOXMyD2lkLnl1ZWFnOHVnZXFoOTIOaC4ydXh2NDlieGtzbmkyD2lkLjg2NjN0dGl5ZWl2ZjIOaC5rdXMyMXdnZzFqOXcyD2lkLjRkbXZhZzVxcGJuNjIOaC50azRydG52ZGZhcHYyD2lkLnZpNTRqamYxbWV5cDIOaC45MTNsdGRpaXR1N2oyD2lkLm9xa2VvajU2Zm1qODIOaC5vam1pcTRvdmgzNmgyD2lkLnZoajJvNWUyazZrbDIOaC44cTl5bjJ0MnFlZ2gyD2lkLnQ5cDdiaXkxcnhnYjIOaC42aDQyb3RkYTYzaDgyD2lkLjNvejB3MmQ3d2lwejIOaC5rcWw2amx3YnZuZnUyD2lkLnY2ZnoxZ2kzOGl3NzIOaC5zOWlxdThta25qb3oyD2lkLnNwb3h1NWltZjA5aDIOaC56Y3RyN3JieXBxeGkyD2lkLmNoNzhkNDYzYXdkczIOaC5rdHc1ZndxcXc3c24yD2lkLnN0NnM5emxlanVxbDIOaC5obGE4amNtbDE2eWYyD2lkLnZxOXJ3Nms0dWt0cTIOaC51cjgxcXhjemw0bmMyD2lkLjl0ZXZndnA5N3l6YjIOaC4zYm9zbWpiMmkwM20yD2lkLjJndWZlY3Q4d2VubTIOaC5sdHlvdGN1NWc2aDcyD2lkLnZoNndiNG01MmhzZzIOaC5ka3o5ZDc4MGZ4bjcyD2lkLm5uOTlmbDUyZjM3MzIOaC5oaW1sZWx1d2owYW4yDmlkLmFwbXM3N21pYWZmMg1oLjU5bWJnZXhuMmp5Mg9pZC5sZnh2cDQxZW5ic20yDmgua25lbG1vMWphOWQwMg9pZC4zdjl3dDlkcjZ3NjUyDmguOTNkd29xNmR5eXk5Mg9pZC5ycTdidGhkbmFrZnAyDmguN3pvcTJzeGs0cGhqMg9pZC5vcWIwZW1jNW8xdmgyDmguYnhldjJmamJrZ2EzMg9pZC5lYnJkNGk5Z3kzem0yDmgubHhsNTA1Z3NxZHlrMg9pZC5xbGJhYmozZjJieXcyDmgueXRpbXBsdmpodWlqMg9pZC5tZHo2c2ZqcTI5MHYyDmguemZuYmlicmo5Y3B4Mg9pZC5hdDNyYjI0YzMycmYyDmguaHY4dmw0aG10aXhoOAByITFWUzF1UW5kRGJ0STlPN2JmUWp2UUk3S28wbmlOQnY5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India → Global: Publication, Incorporation, and Commercialization Strategy</vt:lpwstr>
  </property>
</Properties>
</file>