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dxa" w:w="13936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ayout w:type="fixed"/>
      </w:tblPr>
      <w:tblGrid>
        <w:gridCol w:w="3419"/>
        <w:gridCol w:w="1820"/>
        <w:gridCol w:w="2102"/>
        <w:gridCol w:w="872"/>
        <w:gridCol w:w="636"/>
        <w:gridCol w:w="1625"/>
        <w:gridCol w:w="1961"/>
        <w:gridCol w:w="868"/>
        <w:gridCol w:w="633"/>
      </w:tblGrid>
      <w:tr>
        <w:tc>
          <w:tcPr>
            <w:tcW w:type="dxa" w:w="12960"/>
            <w:gridSpan w:val="9"/>
            <w:vAlign w:val="bottom"/>
          </w:tcPr>
          <w:p>
            <w:pPr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Table 1:</w:t>
            </w: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 xml:space="preserve"> Patient Characteristics Before and After Propensity Score Matching (PSM) — Standalone MMAE (PLT&lt;100k) vs Medical management (PLT&lt;100k)</w:t>
              <w:br/>
            </w:r>
          </w:p>
        </w:tc>
      </w:tr>
      <w:tr>
        <w:tc>
          <w:tcPr>
            <w:tcW w:type="dxa" w:w="1440"/>
            <w:vMerge w:val="restart"/>
            <w:vAlign w:val="bottom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/>
                <w:sz w:val="22"/>
              </w:rPr>
              <w:t>Characteristics — mean ± SD, %(n)</w:t>
            </w:r>
          </w:p>
        </w:tc>
        <w:tc>
          <w:tcPr>
            <w:tcW w:type="dxa" w:w="5760"/>
            <w:gridSpan w:val="4"/>
            <w:vAlign w:val="center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Before PSM</w:t>
            </w:r>
          </w:p>
        </w:tc>
        <w:tc>
          <w:tcPr>
            <w:tcW w:type="dxa" w:w="5760"/>
            <w:gridSpan w:val="4"/>
            <w:vAlign w:val="center"/>
            <w:tcBorders>
              <w:left w:val="single" w:sz="4" w:space="0" w:color="auto"/>
              <w:bottom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After PSM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Standalone MMAE (PLT&lt;100k)</w:t>
              <w:br/>
            </w:r>
            <w:r>
              <w:rPr>
                <w:rFonts w:ascii="Times New Roman" w:hAnsi="Times New Roman" w:cs="Times New Roman"/>
                <w:b/>
                <w:i w:val="0"/>
                <w:sz w:val="22"/>
              </w:rPr>
              <w:t>(N=377)</w:t>
            </w:r>
          </w:p>
        </w:tc>
        <w:tc>
          <w:tcPr>
            <w:tcW w:type="dxa" w:w="1440"/>
            <w:vAlign w:val="center"/>
            <w:tcBorders>
              <w:top w:val="single" w:sz="4" w:space="0" w:color="auto"/>
              <w:bottom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Medical management (PLT&lt;100k)</w:t>
              <w:br/>
            </w:r>
            <w:r>
              <w:rPr>
                <w:rFonts w:ascii="Times New Roman" w:hAnsi="Times New Roman" w:cs="Times New Roman"/>
                <w:b/>
                <w:i w:val="0"/>
                <w:sz w:val="22"/>
              </w:rPr>
              <w:t>(N=16,272)</w:t>
            </w:r>
          </w:p>
        </w:tc>
        <w:tc>
          <w:tcPr>
            <w:tcW w:type="dxa" w:w="1440"/>
            <w:vAlign w:val="center"/>
            <w:tcBorders>
              <w:top w:val="single" w:sz="4" w:space="0" w:color="auto"/>
              <w:bottom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P-value</w:t>
            </w:r>
          </w:p>
        </w:tc>
        <w:tc>
          <w:tcPr>
            <w:tcW w:type="dxa" w:w="1440"/>
            <w:vAlign w:val="center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ASD</w:t>
            </w:r>
          </w:p>
        </w:tc>
        <w:tc>
          <w:tcPr>
            <w:tcW w:type="dxa" w:w="1440"/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Standalone MMAE (PLT&lt;100k)</w:t>
              <w:br/>
            </w:r>
            <w:r>
              <w:rPr>
                <w:rFonts w:ascii="Times New Roman" w:hAnsi="Times New Roman" w:cs="Times New Roman"/>
                <w:b/>
                <w:i w:val="0"/>
                <w:sz w:val="22"/>
              </w:rPr>
              <w:t>(N=373)</w:t>
            </w:r>
          </w:p>
        </w:tc>
        <w:tc>
          <w:tcPr>
            <w:tcW w:type="dxa" w:w="1440"/>
            <w:vAlign w:val="center"/>
            <w:tcBorders>
              <w:top w:val="single" w:sz="4" w:space="0" w:color="auto"/>
              <w:bottom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Medical management (PLT&lt;100k)</w:t>
              <w:br/>
            </w:r>
            <w:r>
              <w:rPr>
                <w:rFonts w:ascii="Times New Roman" w:hAnsi="Times New Roman" w:cs="Times New Roman"/>
                <w:b/>
                <w:i w:val="0"/>
                <w:sz w:val="22"/>
              </w:rPr>
              <w:t>(N=373)</w:t>
            </w:r>
          </w:p>
        </w:tc>
        <w:tc>
          <w:tcPr>
            <w:tcW w:type="dxa" w:w="1440"/>
            <w:vAlign w:val="center"/>
            <w:tcBorders>
              <w:top w:val="single" w:sz="4" w:space="0" w:color="auto"/>
              <w:bottom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P-value</w:t>
            </w:r>
          </w:p>
        </w:tc>
        <w:tc>
          <w:tcPr>
            <w:tcW w:type="dxa" w:w="1440"/>
            <w:vAlign w:val="center"/>
            <w:tcBorders>
              <w:top w:val="single" w:sz="4" w:space="0" w:color="auto"/>
              <w:bottom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ASD</w:t>
            </w:r>
          </w:p>
        </w:tc>
      </w:tr>
      <w:tr>
        <w:tc>
          <w:tcPr>
            <w:tcW w:type="dxa" w:w="1440"/>
            <w:vAlign w:val="bottom"/>
            <w:tcBorders>
              <w:top w:val="single" w:sz="4" w:space="0" w:color="auto"/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/>
                <w:i/>
                <w:sz w:val="22"/>
              </w:rPr>
              <w:t>Demographics</w:t>
            </w:r>
          </w:p>
        </w:tc>
        <w:tc>
          <w:tcPr>
            <w:tcW w:type="dxa" w:w="1440"/>
            <w:vAlign w:val="center"/>
            <w:tcBorders>
              <w:top w:val="single" w:sz="4" w:space="0" w:color="auto"/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440"/>
            <w:vAlign w:val="center"/>
            <w:tcBorders>
              <w:top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440"/>
            <w:vAlign w:val="center"/>
            <w:tcBorders>
              <w:top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440"/>
            <w:vAlign w:val="center"/>
            <w:tcBorders>
              <w:top w:val="single" w:sz="4" w:space="0" w:color="auto"/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440"/>
            <w:vAlign w:val="center"/>
            <w:tcBorders>
              <w:top w:val="single" w:sz="4" w:space="0" w:color="auto"/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440"/>
            <w:vAlign w:val="center"/>
            <w:tcBorders>
              <w:top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440"/>
            <w:vAlign w:val="center"/>
            <w:tcBorders>
              <w:top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440"/>
            <w:vAlign w:val="center"/>
            <w:tcBorders>
              <w:top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Age, mean ± SD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69.1 +/- 13.0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65.0 +/- 16.7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&lt;0.001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0.272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69.1 +/- 13.1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69.5 +/- 13.6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0.644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0.034</w:t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Female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35.8% (135)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37.0% (6,020)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0.637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0.025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36.2% (135)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34.6% (129)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0.646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0.034</w:t>
            </w:r>
          </w:p>
        </w:tc>
      </w:tr>
      <w:tr>
        <w:tc>
          <w:tcPr>
            <w:tcW w:type="dxa" w:w="1440"/>
            <w:vAlign w:val="bottom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/>
                <w:i/>
                <w:sz w:val="22"/>
              </w:rPr>
              <w:t>Comorbidities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Essential (primary) hypertension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61.0% (230)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55.1% (8,974)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0.024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0.119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61.4% (229)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62.2% (232)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0.821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0.017</w:t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Diabetes mellitus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35.5% (134)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31.4% (5,115)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0.090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0.087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35.4% (132)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35.7% (133)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0.939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0.006</w:t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Personal history of nicotine dependence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31.6% (119)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23.7% (3,850)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&lt;0.001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0.178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31.4% (117)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27.9% (104)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0.297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0.076</w:t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Atrial fibrillation and flutter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28.1% (106)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27.7% (4,506)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0.855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0.009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27.9% (104)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28.7% (107)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0.807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0.018</w:t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Nicotine dependence, cigarettes, uncomplicated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9.8% (37)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11.1% (1,814)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0.415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0.044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9.7% (36)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10.7% (40)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0.628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0.035</w:t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Ischemic heart diseases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38.5% (145)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32.7% (5,318)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0.018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0.121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38.1% (142)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36.5% (136)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0.650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0.033</w:t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Headache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20.7% (78)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11.5% (1,865)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&lt;0.001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0.253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20.4% (76)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20.4% (76)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&lt;0.001</w:t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Abnormalities of gait and mobility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9.5% (36)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7.3% (1,188)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0.098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0.081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9.7% (36)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5.9% (22)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0.056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0.141</w:t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Neoplasms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45.6% (172)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40.7% (6,628)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0.056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0.099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45.8% (171)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46.6% (174)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0.826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0.016</w:t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Nontraumatic chronic subdural hemorrhage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59.7% (225)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22.1% (3,594)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&lt;0.001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0.828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59.2% (221)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59.8% (223)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0.881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0.011</w:t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Nontraumatic subdural hemorrhage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73.5% (277)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82.6% (13,448)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&lt;0.001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0.223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73.2% (273)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74.0% (276)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0.803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0.018</w:t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Nontraumatic subacute subdural hemorrhage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11.4% (43)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7.1% (1,148)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0.001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0.151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11.3% (42)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12.6% (47)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0.572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0.041</w:t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Hemiplegia and hemiparesis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8.8% (33)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7.1% (1,152)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0.211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0.062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8.8% (33)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7.5% (28)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0.504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0.049</w:t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Epilepsy/recurrent seizures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13.0% (49)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14.6% (2,377)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0.381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0.047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12.6% (47)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12.1% (45)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0.824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0.016</w:t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Disorders of lipoprotein metabolism and other lipidemias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54.1% (204)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40.9% (6,659)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&lt;0.001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0.266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53.9% (201)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50.7% (189)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0.379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0.064</w:t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Chronic kidney disease (CKD)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28.9% (109)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28.0% (4,559)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0.702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0.020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29.0% (108)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30.8% (115)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0.576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0.041</w:t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Alcohol related disorders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17.5% (66)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18.2% (2,967)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0.718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0.019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17.7% (66)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18.2% (68)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0.849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0.014</w:t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Diseases of liver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36.3% (137)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33.2% (5,396)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0.195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0.067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35.9% (134)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36.7% (137)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0.819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0.017</w:t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Other and unspecified encephalopathy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30.5% (115)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34.9% (5,671)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0.080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0.093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30.8% (115)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30.3% (113)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0.874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0.012</w:t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Compression of brain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39.0% (147)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15.0% (2,436)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&lt;0.001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0.562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38.3% (143)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36.7% (137)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0.650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0.033</w:t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Alzheimer's disease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2.7%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1.8% (294)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2.7%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2.7%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Frontotemporal dementia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0.1% (14)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Vascular dementia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2.7%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1.4% (227)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2.7%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2.7%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Dementia in other diseases classified elsewhere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2.9% (11)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2.9% (467)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0.956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0.003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2.9% (11)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2.7%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Unspecified dementia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5.0% (19)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7.4% (1,204)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0.083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0.098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5.1% (19)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3.8% (14)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0.373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0.065</w:t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Disseminated intravascular coagulation [defibrination syndrome]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4.2% (16)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5.6% (912)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0.255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0.063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4.3% (16)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2.7%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Hereditary factor VIII deficiency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0.1% (23)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Hereditary factor IX deficiency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0.1%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Von Willebrand disease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0.1% (19)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Hereditary factor XI deficiency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0.1%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Hereditary deficiency of other clotting factors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2.7%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0.4% (58)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2.7%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Hemorrhagic disorder due to circulating anticoagulants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3.7% (14)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2.3% (381)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0.084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0.080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3.8% (14)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4.0% (15)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0.850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0.014</w:t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Acquired coagulation factor deficiency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6.6% (25)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5.4% (873)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0.282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0.053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6.7% (25)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7.8% (29)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0.572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0.041</w:t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Primary thrombophilia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2.7%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1.8% (301)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2.7%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2.7%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Other thrombophilia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2.7%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2.1% (349)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2.7%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2.7%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Other specified coagulation defects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2.7%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2.0% (324)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2.7%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2.7%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Coagulation defect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19.9% (75)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17.7% (2,883)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0.274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0.056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19.3% (72)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20.9% (78)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0.584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0.040</w:t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Allergic purpura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0.1%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Qualitative platelet defects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2.7%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0.7% (109)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2.7%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2.7%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Other nonthrombocytopenic purpura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2.7%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0.5% (83)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2.7%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2.7%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Immune thrombocytopenic purpura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3.4% (13)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3.4% (561)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0.999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&lt;0.001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3.5% (13)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2.7%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Other primary thrombocytopenia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2.7%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0.7% (108)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2.7%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2.7%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Secondary thrombocytopenia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23.9% (90)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14.8% (2,416)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&lt;0.001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0.230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23.9% (89)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23.1% (86)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0.795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0.019</w:t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Thrombocytopenia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67.6% (255)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56.1% (9,124)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&lt;0.001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0.240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67.3% (251)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66.2% (247)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0.756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0.023</w:t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Other specified hemorrhagic conditions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0.1% (12)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Hemorrhagic condition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2.7%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0.2% (40)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2.7%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</w:tr>
      <w:tr>
        <w:tc>
          <w:tcPr>
            <w:tcW w:type="dxa" w:w="1440"/>
            <w:vAlign w:val="bottom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/>
                <w:i/>
                <w:sz w:val="22"/>
              </w:rPr>
              <w:t>Medications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Apixaban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7.2% (27)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5.7% (935)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0.244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0.058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7.0% (26)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5.9% (22)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0.551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0.044</w:t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Warfarin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4.8% (18)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3.5% (562)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0.167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0.067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4.6% (17)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4.0% (15)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0.718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0.026</w:t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Rivaroxaban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2.7%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1.2% (200)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2.7%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2.7%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Aspirin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21.2% (80)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18.1% (2,940)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0.116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0.079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20.9% (78)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16.9% (63)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0.161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0.103</w:t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Clopidogrel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3.7% (14)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3.5% (574)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0.847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0.010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3.8% (14)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2.9% (11)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0.542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0.045</w:t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Prasugrel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0.1% (16)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Ticagrelor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2.7%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0.4% (68)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2.7%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2.7%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Dipyridamole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0.1%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</w:tr>
      <w:tr>
        <w:tc>
          <w:tcPr>
            <w:tcW w:type="dxa" w:w="1440"/>
            <w:vAlign w:val="bottom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/>
                <w:i/>
                <w:sz w:val="22"/>
              </w:rPr>
              <w:t>Laboratory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Platelets [#/volume] in Blood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79.2 +/- 37.3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69.2 +/- 32.2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&lt;0.001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0.286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79.3 +/- 37.4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68.6 +/- 29.9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&lt;0.001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0.315</w:t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29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7.7%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10.2%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7.8%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7.5%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42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11.1%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13.1%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11.3%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12.1%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66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17.5%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14.8%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17.4%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17.7%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79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21.0%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17.3%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20.9%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19.8%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96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25.5%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19.4%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25.5%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25.2%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101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26.8%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22.2%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26.8%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24.1%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129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34.2%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24.5%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33.8%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34.9%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143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37.9%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27.5%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37.8%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39.7%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141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37.4%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34.0%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37.3%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35.9%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187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49.6%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43.1%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50.1%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50.1%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</w:tr>
    </w:tbl>
    <w:p/>
    <w:tbl>
      <w:tblPr>
        <w:tblStyle w:val="TableGrid"/>
        <w:tblW w:type="dxa" w:w="13938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ayout w:type="fixed"/>
      </w:tblPr>
      <w:tblGrid>
        <w:gridCol w:w="2605"/>
        <w:gridCol w:w="2070"/>
        <w:gridCol w:w="2165"/>
        <w:gridCol w:w="3510"/>
        <w:gridCol w:w="1440"/>
        <w:gridCol w:w="2148"/>
      </w:tblGrid>
      <w:tr>
        <w:tc>
          <w:tcPr>
            <w:tcW w:type="dxa" w:w="12960"/>
            <w:gridSpan w:val="6"/>
            <w:vAlign w:val="bottom"/>
          </w:tcPr>
          <w:p>
            <w:pPr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Table 2:</w:t>
            </w: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 xml:space="preserve"> Clinical Outcomes at 90 days Follow-up — Standalone MMAE (PLT&lt;100k) vs Medical management (PLT&lt;100k)</w:t>
              <w:br/>
            </w:r>
          </w:p>
        </w:tc>
      </w:tr>
      <w:tr>
        <w:tc>
          <w:tcPr>
            <w:tcW w:type="dxa" w:w="2160"/>
            <w:vAlign w:val="bottom"/>
            <w:tcBorders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/>
                <w:sz w:val="22"/>
              </w:rPr>
              <w:t>Outcomes %(n)</w:t>
            </w:r>
          </w:p>
        </w:tc>
        <w:tc>
          <w:tcPr>
            <w:tcW w:type="dxa" w:w="2160"/>
            <w:vAlign w:val="center"/>
            <w:tcBorders>
              <w:left w:val="single" w:sz="4" w:space="0" w:color="auto"/>
              <w:bottom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Standalone MMAE (PLT&lt;100k) (N=373)</w:t>
            </w:r>
          </w:p>
        </w:tc>
        <w:tc>
          <w:tcPr>
            <w:tcW w:type="dxa" w:w="2160"/>
            <w:vAlign w:val="center"/>
            <w:tcBorders>
              <w:bottom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Medical management (PLT&lt;100k) (N=373)</w:t>
            </w:r>
          </w:p>
        </w:tc>
        <w:tc>
          <w:tcPr>
            <w:tcW w:type="dxa" w:w="2160"/>
            <w:vAlign w:val="center"/>
            <w:tcBorders>
              <w:bottom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 xml:space="preserve">Event probability rate </w:t>
              <w:br/>
            </w:r>
            <w:r>
              <w:rPr>
                <w:rFonts w:ascii="Times New Roman" w:hAnsi="Times New Roman" w:cs="Times New Roman"/>
                <w:b/>
                <w:i w:val="0"/>
                <w:sz w:val="22"/>
              </w:rPr>
              <w:t>(Standalone MMAE (PLT&lt;100k) vs Medical management (PLT&lt;100k))</w:t>
            </w:r>
          </w:p>
        </w:tc>
        <w:tc>
          <w:tcPr>
            <w:tcW w:type="dxa" w:w="2160"/>
            <w:vAlign w:val="center"/>
            <w:tcBorders>
              <w:bottom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p-value</w:t>
            </w:r>
          </w:p>
        </w:tc>
        <w:tc>
          <w:tcPr>
            <w:tcW w:type="dxa" w:w="2160"/>
            <w:vAlign w:val="center"/>
            <w:tcBorders>
              <w:bottom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HR [95%CI]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auto"/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Mortality</w:t>
            </w:r>
          </w:p>
        </w:tc>
        <w:tc>
          <w:tcPr>
            <w:tcW w:type="dxa" w:w="2160"/>
            <w:vAlign w:val="center"/>
            <w:tcBorders>
              <w:top w:val="single" w:sz="4" w:space="0" w:color="auto"/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24.9% (93)</w:t>
            </w:r>
          </w:p>
        </w:tc>
        <w:tc>
          <w:tcPr>
            <w:tcW w:type="dxa" w:w="2160"/>
            <w:vAlign w:val="center"/>
            <w:tcBorders>
              <w:top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34.0% (127)</w:t>
            </w:r>
          </w:p>
        </w:tc>
        <w:tc>
          <w:tcPr>
            <w:tcW w:type="dxa" w:w="2160"/>
            <w:vAlign w:val="center"/>
            <w:tcBorders>
              <w:top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26.92% vs 37.27%</w:t>
            </w:r>
          </w:p>
        </w:tc>
        <w:tc>
          <w:tcPr>
            <w:tcW w:type="dxa" w:w="2160"/>
            <w:vAlign w:val="center"/>
            <w:tcBorders>
              <w:top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0.002</w:t>
            </w:r>
          </w:p>
        </w:tc>
        <w:tc>
          <w:tcPr>
            <w:tcW w:type="dxa" w:w="2160"/>
            <w:vAlign w:val="center"/>
            <w:tcBorders>
              <w:top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0.654 [0.500-0.854]</w:t>
            </w:r>
          </w:p>
        </w:tc>
      </w:tr>
      <w:tr>
        <w:tc>
          <w:tcPr>
            <w:tcW w:type="dxa" w:w="216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Surgery</w:t>
            </w:r>
          </w:p>
        </w:tc>
        <w:tc>
          <w:tcPr>
            <w:tcW w:type="dxa" w:w="216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5.4% (20)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3.2% (12)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6.30% vs 3.68%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0.194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1.599 [0.782-3.271]</w:t>
            </w:r>
          </w:p>
        </w:tc>
      </w:tr>
    </w:tbl>
    <w:sectPr w:rsidR="00FC693F" w:rsidRPr="0006063C" w:rsidSect="00034616">
      <w:pgSz w:w="15840" w:h="2448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