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dxa" w:w="13936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ayout w:type="fixed"/>
      </w:tblPr>
      <w:tblGrid>
        <w:gridCol w:w="3419"/>
        <w:gridCol w:w="1820"/>
        <w:gridCol w:w="2102"/>
        <w:gridCol w:w="872"/>
        <w:gridCol w:w="636"/>
        <w:gridCol w:w="1625"/>
        <w:gridCol w:w="1961"/>
        <w:gridCol w:w="868"/>
        <w:gridCol w:w="633"/>
      </w:tblGrid>
      <w:tr>
        <w:tc>
          <w:tcPr>
            <w:tcW w:type="dxa" w:w="12960"/>
            <w:gridSpan w:val="9"/>
            <w:vAlign w:val="bottom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Table 1: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 Patient Characteristics Before and After Propensity Score Matching (PSM) — Surgery + MMAE (PLT&lt;100k) vs Surgery alone (PLT&lt;100k)</w:t>
              <w:br/>
            </w:r>
          </w:p>
        </w:tc>
      </w:tr>
      <w:tr>
        <w:tc>
          <w:tcPr>
            <w:tcW w:type="dxa" w:w="1440"/>
            <w:vMerge w:val="restart"/>
            <w:vAlign w:val="bottom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/>
                <w:sz w:val="22"/>
              </w:rPr>
              <w:t>Characteristics — mean ± SD, %(n)</w:t>
            </w:r>
          </w:p>
        </w:tc>
        <w:tc>
          <w:tcPr>
            <w:tcW w:type="dxa" w:w="5760"/>
            <w:gridSpan w:val="4"/>
            <w:vAlign w:val="center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Before PSM</w:t>
            </w:r>
          </w:p>
        </w:tc>
        <w:tc>
          <w:tcPr>
            <w:tcW w:type="dxa" w:w="5760"/>
            <w:gridSpan w:val="4"/>
            <w:vAlign w:val="center"/>
            <w:tcBorders>
              <w:left w:val="single" w:sz="4" w:space="0" w:color="auto"/>
              <w:bottom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After PSM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Surgery + MMAE (PLT&lt;100k)</w:t>
              <w:br/>
            </w:r>
            <w:r>
              <w:rPr>
                <w:rFonts w:ascii="Times New Roman" w:hAnsi="Times New Roman" w:cs="Times New Roman"/>
                <w:b/>
                <w:i w:val="0"/>
                <w:sz w:val="22"/>
              </w:rPr>
              <w:t>(N=168)</w:t>
            </w:r>
          </w:p>
        </w:tc>
        <w:tc>
          <w:tcPr>
            <w:tcW w:type="dxa" w:w="1440"/>
            <w:vAlign w:val="center"/>
            <w:tcBorders>
              <w:top w:val="single" w:sz="4" w:space="0" w:color="auto"/>
              <w:bottom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Surgery alone (PLT&lt;100k)</w:t>
              <w:br/>
            </w:r>
            <w:r>
              <w:rPr>
                <w:rFonts w:ascii="Times New Roman" w:hAnsi="Times New Roman" w:cs="Times New Roman"/>
                <w:b/>
                <w:i w:val="0"/>
                <w:sz w:val="22"/>
              </w:rPr>
              <w:t>(N=1,955)</w:t>
            </w:r>
          </w:p>
        </w:tc>
        <w:tc>
          <w:tcPr>
            <w:tcW w:type="dxa" w:w="1440"/>
            <w:vAlign w:val="center"/>
            <w:tcBorders>
              <w:top w:val="single" w:sz="4" w:space="0" w:color="auto"/>
              <w:bottom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P-value</w:t>
            </w:r>
          </w:p>
        </w:tc>
        <w:tc>
          <w:tcPr>
            <w:tcW w:type="dxa" w:w="1440"/>
            <w:vAlign w:val="center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ASD</w:t>
            </w:r>
          </w:p>
        </w:tc>
        <w:tc>
          <w:tcPr>
            <w:tcW w:type="dxa" w:w="1440"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Surgery + MMAE (PLT&lt;100k)</w:t>
              <w:br/>
            </w:r>
            <w:r>
              <w:rPr>
                <w:rFonts w:ascii="Times New Roman" w:hAnsi="Times New Roman" w:cs="Times New Roman"/>
                <w:b/>
                <w:i w:val="0"/>
                <w:sz w:val="22"/>
              </w:rPr>
              <w:t>(N=147)</w:t>
            </w:r>
          </w:p>
        </w:tc>
        <w:tc>
          <w:tcPr>
            <w:tcW w:type="dxa" w:w="1440"/>
            <w:vAlign w:val="center"/>
            <w:tcBorders>
              <w:top w:val="single" w:sz="4" w:space="0" w:color="auto"/>
              <w:bottom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Surgery alone (PLT&lt;100k)</w:t>
              <w:br/>
            </w:r>
            <w:r>
              <w:rPr>
                <w:rFonts w:ascii="Times New Roman" w:hAnsi="Times New Roman" w:cs="Times New Roman"/>
                <w:b/>
                <w:i w:val="0"/>
                <w:sz w:val="22"/>
              </w:rPr>
              <w:t>(N=147)</w:t>
            </w:r>
          </w:p>
        </w:tc>
        <w:tc>
          <w:tcPr>
            <w:tcW w:type="dxa" w:w="1440"/>
            <w:vAlign w:val="center"/>
            <w:tcBorders>
              <w:top w:val="single" w:sz="4" w:space="0" w:color="auto"/>
              <w:bottom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P-value</w:t>
            </w:r>
          </w:p>
        </w:tc>
        <w:tc>
          <w:tcPr>
            <w:tcW w:type="dxa" w:w="1440"/>
            <w:vAlign w:val="center"/>
            <w:tcBorders>
              <w:top w:val="single" w:sz="4" w:space="0" w:color="auto"/>
              <w:bottom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ASD</w:t>
            </w:r>
          </w:p>
        </w:tc>
      </w:tr>
      <w:tr>
        <w:tc>
          <w:tcPr>
            <w:tcW w:type="dxa" w:w="1440"/>
            <w:vAlign w:val="bottom"/>
            <w:tcBorders>
              <w:top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i/>
                <w:sz w:val="22"/>
              </w:rPr>
              <w:t>Demographics</w:t>
            </w:r>
          </w:p>
        </w:tc>
        <w:tc>
          <w:tcPr>
            <w:tcW w:type="dxa" w:w="1440"/>
            <w:vAlign w:val="center"/>
            <w:tcBorders>
              <w:top w:val="single" w:sz="4" w:space="0" w:color="auto"/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  <w:tcBorders>
              <w:top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  <w:tcBorders>
              <w:top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  <w:tcBorders>
              <w:top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  <w:tcBorders>
              <w:top w:val="single" w:sz="4" w:space="0" w:color="auto"/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  <w:tcBorders>
              <w:top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  <w:tcBorders>
              <w:top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  <w:tcBorders>
              <w:top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Age, mean ± SD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68.1 +/- 13.8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61.8 +/- 17.9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&lt;0.001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0.399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67.3 +/- 13.7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64.5 +/- 16.8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0.113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0.185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Female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31.0% (52)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31.4% (614)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0.903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0.010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32.0% (47)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32.0% (47)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&lt;0.001</w:t>
            </w:r>
          </w:p>
        </w:tc>
      </w:tr>
      <w:tr>
        <w:tc>
          <w:tcPr>
            <w:tcW w:type="dxa" w:w="1440"/>
            <w:vAlign w:val="bottom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i/>
                <w:sz w:val="22"/>
              </w:rPr>
              <w:t>Comorbidities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Essential (primary) hypertension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67.3% (113)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58.7% (1,148)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0.031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0.178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67.3% (99)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61.2% (90)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0.273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0.128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Diabetes mellitus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31.0% (52)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27.2% (532)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0.298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0.082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29.3% (43)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28.6% (42)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0.898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0.015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Personal history of nicotine dependence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22.6% (38)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21.4% (418)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0.708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0.030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23.1% (34)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25.9% (38)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0.587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0.063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Atrial fibrillation and flutter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25.6% (43)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22.6% (442)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0.376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0.070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25.9% (38)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25.2% (37)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0.894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0.016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Nicotine dependence, cigarettes, uncomplicated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14.9% (25)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14.2% (278)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0.814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0.019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15.6% (23)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18.4% (27)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0.535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0.072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Ischemic heart diseases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27.4% (46)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26.8% (524)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0.871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0.013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28.6% (42)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26.5% (39)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0.695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0.046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Headache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16.7% (28)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12.3% (241)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0.105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0.123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14.3% (21)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19.0% (28)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0.273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0.128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Abnormalities of gait and mobility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13.1% (22)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8.3% (162)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0.034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0.156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13.6% (20)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14.3% (21)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0.866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0.020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Neoplasms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37.5% (63)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25.5% (499)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0.001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0.260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36.1% (53)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37.4% (55)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0.809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0.028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Nontraumatic chronic subdural hemorrhage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63.7% (107)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33.3% (651)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&lt;0.001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0.638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59.2% (87)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59.2% (87)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&lt;0.001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Nontraumatic subdural hemorrhage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69.6% (117)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83.6% (1,634)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&lt;0.001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0.334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72.8% (107)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72.1% (106)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0.896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0.015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Nontraumatic subacute subdural hemorrhage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16.7% (28)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9.9% (194)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0.006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0.200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16.3% (24)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15.0% (22)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0.748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0.037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Hemiplegia and hemiparesis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18.5% (31)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18.9% (370)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0.880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0.012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21.1% (31)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17.0% (25)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0.373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0.104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Epilepsy/recurrent seizures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13.7% (23)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20.6% (403)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0.032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0.184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15.6% (23)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22.4% (33)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0.137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0.174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Disorders of lipoprotein metabolism and other lipidemias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56.0% (94)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37.1% (725)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&lt;0.001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0.385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51.0% (75)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44.2% (65)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0.243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0.137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Chronic kidney disease (CKD)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21.4% (36)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20.1% (393)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0.681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0.033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20.4% (30)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19.0% (28)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0.769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0.034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Alcohol related disorders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17.9% (30)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26.1% (511)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0.018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0.201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18.4% (27)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20.4% (30)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0.658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0.052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Diseases of liver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32.7% (55)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27.0% (528)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0.110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0.125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32.0% (47)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32.0% (47)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&lt;0.001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Other and unspecified encephalopathy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37.5% (63)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34.8% (681)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0.487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0.056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36.1% (53)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35.4% (52)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0.903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0.014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Compression of brain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75% (126)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56.8% (1,110)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&lt;0.001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0.392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72.8% (107)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72.8% (107)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&lt;0.001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Alzheimer's disease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6.0%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0.9% (18)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6.8%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6.8%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Frontotemporal dementia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Vascular dementia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6.0%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0.9% (17)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6.8%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6.8%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Dementia in other diseases classified elsewhere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6.0%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1.6% (32)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6.8%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6.8%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Unspecified dementia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11.9% (20)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4.1% (81)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&lt;0.001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0.289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7.5% (11)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10.2% (15)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0.411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0.096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Disseminated intravascular coagulation [defibrination syndrome]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6.0%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3.7% (72)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6.8%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6.8%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Hereditary factor VIII deficiency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0.5%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Hereditary factor IX deficiency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Von Willebrand disease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0.5%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Hereditary factor XI deficiency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0.5%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Hereditary deficiency of other clotting factors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0.5%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Hemorrhagic disorder due to circulating anticoagulants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6.0%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4.0% (79)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6.8%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8.8% (13)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Acquired coagulation factor deficiency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11.3% (19)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5.8% (114)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0.005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0.197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10.2% (15)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10.9% (16)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0.849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0.022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Primary thrombophilia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6.0%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1.6% (31)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6.8%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6.8%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Other thrombophilia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6.0%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2.3% (44)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6.8%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6.8%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Other specified coagulation defects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6.0%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2.1% (41)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6.8%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6.8%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Coagulation defect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16.7% (28)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19.6% (383)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0.357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0.076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15.6% (23)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12.2% (18)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0.400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0.098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Allergic purpura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0.5%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Qualitative platelet defects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6.0%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1.8% (36)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6.8%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6.8%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Other nonthrombocytopenic purpura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6.0%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0.5%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Immune thrombocytopenic purpura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6.0%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1.7% (34)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6.8%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6.8%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Other primary thrombocytopenia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6.0%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0.5%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6.8%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6.8%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Secondary thrombocytopenia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15.5% (26)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11.7% (228)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0.144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0.112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14.3% (21)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13.6% (20)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0.866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0.020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Thrombocytopenia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58.9% (99)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51.0% (998)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0.050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0.159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57.1% (84)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59.2% (87)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0.723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0.041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Other specified hemorrhagic conditions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Hemorrhagic condition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0.5%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bottom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i/>
                <w:sz w:val="22"/>
              </w:rPr>
              <w:t>Medications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Apixaban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6.5% (11)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2.6% (51)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0.004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0.189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6.8%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6.8%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Warfarin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6.0%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3.2% (63)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6.8%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6.8%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Rivaroxaban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6.0%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1.0% (19)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6.8%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6.8%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Aspirin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11.3% (19)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12.3% (241)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0.699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0.032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11.6% (17)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12.9% (19)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0.722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0.042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Clopidogrel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6.0%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3.2% (62)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6.8%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6.8%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Prasugrel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0.5%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Ticagrelor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6.0%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0.5%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6.8%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6.8%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Dipyridamole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bottom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i/>
                <w:sz w:val="22"/>
              </w:rPr>
              <w:t>Laboratory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Platelets [#/volume] in Blood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117.1 +/- 58.6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114.7 +/- 59.6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0.623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0.040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119.6 +/- 60.3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111.2 +/- 61.3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0.242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0.138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11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6.5%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1.8%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6.8%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6.8%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7.1%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3.2%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6.8%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6.8%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20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11.9%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4.9%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8.8%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12.9%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20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11.9%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7.2%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10.9%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12.9%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28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16.7%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9.5%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14.3%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14.3%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29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17.3%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13.1%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14.3%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19.7%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32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19.0%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17.0%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15.6%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18.4%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36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21.4%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21.1%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20.4%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19.7%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50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29.8%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24.5%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27.2%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26.5%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57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33.9%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29.0%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32.0%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36.1% (≤10)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-</w:t>
            </w:r>
          </w:p>
        </w:tc>
      </w:tr>
    </w:tbl>
    <w:p/>
    <w:tbl>
      <w:tblPr>
        <w:tblStyle w:val="TableGrid"/>
        <w:tblW w:type="dxa" w:w="13938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ayout w:type="fixed"/>
      </w:tblPr>
      <w:tblGrid>
        <w:gridCol w:w="2605"/>
        <w:gridCol w:w="2070"/>
        <w:gridCol w:w="2165"/>
        <w:gridCol w:w="3510"/>
        <w:gridCol w:w="1440"/>
        <w:gridCol w:w="2148"/>
      </w:tblGrid>
      <w:tr>
        <w:tc>
          <w:tcPr>
            <w:tcW w:type="dxa" w:w="12960"/>
            <w:gridSpan w:val="6"/>
            <w:vAlign w:val="bottom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Table 2: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 Clinical Outcomes at 90 days Follow-up — Surgery + MMAE (PLT&lt;100k) vs Surgery alone (PLT&lt;100k)</w:t>
              <w:br/>
            </w:r>
          </w:p>
        </w:tc>
      </w:tr>
      <w:tr>
        <w:tc>
          <w:tcPr>
            <w:tcW w:type="dxa" w:w="2160"/>
            <w:vAlign w:val="bottom"/>
            <w:tcBorders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/>
                <w:sz w:val="22"/>
              </w:rPr>
              <w:t>Outcomes %(n)</w:t>
            </w:r>
          </w:p>
        </w:tc>
        <w:tc>
          <w:tcPr>
            <w:tcW w:type="dxa" w:w="2160"/>
            <w:vAlign w:val="center"/>
            <w:tcBorders>
              <w:left w:val="single" w:sz="4" w:space="0" w:color="auto"/>
              <w:bottom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Surgery + MMAE (PLT&lt;100k) (N=147)</w:t>
            </w:r>
          </w:p>
        </w:tc>
        <w:tc>
          <w:tcPr>
            <w:tcW w:type="dxa" w:w="2160"/>
            <w:vAlign w:val="center"/>
            <w:tcBorders>
              <w:bottom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Surgery alone (PLT&lt;100k) (N=147)</w:t>
            </w:r>
          </w:p>
        </w:tc>
        <w:tc>
          <w:tcPr>
            <w:tcW w:type="dxa" w:w="2160"/>
            <w:vAlign w:val="center"/>
            <w:tcBorders>
              <w:bottom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 xml:space="preserve">Event probability rate </w:t>
              <w:br/>
            </w:r>
            <w:r>
              <w:rPr>
                <w:rFonts w:ascii="Times New Roman" w:hAnsi="Times New Roman" w:cs="Times New Roman"/>
                <w:b/>
                <w:i w:val="0"/>
                <w:sz w:val="22"/>
              </w:rPr>
              <w:t>(Surgery + MMAE (PLT&lt;100k) vs Surgery alone (PLT&lt;100k))</w:t>
            </w:r>
          </w:p>
        </w:tc>
        <w:tc>
          <w:tcPr>
            <w:tcW w:type="dxa" w:w="2160"/>
            <w:vAlign w:val="center"/>
            <w:tcBorders>
              <w:bottom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p-value</w:t>
            </w:r>
          </w:p>
        </w:tc>
        <w:tc>
          <w:tcPr>
            <w:tcW w:type="dxa" w:w="2160"/>
            <w:vAlign w:val="center"/>
            <w:tcBorders>
              <w:bottom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HR [95%CI]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Mortality</w:t>
            </w:r>
          </w:p>
        </w:tc>
        <w:tc>
          <w:tcPr>
            <w:tcW w:type="dxa" w:w="2160"/>
            <w:vAlign w:val="center"/>
            <w:tcBorders>
              <w:top w:val="single" w:sz="4" w:space="0" w:color="auto"/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19.7% (29)</w:t>
            </w:r>
          </w:p>
        </w:tc>
        <w:tc>
          <w:tcPr>
            <w:tcW w:type="dxa" w:w="2160"/>
            <w:vAlign w:val="center"/>
            <w:tcBorders>
              <w:top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29.3% (43)</w:t>
            </w:r>
          </w:p>
        </w:tc>
        <w:tc>
          <w:tcPr>
            <w:tcW w:type="dxa" w:w="2160"/>
            <w:vAlign w:val="center"/>
            <w:tcBorders>
              <w:top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20.47% vs 30.66%</w:t>
            </w:r>
          </w:p>
        </w:tc>
        <w:tc>
          <w:tcPr>
            <w:tcW w:type="dxa" w:w="2160"/>
            <w:vAlign w:val="center"/>
            <w:tcBorders>
              <w:top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0.034</w:t>
            </w:r>
          </w:p>
        </w:tc>
        <w:tc>
          <w:tcPr>
            <w:tcW w:type="dxa" w:w="2160"/>
            <w:vAlign w:val="center"/>
            <w:tcBorders>
              <w:top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0.605 [0.378-0.970]</w:t>
            </w:r>
          </w:p>
        </w:tc>
      </w:tr>
      <w:tr>
        <w:tc>
          <w:tcPr>
            <w:tcW w:type="dxa" w:w="216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Surgery</w:t>
            </w:r>
          </w:p>
        </w:tc>
        <w:tc>
          <w:tcPr>
            <w:tcW w:type="dxa" w:w="2160"/>
            <w:vAlign w:val="center"/>
            <w:tcBorders>
              <w:left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15.6% (23)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10.2% (15)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16.63% vs 11.65%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0.246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1.465 [0.765-2.809]</w:t>
            </w:r>
          </w:p>
        </w:tc>
      </w:tr>
    </w:tbl>
    <w:sectPr w:rsidR="00FC693F" w:rsidRPr="0006063C" w:rsidSect="00034616">
      <w:pgSz w:w="15840" w:h="2448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