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B602B" w14:textId="279FC8E6" w:rsidR="00DE57CE" w:rsidRPr="009D1CEA" w:rsidRDefault="00DE57CE" w:rsidP="00F96352">
      <w:pPr>
        <w:spacing w:line="480" w:lineRule="auto"/>
        <w:rPr>
          <w:rFonts w:cs="Times New Roman"/>
          <w:b/>
          <w:bCs/>
        </w:rPr>
      </w:pPr>
      <w:bookmarkStart w:id="0" w:name="OLE_LINK66"/>
      <w:bookmarkStart w:id="1" w:name="OLE_LINK67"/>
      <w:r w:rsidRPr="00DE57CE">
        <w:rPr>
          <w:rFonts w:cs="Times New Roman"/>
          <w:b/>
          <w:bCs/>
        </w:rPr>
        <w:t xml:space="preserve">Association of Peri-procedural Glucagon-Like Peptide-1 Receptor Agonist Exposure </w:t>
      </w:r>
      <w:r w:rsidR="002B45F7">
        <w:rPr>
          <w:rFonts w:cs="Times New Roman"/>
          <w:b/>
          <w:bCs/>
        </w:rPr>
        <w:t>w</w:t>
      </w:r>
      <w:r w:rsidRPr="00DE57CE">
        <w:rPr>
          <w:rFonts w:cs="Times New Roman"/>
          <w:b/>
          <w:bCs/>
        </w:rPr>
        <w:t xml:space="preserve">ith Long-Term Outcomes After Carotid Artery </w:t>
      </w:r>
      <w:r>
        <w:rPr>
          <w:rFonts w:cs="Times New Roman"/>
          <w:b/>
          <w:bCs/>
        </w:rPr>
        <w:t>Revascularization Procedures</w:t>
      </w:r>
      <w:r w:rsidRPr="00DE57CE">
        <w:rPr>
          <w:rFonts w:cs="Times New Roman"/>
          <w:b/>
          <w:bCs/>
        </w:rPr>
        <w:t>: A Propensity Score–Matched Analysis</w:t>
      </w:r>
    </w:p>
    <w:p w14:paraId="70590B7D" w14:textId="77777777" w:rsidR="009D1CEA" w:rsidRDefault="009D1CEA" w:rsidP="0015050A">
      <w:pPr>
        <w:rPr>
          <w:rFonts w:cs="Times New Roman"/>
          <w:b/>
          <w:bCs/>
        </w:rPr>
      </w:pPr>
    </w:p>
    <w:p w14:paraId="62243DC7" w14:textId="77777777" w:rsidR="008D35D4" w:rsidRDefault="008D35D4" w:rsidP="0015050A">
      <w:pPr>
        <w:rPr>
          <w:rFonts w:cs="Times New Roman"/>
          <w:b/>
          <w:bCs/>
        </w:rPr>
      </w:pPr>
    </w:p>
    <w:p w14:paraId="407B22C9" w14:textId="60240D6F" w:rsidR="00A80B84" w:rsidRPr="0057434E" w:rsidRDefault="00A80B84" w:rsidP="0015050A">
      <w:pPr>
        <w:rPr>
          <w:rFonts w:eastAsia="Times New Roman" w:cs="Times New Roman"/>
          <w:b/>
          <w:bCs/>
          <w:kern w:val="0"/>
          <w14:ligatures w14:val="none"/>
        </w:rPr>
      </w:pPr>
      <w:r w:rsidRPr="0057434E">
        <w:rPr>
          <w:rFonts w:cs="Times New Roman"/>
          <w:b/>
          <w:bCs/>
        </w:rPr>
        <w:t>Abstract</w:t>
      </w:r>
    </w:p>
    <w:p w14:paraId="4EF24632" w14:textId="77777777" w:rsidR="00A80B84" w:rsidRPr="0057434E" w:rsidRDefault="00A80B84" w:rsidP="00B442B0">
      <w:pPr>
        <w:pStyle w:val="p1"/>
        <w:spacing w:line="480" w:lineRule="auto"/>
      </w:pPr>
      <w:r w:rsidRPr="0057434E">
        <w:rPr>
          <w:b/>
          <w:bCs/>
        </w:rPr>
        <w:t>Background:</w:t>
      </w:r>
    </w:p>
    <w:p w14:paraId="3F7BC973" w14:textId="1BF1A04B" w:rsidR="00A80B84" w:rsidRPr="0057434E" w:rsidRDefault="00A80B84" w:rsidP="00B442B0">
      <w:pPr>
        <w:pStyle w:val="p2"/>
        <w:spacing w:line="480" w:lineRule="auto"/>
      </w:pPr>
      <w:r w:rsidRPr="0057434E">
        <w:t>Glucagon-like peptide-1 receptor agonists (</w:t>
      </w:r>
      <w:r w:rsidR="00033DA6">
        <w:t>GLP-1RA</w:t>
      </w:r>
      <w:r w:rsidRPr="0057434E">
        <w:t xml:space="preserve">s) </w:t>
      </w:r>
      <w:r w:rsidR="001D30FC" w:rsidRPr="0057434E">
        <w:t xml:space="preserve">have </w:t>
      </w:r>
      <w:r w:rsidR="000C0144">
        <w:t xml:space="preserve">been </w:t>
      </w:r>
      <w:r w:rsidR="001D30FC" w:rsidRPr="0057434E">
        <w:t xml:space="preserve">shown to </w:t>
      </w:r>
      <w:r w:rsidR="00C11919" w:rsidRPr="0057434E">
        <w:t>improve</w:t>
      </w:r>
      <w:r w:rsidRPr="0057434E">
        <w:t xml:space="preserve"> cardiometabolic risk profiles, but their </w:t>
      </w:r>
      <w:r w:rsidR="001D30FC" w:rsidRPr="0057434E">
        <w:t xml:space="preserve">effect </w:t>
      </w:r>
      <w:r w:rsidRPr="0057434E">
        <w:t xml:space="preserve">on cerebrovascular outcomes after carotid revascularization </w:t>
      </w:r>
      <w:r w:rsidR="001D30FC" w:rsidRPr="0057434E">
        <w:t xml:space="preserve">procedures such as carotid artery stenting (CAS) or carotid endarterectomy (CEA) </w:t>
      </w:r>
      <w:r w:rsidRPr="0057434E">
        <w:t xml:space="preserve">remains unclear. </w:t>
      </w:r>
      <w:r w:rsidR="001D30FC" w:rsidRPr="0057434E">
        <w:t>These p</w:t>
      </w:r>
      <w:r w:rsidRPr="0057434E">
        <w:t xml:space="preserve">atients continue to face substantial long-term risks despite </w:t>
      </w:r>
      <w:r w:rsidR="001D30FC" w:rsidRPr="0057434E">
        <w:t xml:space="preserve">conventional </w:t>
      </w:r>
      <w:r w:rsidRPr="0057434E">
        <w:t>medical therapy.</w:t>
      </w:r>
    </w:p>
    <w:p w14:paraId="0AEC2017" w14:textId="77777777" w:rsidR="00A80B84" w:rsidRPr="0057434E" w:rsidRDefault="00A80B84" w:rsidP="00B442B0">
      <w:pPr>
        <w:pStyle w:val="p1"/>
        <w:spacing w:line="480" w:lineRule="auto"/>
      </w:pPr>
      <w:r w:rsidRPr="0057434E">
        <w:rPr>
          <w:b/>
          <w:bCs/>
        </w:rPr>
        <w:t>Methods:</w:t>
      </w:r>
    </w:p>
    <w:p w14:paraId="1F97C7A2" w14:textId="546D82CF" w:rsidR="00A80B84" w:rsidRPr="0057434E" w:rsidRDefault="00A80B84" w:rsidP="00B442B0">
      <w:pPr>
        <w:pStyle w:val="p2"/>
        <w:spacing w:line="480" w:lineRule="auto"/>
      </w:pPr>
      <w:r w:rsidRPr="0057434E">
        <w:t xml:space="preserve">We performed a retrospective cohort study using de-identified electronic health record data from the </w:t>
      </w:r>
      <w:proofErr w:type="spellStart"/>
      <w:r w:rsidRPr="0057434E">
        <w:t>TriNetX</w:t>
      </w:r>
      <w:proofErr w:type="spellEnd"/>
      <w:r w:rsidRPr="0057434E">
        <w:t xml:space="preserve"> US Collaborative Network. Adults (≥18 years) </w:t>
      </w:r>
      <w:r w:rsidR="00630C40" w:rsidRPr="00630C40">
        <w:t xml:space="preserve">with carotid artery stenosis who underwent CAS or CEA and had a </w:t>
      </w:r>
      <w:r w:rsidR="00033DA6">
        <w:t>GLP-1RA</w:t>
      </w:r>
      <w:r w:rsidR="00630C40" w:rsidRPr="00630C40">
        <w:t xml:space="preserve"> medication record on the procedure date or within the subsequent 90 days were identified</w:t>
      </w:r>
      <w:r w:rsidR="00630C40">
        <w:t xml:space="preserve"> </w:t>
      </w:r>
      <w:r w:rsidRPr="0057434E">
        <w:t xml:space="preserve">using ICD-10 diagnosis and procedure codes. Separate cohorts </w:t>
      </w:r>
      <w:r w:rsidR="001D30FC" w:rsidRPr="0057434E">
        <w:t xml:space="preserve">for both procedures </w:t>
      </w:r>
      <w:r w:rsidRPr="0057434E">
        <w:t xml:space="preserve">were constructed and propensity-score matched </w:t>
      </w:r>
      <w:r w:rsidR="00033DA6">
        <w:t xml:space="preserve">(PSM) </w:t>
      </w:r>
      <w:r w:rsidRPr="0057434E">
        <w:t xml:space="preserve">1:1 on demographics and comorbidities. Outcomes </w:t>
      </w:r>
      <w:r w:rsidR="001D30FC" w:rsidRPr="0057434E">
        <w:t xml:space="preserve">were assessed </w:t>
      </w:r>
      <w:r w:rsidR="00C11919" w:rsidRPr="0057434E">
        <w:t xml:space="preserve">up to </w:t>
      </w:r>
      <w:r w:rsidR="001D30FC" w:rsidRPr="0057434E">
        <w:t>5</w:t>
      </w:r>
      <w:r w:rsidR="00C11919" w:rsidRPr="0057434E">
        <w:t>-</w:t>
      </w:r>
      <w:r w:rsidR="001D30FC" w:rsidRPr="0057434E">
        <w:t>years</w:t>
      </w:r>
      <w:r w:rsidR="00C11919" w:rsidRPr="0057434E">
        <w:t>,</w:t>
      </w:r>
      <w:r w:rsidR="001D30FC" w:rsidRPr="0057434E">
        <w:t xml:space="preserve"> and </w:t>
      </w:r>
      <w:r w:rsidRPr="0057434E">
        <w:t>included ischemic stroke</w:t>
      </w:r>
      <w:r w:rsidR="005D3805" w:rsidRPr="0057434E">
        <w:t>s</w:t>
      </w:r>
      <w:r w:rsidRPr="0057434E">
        <w:t xml:space="preserve">, all-cause mortality, and a composite </w:t>
      </w:r>
      <w:r w:rsidR="001D30FC" w:rsidRPr="0057434E">
        <w:t>outcome (</w:t>
      </w:r>
      <w:r w:rsidRPr="0057434E">
        <w:t>ischemic stroke or death</w:t>
      </w:r>
      <w:r w:rsidR="001D30FC" w:rsidRPr="0057434E">
        <w:t>)</w:t>
      </w:r>
      <w:r w:rsidRPr="0057434E">
        <w:t>. Kaplan-Meier survival analyses with log-rank testing, and Cox</w:t>
      </w:r>
      <w:r w:rsidR="0080487C" w:rsidRPr="0057434E">
        <w:t>-</w:t>
      </w:r>
      <w:r w:rsidRPr="0057434E">
        <w:t xml:space="preserve">proportional hazards models were generated on the </w:t>
      </w:r>
      <w:proofErr w:type="spellStart"/>
      <w:r w:rsidRPr="0057434E">
        <w:t>TriNetX</w:t>
      </w:r>
      <w:proofErr w:type="spellEnd"/>
      <w:r w:rsidRPr="0057434E">
        <w:t xml:space="preserve"> platform.</w:t>
      </w:r>
    </w:p>
    <w:p w14:paraId="1CD24AF3" w14:textId="77777777" w:rsidR="00A80B84" w:rsidRPr="0057434E" w:rsidRDefault="00A80B84" w:rsidP="00B442B0">
      <w:pPr>
        <w:pStyle w:val="p1"/>
        <w:spacing w:line="480" w:lineRule="auto"/>
      </w:pPr>
      <w:r w:rsidRPr="0057434E">
        <w:rPr>
          <w:b/>
          <w:bCs/>
        </w:rPr>
        <w:lastRenderedPageBreak/>
        <w:t>Results:</w:t>
      </w:r>
    </w:p>
    <w:p w14:paraId="1F631533" w14:textId="4CBB6D1C" w:rsidR="002E2865" w:rsidRPr="0057434E" w:rsidRDefault="002E2865" w:rsidP="00B442B0">
      <w:pPr>
        <w:pStyle w:val="p2"/>
        <w:spacing w:line="480" w:lineRule="auto"/>
      </w:pPr>
      <w:r w:rsidRPr="002E2865">
        <w:t xml:space="preserve">After matching, 443 patients were included in each CAS cohort and 633 patients in each CEA cohort. Following CAS, </w:t>
      </w:r>
      <w:r w:rsidR="00033DA6">
        <w:t>GLP-1RA</w:t>
      </w:r>
      <w:r w:rsidRPr="002E2865">
        <w:t xml:space="preserve"> exposure was associated with lower crude incidences and 5-year event probabilities of ischemic stroke (</w:t>
      </w:r>
      <w:r w:rsidR="005A0B45">
        <w:t>2.9</w:t>
      </w:r>
      <w:r w:rsidRPr="002E2865">
        <w:t xml:space="preserve">% vs </w:t>
      </w:r>
      <w:r w:rsidR="005A0B45">
        <w:t>5.9</w:t>
      </w:r>
      <w:r w:rsidRPr="002E2865">
        <w:t>%; 21.30% vs 28.14%; HR, 0.436; 95% CI, 0.224–0.851), all-cause mortality (9.0% vs 19.0%; 18.65% vs 35.57%; HR, 0.531; 95% CI, 0.364–0.776), and the composite outcome (</w:t>
      </w:r>
      <w:r w:rsidR="005A0B45">
        <w:t>6.5</w:t>
      </w:r>
      <w:r w:rsidRPr="002E2865">
        <w:t xml:space="preserve">% vs </w:t>
      </w:r>
      <w:r w:rsidR="005A0B45">
        <w:t>10.6</w:t>
      </w:r>
      <w:r w:rsidRPr="002E2865">
        <w:t xml:space="preserve">%; 37.61% vs 54.30%; HR, 0.546; 95% CI, 0.343–0.868). Following CEA, </w:t>
      </w:r>
      <w:r w:rsidR="00033DA6">
        <w:t>GLP-1RA</w:t>
      </w:r>
      <w:r w:rsidRPr="002E2865">
        <w:t xml:space="preserve"> exposure was likewise associated with lower ischemic stroke incidence and event probability (</w:t>
      </w:r>
      <w:r w:rsidR="005A0B45">
        <w:t>4.7</w:t>
      </w:r>
      <w:r w:rsidRPr="002E2865">
        <w:t xml:space="preserve">% vs </w:t>
      </w:r>
      <w:r w:rsidR="005A0B45">
        <w:t>9.8</w:t>
      </w:r>
      <w:r w:rsidRPr="002E2865">
        <w:t>%; 15.64% vs 21.21%; HR, 0.533; 95% CI, 0.344–0.825), mortality (8.1% vs 18.8%; 16.81% vs 26.43%; HR, 0.569; 95% CI, 0.409–0.791), and composite outcome rates (</w:t>
      </w:r>
      <w:r w:rsidR="005A0B45">
        <w:t>8.4</w:t>
      </w:r>
      <w:r w:rsidRPr="002E2865">
        <w:t xml:space="preserve">% vs </w:t>
      </w:r>
      <w:r w:rsidR="005A0B45">
        <w:t>18.6</w:t>
      </w:r>
      <w:r w:rsidRPr="002E2865">
        <w:t>%; 27.71% vs 41.76%; HR, 0.509; 95% CI, 0.367–0.704).</w:t>
      </w:r>
      <w:r>
        <w:t xml:space="preserve"> </w:t>
      </w:r>
    </w:p>
    <w:p w14:paraId="606905A0" w14:textId="77777777" w:rsidR="00A80B84" w:rsidRPr="0057434E" w:rsidRDefault="00A80B84" w:rsidP="00B442B0">
      <w:pPr>
        <w:pStyle w:val="p1"/>
        <w:spacing w:line="480" w:lineRule="auto"/>
        <w:rPr>
          <w:b/>
          <w:bCs/>
        </w:rPr>
      </w:pPr>
      <w:r w:rsidRPr="0057434E">
        <w:rPr>
          <w:b/>
          <w:bCs/>
        </w:rPr>
        <w:t>Conclusions:</w:t>
      </w:r>
    </w:p>
    <w:p w14:paraId="483ABACD" w14:textId="6BC5A187" w:rsidR="008D35D4" w:rsidRPr="0057434E" w:rsidRDefault="008D35D4" w:rsidP="00B442B0">
      <w:pPr>
        <w:pStyle w:val="p1"/>
        <w:spacing w:line="480" w:lineRule="auto"/>
      </w:pPr>
      <w:r w:rsidRPr="008D35D4">
        <w:t xml:space="preserve">In this retrospective </w:t>
      </w:r>
      <w:r w:rsidR="00033DA6">
        <w:t xml:space="preserve">PSM </w:t>
      </w:r>
      <w:r w:rsidRPr="008D35D4">
        <w:t>analysis, peri-procedural GLP</w:t>
      </w:r>
      <w:r w:rsidR="00033DA6">
        <w:t>-</w:t>
      </w:r>
      <w:r w:rsidRPr="008D35D4">
        <w:t>1RA exposure was associated with lower hazards of ischemic stroke, all-cause mortality, and the composite of ischemic stroke or death after CAS and CEA. These findings are hypothesis-generating and require confirmation in prospective studies.</w:t>
      </w:r>
    </w:p>
    <w:p w14:paraId="6782CCF3" w14:textId="33D09917" w:rsidR="00A80B84" w:rsidRPr="0057434E" w:rsidRDefault="00A80B84" w:rsidP="00B442B0">
      <w:pPr>
        <w:spacing w:line="480" w:lineRule="auto"/>
        <w:rPr>
          <w:rFonts w:cs="Times New Roman"/>
        </w:rPr>
      </w:pPr>
      <w:r w:rsidRPr="0057434E">
        <w:rPr>
          <w:rFonts w:cs="Times New Roman"/>
          <w:b/>
          <w:bCs/>
        </w:rPr>
        <w:t xml:space="preserve">Keywords: </w:t>
      </w:r>
      <w:r w:rsidRPr="0057434E">
        <w:rPr>
          <w:rFonts w:cs="Times New Roman"/>
        </w:rPr>
        <w:t>Carotid artery stenting; Carotid endarterectomy; GLP-1 receptor agonist; Ischemic stroke; Mortality.</w:t>
      </w:r>
    </w:p>
    <w:p w14:paraId="1FFD6DC1" w14:textId="77777777" w:rsidR="00A80B84" w:rsidRPr="0057434E" w:rsidRDefault="00A80B84" w:rsidP="008A7B39">
      <w:pPr>
        <w:rPr>
          <w:rFonts w:cs="Times New Roman"/>
          <w:b/>
          <w:bCs/>
        </w:rPr>
      </w:pPr>
    </w:p>
    <w:p w14:paraId="58685908" w14:textId="77777777" w:rsidR="00A80B84" w:rsidRPr="0057434E" w:rsidRDefault="00A80B84">
      <w:pPr>
        <w:rPr>
          <w:rFonts w:cs="Times New Roman"/>
          <w:b/>
          <w:bCs/>
        </w:rPr>
      </w:pPr>
      <w:r w:rsidRPr="0057434E">
        <w:rPr>
          <w:rFonts w:cs="Times New Roman"/>
          <w:b/>
          <w:bCs/>
        </w:rPr>
        <w:br w:type="page"/>
      </w:r>
    </w:p>
    <w:p w14:paraId="5B47A4F6" w14:textId="77777777" w:rsidR="00496E44" w:rsidRPr="00496E44" w:rsidRDefault="00496E44" w:rsidP="00496E44">
      <w:pPr>
        <w:spacing w:line="480" w:lineRule="auto"/>
        <w:rPr>
          <w:rFonts w:cs="Times New Roman"/>
          <w:b/>
          <w:bCs/>
        </w:rPr>
      </w:pPr>
      <w:r w:rsidRPr="00496E44">
        <w:rPr>
          <w:rFonts w:cs="Times New Roman"/>
          <w:b/>
          <w:bCs/>
        </w:rPr>
        <w:lastRenderedPageBreak/>
        <w:t xml:space="preserve">PREVIOUS LITERATURE: </w:t>
      </w:r>
      <w:r w:rsidRPr="00496E44">
        <w:rPr>
          <w:rFonts w:cs="Times New Roman"/>
        </w:rPr>
        <w:t>Prior GLP-1RA trials and meta-analyses have demonstrated cardiometabolic and vascular benefits, including reduced major adverse cardiovascular events and stroke, in patients with diabetes, obesity, and high atherosclerotic risk. However, carotid revascularization literature has focused mainly on procedural outcomes after carotid artery stenting or endarterectomy, perioperative stroke/death benchmarks, and long-term ipsilateral stroke prevention. Data evaluating whether GLP-1RA therapy modifies cerebrovascular or survival outcomes after carotid revascularization remain limited.</w:t>
      </w:r>
    </w:p>
    <w:p w14:paraId="6690661A" w14:textId="77777777" w:rsidR="00496E44" w:rsidRPr="00496E44" w:rsidRDefault="00496E44" w:rsidP="00496E44">
      <w:pPr>
        <w:spacing w:line="480" w:lineRule="auto"/>
        <w:rPr>
          <w:rFonts w:cs="Times New Roman"/>
          <w:b/>
          <w:bCs/>
        </w:rPr>
      </w:pPr>
      <w:r w:rsidRPr="00496E44">
        <w:rPr>
          <w:rFonts w:cs="Times New Roman"/>
          <w:b/>
          <w:bCs/>
        </w:rPr>
        <w:t xml:space="preserve"> </w:t>
      </w:r>
    </w:p>
    <w:p w14:paraId="4CA9F37F" w14:textId="77777777" w:rsidR="00496E44" w:rsidRPr="00496E44" w:rsidRDefault="00496E44" w:rsidP="00496E44">
      <w:pPr>
        <w:spacing w:line="480" w:lineRule="auto"/>
        <w:rPr>
          <w:rFonts w:cs="Times New Roman"/>
        </w:rPr>
      </w:pPr>
      <w:r w:rsidRPr="00496E44">
        <w:rPr>
          <w:rFonts w:cs="Times New Roman"/>
          <w:b/>
          <w:bCs/>
        </w:rPr>
        <w:t xml:space="preserve">KEY FINDINGS: </w:t>
      </w:r>
      <w:r w:rsidRPr="00496E44">
        <w:rPr>
          <w:rFonts w:cs="Times New Roman"/>
        </w:rPr>
        <w:t>In propensity-matched cohorts undergoing CAS or CEA, GLP-1RA use was associated with lower long-term ischemic stroke and mortality. After excluding prior stroke codes, ischemic stroke rates were lower with GLP-1RA after both CAS and CEA.</w:t>
      </w:r>
    </w:p>
    <w:p w14:paraId="2EEF393D" w14:textId="77777777" w:rsidR="00496E44" w:rsidRPr="00496E44" w:rsidRDefault="00496E44" w:rsidP="00496E44">
      <w:pPr>
        <w:spacing w:line="480" w:lineRule="auto"/>
        <w:rPr>
          <w:rFonts w:cs="Times New Roman"/>
          <w:b/>
          <w:bCs/>
        </w:rPr>
      </w:pPr>
      <w:r w:rsidRPr="00496E44">
        <w:rPr>
          <w:rFonts w:cs="Times New Roman"/>
          <w:b/>
          <w:bCs/>
        </w:rPr>
        <w:t xml:space="preserve"> </w:t>
      </w:r>
    </w:p>
    <w:p w14:paraId="672ADB54" w14:textId="77777777" w:rsidR="00496E44" w:rsidRDefault="00496E44" w:rsidP="00496E44">
      <w:pPr>
        <w:spacing w:line="480" w:lineRule="auto"/>
        <w:rPr>
          <w:rFonts w:cs="Times New Roman"/>
          <w:b/>
          <w:bCs/>
        </w:rPr>
      </w:pPr>
      <w:r w:rsidRPr="00496E44">
        <w:rPr>
          <w:rFonts w:cs="Times New Roman"/>
          <w:b/>
          <w:bCs/>
        </w:rPr>
        <w:t xml:space="preserve">KNOWLEDGE ADVANCEMENT: </w:t>
      </w:r>
      <w:r w:rsidRPr="00496E44">
        <w:rPr>
          <w:rFonts w:cs="Times New Roman"/>
        </w:rPr>
        <w:t>This study suggests that GLP-1RA therapy may complement procedural stroke-prevention strategies after carotid revascularization. These hypothesis-generating findings support prospective studies with standardized exposure definitions, adjudicated stroke outcomes, and detailed procedural phenotyping.</w:t>
      </w:r>
    </w:p>
    <w:p w14:paraId="635F471D" w14:textId="77777777" w:rsidR="00496E44" w:rsidRDefault="00496E44" w:rsidP="00496E44">
      <w:pPr>
        <w:spacing w:line="480" w:lineRule="auto"/>
        <w:rPr>
          <w:rFonts w:cs="Times New Roman"/>
          <w:b/>
          <w:bCs/>
        </w:rPr>
      </w:pPr>
      <w:r>
        <w:rPr>
          <w:rFonts w:cs="Times New Roman"/>
          <w:b/>
          <w:bCs/>
        </w:rPr>
        <w:br w:type="page"/>
      </w:r>
    </w:p>
    <w:p w14:paraId="362C7288" w14:textId="47214BA1" w:rsidR="00AD66C7" w:rsidRPr="0057434E" w:rsidRDefault="00AD66C7" w:rsidP="00496E44">
      <w:pPr>
        <w:spacing w:line="480" w:lineRule="auto"/>
        <w:rPr>
          <w:rFonts w:cs="Times New Roman"/>
          <w:b/>
          <w:bCs/>
        </w:rPr>
      </w:pPr>
      <w:r w:rsidRPr="0057434E">
        <w:rPr>
          <w:rFonts w:cs="Times New Roman"/>
          <w:b/>
          <w:bCs/>
        </w:rPr>
        <w:lastRenderedPageBreak/>
        <w:t>Introduction</w:t>
      </w:r>
    </w:p>
    <w:p w14:paraId="789B89BF" w14:textId="685E8E58" w:rsidR="00E94B0B" w:rsidRPr="0057434E" w:rsidRDefault="00E94B0B" w:rsidP="00F96352">
      <w:pPr>
        <w:spacing w:line="480" w:lineRule="auto"/>
        <w:ind w:firstLine="720"/>
        <w:rPr>
          <w:rFonts w:cs="Times New Roman"/>
        </w:rPr>
      </w:pPr>
      <w:r w:rsidRPr="0057434E">
        <w:rPr>
          <w:rFonts w:cs="Times New Roman"/>
        </w:rPr>
        <w:t>Stroke is a major public health problem, ranking among the leading causes of death and the foremost cause of long-term disability in the United States, with extracranial carotid atherosclerotic stenosis accounting for roughly 15</w:t>
      </w:r>
      <w:r w:rsidR="00A80B84" w:rsidRPr="0057434E">
        <w:rPr>
          <w:rFonts w:cs="Times New Roman"/>
        </w:rPr>
        <w:t>-</w:t>
      </w:r>
      <w:r w:rsidRPr="0057434E">
        <w:rPr>
          <w:rFonts w:cs="Times New Roman"/>
        </w:rPr>
        <w:t>20% of ischemic strokes.</w:t>
      </w:r>
      <w:r w:rsidRPr="0057434E">
        <w:rPr>
          <w:rFonts w:cs="Times New Roman"/>
        </w:rPr>
        <w:fldChar w:fldCharType="begin"/>
      </w:r>
      <w:r w:rsidR="00E2649B">
        <w:rPr>
          <w:rFonts w:cs="Times New Roman"/>
        </w:rPr>
        <w:instrText xml:space="preserve"> ADDIN ZOTERO_ITEM CSL_CITATION {"citationID":"oRwfuDL8","properties":{"unsorted":false,"formattedCitation":"\\super 1,2\\nosupersub{}","plainCitation":"1,2","noteIndex":0},"citationItems":[{"id":11008,"uris":["http://zotero.org/users/14458687/items/3VJYRAMP"],"itemData":{"id":11008,"type":"article-journal","abstract":"Background\n\nMultiple studies have highlighted the importance of carotid artery stenting (CAS) operator's experiences. However, fellowship‐trained neurointerventionalists remain an under‐represented specialty in the literature. We aim to report the complication rate of CAS performed exclusively by neurointerventionalists.\nMethods\n\nRetrospective cohort study regarding stenting symptomatic and asymptomatic carotid stenosis was collected at multiple comprehensive stroke centers. The primary outcome included a composite of the 30‐day periprocedural mortality, symptomatic ischemic stroke, symptomatic intracranial hemorrhage, and myocardial infarction. The secondary outcomes included other complications. Chi‐squared tests were performed for categorical variables, and Welch's t‐test was used for continuous variables. Cutoffs in continuous variables were estimated using grid search optimization. Sensitivity analyses were performed for missing data.\nResults\n\nBetween 2018 and 2022, 1445 CAS procedures were performed by 38 neurointerventionalists. We have 30‐day outcome data on 1281 patients. Patients were predominantly symptomatic (93.01%), male (65.79%), White (70.36%), and had a median age of 69. The primary outcomes occurred in 26 (1.8%) cases, with 13 (0.9%) death, 8 (0.55%) symptomatic ischemic stroke, 4 (0.28%) symptomatic intracranial hemorrhage, and 1 (0.07%) myocardial infarction. A statistically significant increase in all outcomes correlated with advanced age (P = 0.001), women (P = 0.013), aortic arch type 3 (P = 0.01), and higher preprocedural modified Rankin score (P = 0.006). Secondary outcomes were higher in Hispanic and Black patients (P = 0.007) and those with low diastolic blood pressure at stenting (P = 0.04).\nConclusion\n\nCAS, conducted by fellowship‐trained neurointerventionalist physicians in comprehensive stroke centers, demonstrates a lower complication rate than what was previously reported in CAS, carotid endarterectomy, and transcarotid artery revascularization literature. Physician training, higher frequency, and standardized stroke care in a comprehensive stroke center may contribute to this low complication rate.","container-title":"Stroke: Vascular and Interventional Neurology","DOI":"10.1161/SVIN.124.001459","issue":"1","page":"e001459","publisher":"Wiley","source":"ahajournals.org (Atypon)","title":"Carotid Artery Stenting Outcomes by Neurointerventional Surgeons (CASONI)","volume":"5","author":[{"family":"Ezzeldin","given":"Mohamad"},{"family":"Hassan","given":"Ameer E."},{"family":"Kerro","given":"Ali"},{"family":"Martucci","given":"Maria"},{"family":"Hussain","given":"Muhammad Shazam"},{"family":"Mir","given":"Osman"},{"family":"Sheriff","given":"Faheem G."},{"family":"Kan","given":"Peter"},{"family":"Ezepue","given":"Chizoba"},{"family":"Janjua","given":"Nazli A."},{"family":"Asif","given":"Kaiz S."},{"family":"Grandhi","given":"Ramesh"},{"family":"Alaraj","given":"Ali"},{"family":"Niazi","given":"Muhammad"},{"family":"Mansour","given":"Ossama Yassin"},{"family":"Chen","given":"Michael"},{"family":"Bushnaq","given":"Saif"},{"family":"Tanweer","given":"Omar"},{"family":"Siddiqui","given":"Adnan H."},{"family":"Delora","given":"Adam"},{"family":"Ezzeldin","given":"Rime"},{"family":"Navpreet","given":"Bains"},{"family":"Chaubal","given":"Varun"},{"family":"Abdulrazzak","given":"Mohammad Ammar"},{"family":"Saei","given":"Hamzah"},{"family":"Rodriguez","given":"Gustavo J."},{"family":"AlMajali","given":"Mohammad"},{"family":"Edhayan","given":"Gautam"},{"family":"Shekhlee","given":"Amer Al"},{"family":"Hadjialiakbari","given":"Christopher"},{"family":"Froukh","given":"Musaab"},{"family":"Salah","given":"Walid K."},{"family":"Nico","given":"Elsa"},{"family":"Madapoosi","given":"Adrusht"},{"family":"Radiaideh","given":"Yazan"},{"family":"Quispe‐Orozco","given":"Darko"},{"family":"Haim","given":"Oz"},{"family":"Garza","given":"Noel"},{"family":"Maud","given":"Alberto"},{"family":"Rolon‐Newton","given":"Morgan"},{"family":"Barakat","given":"Benan"},{"family":"Gowda","given":"Tejas"},{"family":"Monk","given":"Muhammad"},{"family":"Ali","given":"Zuhair"},{"family":"Anwoju","given":"Tunmi"},{"family":"Zaidat","given":"Osama O."},{"family":"Siddiq","given":"Farhan"}],"issued":{"date-parts":[["2025",1]]}}},{"id":15622,"uris":["http://zotero.org/users/14458687/items/EYLPZF9D"],"itemData":{"id":15622,"type":"article-journal","abstract":"The 2026 guideline for early management of acute ischemic stroke (AIS) retains many foundational recommendations while introducing clinically meaningful updates spanning imaging, broader inpatient management, and reperfusion strategies including intravenous thrombolysis (IVT) and endovascular therapy (EVT). Notably, it provides expanded guidance for medium vessel occlusions and introduces pediatric recommendations that were largely absent from prior iterations. Given their impact on imaging workflows in AIS, the authors present a focused review of the updated guidelines for the radiologist.","container-title":"American Journal of Neuroradiology","DOI":"10.3174/ajnr.A9455","journalAbbreviation":"American Journal of Neuroradiology","source":"ResearchGate","title":"The 2026 AHA/ASA Guideline Updates to Management of Patients with Acute Ischemic Stroke: A Guide for Radiologists","title-short":"The 2026 AHA/ASA Guideline Updates to Management of Patients with Acute Ischemic Stroke","author":[{"family":"Rai","given":"Pranjal"},{"family":"Benson","given":"John"},{"family":"Ahmed","given":"Sabha"},{"family":"Mark","given":"Ian"},{"family":"Rajeev","given":"Radhika"},{"family":"Lakhani","given":"Dhairya"},{"family":"Lanzino","given":"Guiseppe"},{"family":"Klaas","given":"James"},{"family":"Bathla","given":"Girish"}],"issued":{"date-parts":[["2026",6,4]]}}}],"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1,2</w:t>
      </w:r>
      <w:r w:rsidRPr="0057434E">
        <w:rPr>
          <w:rFonts w:cs="Times New Roman"/>
        </w:rPr>
        <w:fldChar w:fldCharType="end"/>
      </w:r>
      <w:r w:rsidRPr="0057434E">
        <w:rPr>
          <w:rFonts w:cs="Times New Roman"/>
        </w:rPr>
        <w:t xml:space="preserve"> Carotid revascularization is a central strategy for preventing cerebrovascular events, historically dominated by carotid endarterectomy (CEA), which remains the reference standard.</w:t>
      </w:r>
      <w:r w:rsidRPr="0057434E">
        <w:rPr>
          <w:rFonts w:cs="Times New Roman"/>
        </w:rPr>
        <w:fldChar w:fldCharType="begin"/>
      </w:r>
      <w:r w:rsidR="00E2649B">
        <w:rPr>
          <w:rFonts w:cs="Times New Roman"/>
        </w:rPr>
        <w:instrText xml:space="preserve"> ADDIN ZOTERO_ITEM CSL_CITATION {"citationID":"Si7kfarJ","properties":{"formattedCitation":"\\super 3\\nosupersub{}","plainCitation":"3","noteIndex":0},"citationItems":[{"id":11013,"uris":["http://zotero.org/users/14458687/items/AWGS5ZZT"],"itemData":{"id":11013,"type":"article-journal","abstract":"BACKGROUND: Technological and surgical approaches to carotid artery stenting (CAS) have evolved. Modern randomised controlled trials comparing CAS and carotid endarterectomy (CEA) are limited, and information about updated post-intervention outcomes are mostly from retrospective, small studies. AIMS: This study aims to compare the 30-day outcomes of stroke, transient ischaemic attack (TIA), acute myocardial infarction (AMI) and death with propensity-matched groups of CEA and CAS in asymptomatic and symptomatic patients over a recent study period of new CAS technologies and approaches.\nMETHODS: A retrospective, observational, multicentre analysis was conducted including consecutive symptomatic and asymptomatic patients treated with either primary CEA or CAS for internal carotid artery stenosis, between 2015 and 2022. Patients were propensity score-matched based on comorbidities and assessed according to symptom status. Primary endpoints include composite ipsilateral stroke, TIA, AMI and death within 30 days. Secondary endpoints include technical success and length of hospital stay.\nRESULTS: From a cohort of 1,110 patients, propensity matching produced 269 distinct treatment pairs (n=538). Most patients were asymptomatic (n=456, 85%). All 6 strokes were minor (CEA=2; CAS=4) and registered among asymptomatic patients. One AMI (CEA) and 1 patient death (CAS) were reported among symptomatic patients. Composite stroke/AMI/death were not significantly different between both types of symptom status and both revascularisation techniques (p=0.44 and p=1, respectively). Technical success was 100%. The length of hospital stay was significantly shorter in asymptomatic patients treated with CAS compared to those treated with CEA (p=0.05), but no difference was registered among symptomatic patients (p=0.32).\nCONCLUSIONS: Propensity-matched analysis suggests that CAS has similar postprocedural outcomes for stroke, AMI and death at 30 days compared to CEA. ABSTRACT","container-title":"EuroIntervention","DOI":"10.4244/EIJ-D-23-00624","ISSN":"1969-6213","issue":"7","language":"en","page":"e445-e452","source":"DOI.org (Crossref)","title":"Thirty-day outcomes of carotid endarterectomy versus carotid artery stenting in asymptomatic and symptomatic patients: a propensity score-matched analysis","title-short":"Thirty-day outcomes of carotid endarterectomy versus carotid artery stenting in asymptomatic and symptomatic patients","volume":"20","author":[{"family":"Bramucci","given":"Alberto"},{"family":"Nerla","given":"Roberto"},{"family":"Bianchini Massoni","given":"Claudio"},{"family":"Giovannini","given":"Davide"},{"family":"Chester","given":"Johanna"},{"family":"Freyrie","given":"Antonio"},{"family":"Castriota","given":"Fausto"}],"issued":{"date-parts":[["2024",4]]}}}],"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3</w:t>
      </w:r>
      <w:r w:rsidRPr="0057434E">
        <w:rPr>
          <w:rFonts w:cs="Times New Roman"/>
        </w:rPr>
        <w:fldChar w:fldCharType="end"/>
      </w:r>
      <w:r w:rsidRPr="0057434E">
        <w:rPr>
          <w:rFonts w:cs="Times New Roman"/>
        </w:rPr>
        <w:t xml:space="preserve"> Transfemoral carotid artery stenting (CAS) was introduced as a less invasive alternative for patients at high surgical risk, and more recently, trans</w:t>
      </w:r>
      <w:r w:rsidR="009420A2" w:rsidRPr="0057434E">
        <w:rPr>
          <w:rFonts w:cs="Times New Roman"/>
        </w:rPr>
        <w:t>-</w:t>
      </w:r>
      <w:r w:rsidRPr="0057434E">
        <w:rPr>
          <w:rFonts w:cs="Times New Roman"/>
        </w:rPr>
        <w:t>carotid artery revascularization (TCAR) has emerged to limit embolic risk by avoiding extensive aortic arch manipulation.</w:t>
      </w:r>
      <w:r w:rsidRPr="0057434E">
        <w:rPr>
          <w:rFonts w:cs="Times New Roman"/>
        </w:rPr>
        <w:fldChar w:fldCharType="begin"/>
      </w:r>
      <w:r w:rsidR="00E2649B">
        <w:rPr>
          <w:rFonts w:cs="Times New Roman"/>
        </w:rPr>
        <w:instrText xml:space="preserve"> ADDIN ZOTERO_ITEM CSL_CITATION {"citationID":"RQLHXJvr","properties":{"formattedCitation":"\\super 4\\nosupersub{}","plainCitation":"4","noteIndex":0},"citationItems":[{"id":11041,"uris":["http://zotero.org/users/14458687/items/RJL9WB8W"],"itemData":{"id":11041,"type":"article-journal","abstract":"BACKGROUND: Carotid endarterectomy (CEA) is associated with lower risk of perioperative stroke compared with transfemoral carotid artery stenting (TFCAS) in the treatment of carotid artery stenosis. However, there is discrepancy in data regarding long-term outcomes. We aimed to compare long-term outcomes of CEA vs TFCAS using the Medicare-matched Vascular Quality Initiative Vascular Implant Surveillance and Interventional Outcomes Network database.\nMETHODS: We assessed patients undergoing first-time CEA or TFCAS in Vascular Quality Initiative Vascular-Vascular Implant Surveillance and Interventional Outcomes Network from January 2003 to December 2018. Patients with prior history of carotid revascularization, nontransfemoral stenting, stenting performed without distal embolic protection, multiple or nonatherosclerotic lesions, or concomitant procedures were excluded. The primary outcome of interest was all-cause mortality, any stroke, and a combined end point of death or stroke. We additionally performed propensity score matching and stratification based on symptomatic status.\nRESULTS: A total of 80,146 carotid revascularizations were performed, of which 72,615 were CEA and 7531 were TFCAS. CEA was associated with significantly lower risk of death (57.8% vs 70.4%, adjusted hazard ratio [aHR], 0.46; 95% confidence interval [CI], 0.41-0.52; P &lt; .001), stroke (21.3% vs 26.6%; aHR, 0.63; 95% CI, 0.57-0.69; P &lt; .001) and combined end point of death and stroke (65.3% vs 76.5%; HR, 0.49; 95% CI, 0.44-0.55; P &lt; .001) at 10 years. These findings were reflected in the propensity-matched cohort (combined end point: 34.6% vs 46.8%; HR, 0.53; 95% CI, 0.46-0.62) at 4 years, as well as stratified analyses of combined end point by symptomatic status (asymptomatic: 63.2% vs 74.9%; HR, 0.49; 95% CI, 0.43-0.58; P &lt; .001; symptomatic: 69.9% vs 78.3%; HR, 0.51; 95% CI, 0.45-0.59; P &lt; .001) at 10 years.\nCONCLUSIONS: In this analysis of North American real-world data, CEA was associated with greater long-term survival and fewer strokes compared with TFCAS. These findings support the continued use of CEA as the first-line revascularization procedure.","container-title":"Journal of Vascular Surgery","DOI":"10.1016/j.jvs.2023.08.118","ISSN":"1097-6809","issue":"4","journalAbbreviation":"J Vasc Surg","language":"eng","page":"826-834.e3","PMID":"37634620","source":"PubMed","title":"Long-term outcomes of carotid endarterectomy vs transfemoral carotid stenting in a Medicare-matched database","volume":"79","author":[{"family":"Yei","given":"Kevin S."},{"family":"Janssen","given":"Claire"},{"family":"Elsayed","given":"Nadin"},{"family":"Naazie","given":"Isaac"},{"family":"Sedrakyan","given":"Art"},{"family":"Malas","given":"Mahmoud B."}],"issued":{"date-parts":[["2024",4]]}}}],"schema":"https://github.com/citation-style-language/schema/raw/master/csl-citation.json"}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4</w:t>
      </w:r>
      <w:r w:rsidRPr="0057434E">
        <w:rPr>
          <w:rFonts w:cs="Times New Roman"/>
        </w:rPr>
        <w:fldChar w:fldCharType="end"/>
      </w:r>
      <w:r w:rsidRPr="0057434E">
        <w:rPr>
          <w:rFonts w:cs="Times New Roman"/>
        </w:rPr>
        <w:t xml:space="preserve"> In contemporary practice, procedure selection is individualized based on symptom status, comorbidities, anatomic complexity, and institutional expertise, and is coupled with intensive medical therapy. Guideline benchmarks require perioperative stroke or death risks below 3% for asymptomatic and below 6% for symptomatic patients; however, high</w:t>
      </w:r>
      <w:r w:rsidR="00033DA6">
        <w:rPr>
          <w:rFonts w:cs="Times New Roman"/>
        </w:rPr>
        <w:t>-</w:t>
      </w:r>
      <w:r w:rsidRPr="0057434E">
        <w:rPr>
          <w:rFonts w:cs="Times New Roman"/>
        </w:rPr>
        <w:t>risk patients undergoing CEA can still experience 30-day stroke/death rates approaching 4.7% even when asymptomatic, underscoring that, despite technical advances and multidisciplinary care, substantial residual risk of stroke and death persists after carotid revascularization.</w:t>
      </w:r>
      <w:r w:rsidRPr="0057434E">
        <w:rPr>
          <w:rFonts w:cs="Times New Roman"/>
        </w:rPr>
        <w:fldChar w:fldCharType="begin"/>
      </w:r>
      <w:r w:rsidR="00E2649B">
        <w:rPr>
          <w:rFonts w:cs="Times New Roman"/>
        </w:rPr>
        <w:instrText xml:space="preserve"> ADDIN ZOTERO_ITEM CSL_CITATION {"citationID":"2Z6wV9pA","properties":{"formattedCitation":"\\super 5,6\\nosupersub{}","plainCitation":"5,6","noteIndex":0},"citationItems":[{"id":11077,"uris":["http://zotero.org/users/14458687/items/6UY324PT"],"itemData":{"id":11077,"type":"article-journal","abstract":"This ACS-NSQIP study of 25,788 patients validates the CMS high-risk criteria and reveals that the current perioperative 30-day stroke/death rate after carotid endarterectomy in high physiologic risk patients with asymptomatic carotid stenosis is 4.7%, well above the acceptable rate of less than 3%. Better patient selection for carotid revascularization may help reduce this high incidence of stroke/death in this population.","container-title":"Journal of vascular surgery","DOI":"10.1016/j.jvs.2019.05.041","ISSN":"0741-5214","issue":"1","journalAbbreviation":"J Vasc Surg","page":"104-110","PMID":"31443978","PMCID":"PMC6926142","source":"PubMed Central","title":"Contemporary Outcomes Following Carotid Endarterectomy in High-Risk Anatomic and Physiologic Patients","volume":"71","author":[{"family":"Rao","given":"Vaishnavi"},{"family":"Liang","given":"Patric"},{"family":"Swerdlow","given":"Nicholas"},{"family":"Li","given":"Chun"},{"family":"Solomon","given":"Yoel"},{"family":"Wyers","given":"Mark"},{"family":"Schermerhorn","given":"Marc"}],"issued":{"date-parts":[["2020",1]]}}},{"id":11112,"uris":["http://zotero.org/users/14458687/items/V2XRYH5Y"],"itemData":{"id":11112,"type":"article-journal","abstract":"In this randomized comparison of stenting and endarterectomy as treatment for carotid-artery stenosis, there was no significant difference in the rate of the composite primary end point of stroke, myocardial infarction, or death (7.2% and 6.8%, respectively; P=0.51). Stroke was more common with carotid-artery stenting than carotid endarterectomy; myocardial infarction was more common with carotid endarterectomy. The 4-year rate of stroke or death was 6.4% for carotid-artery stenting and 4.7% for carotid endarterectomy (P=0.03). In this randomized comparison of stenting and endarterectomy as treatment for carotid-artery stenosis, there was no significant difference in the rate of the composite primary end point of stroke, myocardial infarction, or death (7.2% and 6.8%, respectively). Carotid-artery atherosclerosis is an important cause of ischemic stroke.1 Carotid endarterectomy has been established as effective treatment for both symptomatic patients and asymptomatic patients.2–4 Carotid-artery stenting is another option for treatment. The results of randomized trials comparing carotid-artery stenting and carotid endarterectomy for use in symptomatic patients are conflicting.5–7 The primary aim of the Carotid Revascularization Endarterectomy vs. Stenting Trial (CREST) was to compare the outcomes of carotid-artery stenting with those of carotid endarterectomy among patients with symptomatic or asymptomatic extracranial carotid stenosis. Methods Study Design CREST is a randomized, controlled trial with blinded end-point adjudication. Ethics review . . .","container-title":"New England Journal of Medicine","DOI":"10.1056/NEJMoa0912321","ISSN":"0028-4793","issue":"1","note":"_eprint: https://www.nejm.org/doi/pdf/10.1056/NEJMoa0912321","page":"11-23","publisher":"Massachusetts Medical Society","source":"Taylor and Francis+NEJM","title":"Stenting versus Endarterectomy for Treatment of Carotid-Artery Stenosis","volume":"363","author":[{"family":"Brott","given":"Thomas G."},{"family":"Hobson","given":"Robert W."},{"family":"Howard","given":"George"},{"family":"Roubin","given":"Gary S."},{"family":"Clark","given":"Wayne M."},{"family":"Brooks","given":"William"},{"family":"Mackey","given":"Ariane"},{"family":"Hill","given":"Michael D."},{"family":"Leimgruber","given":"Pierre P."},{"family":"Sheffet","given":"Alice J."},{"family":"Howard","given":"Virginia J."},{"family":"Moore","given":"Wesley S."},{"family":"Voeks","given":"Jenifer H."},{"family":"Hopkins","given":"L. Nelson"},{"family":"Cutlip","given":"Donald E."},{"family":"Cohen","given":"David J."},{"family":"Popma","given":"Jeffrey J."},{"family":"Ferguson","given":"Robert D."},{"family":"Cohen","given":"Stanley N."},{"family":"Blackshear","given":"Joseph L."},{"family":"Silver","given":"Frank L."},{"family":"Mohr","given":"J. P."},{"family":"Lal","given":"Brajesh K."},{"family":"Meschia","given":"James F."}],"issued":{"date-parts":[["2010",7,1]]}}}],"schema":"https://github.com/citation-style-language/schema/raw/master/csl-citation.json"}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5,6</w:t>
      </w:r>
      <w:r w:rsidRPr="0057434E">
        <w:rPr>
          <w:rFonts w:cs="Times New Roman"/>
        </w:rPr>
        <w:fldChar w:fldCharType="end"/>
      </w:r>
    </w:p>
    <w:p w14:paraId="648741F2" w14:textId="60CFD03F" w:rsidR="00E94B0B" w:rsidRPr="0057434E" w:rsidRDefault="00D0613E" w:rsidP="00D0613E">
      <w:pPr>
        <w:spacing w:line="480" w:lineRule="auto"/>
        <w:ind w:firstLine="720"/>
        <w:rPr>
          <w:rFonts w:cs="Times New Roman"/>
        </w:rPr>
      </w:pPr>
      <w:r w:rsidRPr="0057434E">
        <w:rPr>
          <w:rFonts w:cs="Times New Roman"/>
        </w:rPr>
        <w:t xml:space="preserve">Carotid revascularization with either CAS or CEA can confer neuroprotective benefit by lowering longer-term ipsilateral stroke risk in appropriately selected patients, although a subset may still experience recurrent neurologic events after intervention, most commonly related to in-stent restenosis, </w:t>
      </w:r>
      <w:r w:rsidR="00F35820" w:rsidRPr="0057434E">
        <w:rPr>
          <w:rFonts w:cs="Times New Roman"/>
        </w:rPr>
        <w:t xml:space="preserve">delayed </w:t>
      </w:r>
      <w:r w:rsidRPr="0057434E">
        <w:rPr>
          <w:rFonts w:cs="Times New Roman"/>
        </w:rPr>
        <w:t>plaque protrusion, or thromboemb</w:t>
      </w:r>
      <w:r w:rsidR="00F35820" w:rsidRPr="0057434E">
        <w:rPr>
          <w:rFonts w:cs="Times New Roman"/>
        </w:rPr>
        <w:t>o</w:t>
      </w:r>
      <w:r w:rsidRPr="0057434E">
        <w:rPr>
          <w:rFonts w:cs="Times New Roman"/>
        </w:rPr>
        <w:t>lism.</w:t>
      </w:r>
      <w:r w:rsidRPr="0057434E">
        <w:rPr>
          <w:rFonts w:cs="Times New Roman"/>
        </w:rPr>
        <w:fldChar w:fldCharType="begin"/>
      </w:r>
      <w:r w:rsidR="00E2649B">
        <w:rPr>
          <w:rFonts w:cs="Times New Roman"/>
        </w:rPr>
        <w:instrText xml:space="preserve"> ADDIN ZOTERO_ITEM CSL_CITATION {"citationID":"sASGXlJe","properties":{"formattedCitation":"\\super 7\\uc0\\u8211{}9\\nosupersub{}","plainCitation":"7–9","noteIndex":0},"citationItems":[{"id":11550,"uris":["http://zotero.org/users/14458687/items/WPK3FBHV"],"itemData":{"id":11550,"type":"article-journal","abstract":"Atherosclerotic disease of the carotid artery places patients at risk of ischemic stroke and consequently is a target of medical, endovascular and open surgical management. Various imaging modalities are used to characterize anatomy/severity of carotid disease and justify intervention, each having advantages and disadvantages. Carotid revascularization techniques including carotid artery stenting, carotid endarterectomy, and transcarotid artery revascularization vary in invasiveness and are not equally suitable for certain subsets of patients. As such, providing quality care for patients with carotid disease requires a multidisciplinary team of experts in clinical diagnosis, image interpretation, medical management, endovascular intervention, and surgical treatment.","container-title":"Progress in Cardiovascular Diseases","DOI":"10.1016/j.pcad.2021.03.005","ISSN":"1873-1740","journalAbbreviation":"Prog Cardiovasc Dis","language":"eng","page":"49-54","PMID":"33744381","source":"PubMed","title":"Carotid stenosis, stroke, and carotid artery revascularization","volume":"65","author":[{"family":"Heck","given":"Don"},{"family":"Jost","given":"Alec"}],"issued":{"date-parts":[["2021"]]}}},{"id":11730,"uris":["http://zotero.org/users/14458687/items/VKIG4KGF"],"itemData":{"id":11730,"type":"article-journal","container-title":"Journal of the Society for Cardiovascular Angiography &amp; Interventions","DOI":"10.1016/j.jscai.2024.102285","ISSN":"2772-9303","issue":"11","journalAbbreviation":"Journal of the Society for Cardiovascular Angiography &amp; Interventions","language":"English","publisher":"Elsevier","source":"www.jscai.org","title":"Intraprocedural and Delayed Plaque Protrusion in Carotid Artery Stenting Using a Dual-Layer Metallic Stent","URL":"https://www.jscai.org/article/S2772-9303(24)01729-0/fulltext","volume":"3","author":[{"family":"Myouchin","given":"Kaoru"},{"family":"Takayama","given":"Katsutoshi"},{"family":"Wada","given":"Takeshi"},{"family":"Chanoki","given":"Yuto"},{"family":"Kishida","given":"Hayato"},{"family":"Masutani","given":"Takahiro"},{"family":"Ko","given":"Yumi"},{"family":"Uchiyama","given":"Yoshitomo"},{"family":"Nakagawa","given":"Ichiro"},{"family":"Tanaka","given":"Toshihiro"}],"accessed":{"date-parts":[["2025",12,22]]},"issued":{"date-parts":[["2024",11,1]]}}},{"id":11044,"uris":["http://zotero.org/users/14458687/items/YKH2RTAV"],"itemData":{"id":11044,"type":"article-journal","abstract":"BACKGROUND: Carotid artery stenting (CAS) has been advocated as an alternative to redo surgery for patients with post-carotid endarterectomy (CEA) stenosis. This study compares early and late clinical outcomes for both groups.\nMETHODS: This study analyzes 192 patients: 72 had reoperation (Group A) and 120 had CAS for post-CEA stenosis (Group B). Patients were followed prospectively and had duplex ultrasounds at 1 month, and every 6 to 12 months thereafter. The perioperative complications (perioperative stroke, myocardial infarction/death, cranial nerve injury) and 4-year end points were analyzed. A Kaplan-Meier lifetable analysis was used to estimate rates of freedom from stroke, stroke-free survival, ≥50% restenosis, and ≥80% restenosis.\nRESULTS: Demographic/clinical characteristics were comparable for both groups, except for diabetes mellitus and coronary artery disease, which were significantly higher in Group B. The indications for reoperations were transient ischemic attacks/stroke in 72% for Group A versus 57% for Group B (P=.0328). The mean follow-up was 33 months (range, 1-86 months) for Group A and 24 months (range, 1-78 months) for Group B (P=.0026). The proportion of early (&lt;24 months) carotid restenosis prior to intervention was 51% in Group A versus 27% in Group B (P=.0013). The perioperative stroke rates were 3% and 1%, respectively (P=.5573). There were no myocardial infarctions or deaths in either group. The overall incidence of cranial nerve injury was 14% for Group A versus 0% for Group B (P&lt;.0001). However, there was no statistical difference between the groups relating to permanent cranial nerve injury (1% versus 0%). The combined early and late stroke rates for Groups A and B were 3% and 2%, respectively (P=.6347). The stroke-free rates at 1, 2, 3, and 4 years for Groups A and B were 97%, 97%, 97%, and 97% and 98%, 98%, 98%, and 98%, respectively (P=.6490). The stroke-free survival rates were not significantly different. The rates of freedom from ≥50% restenosis at 1, 2, 3, and 4 years were 98%, 95%, 95%, and 95% for Group A versus 95%, 89%, 80%, and 72% for Group B (P=.0175). The freedom from ≥80% restenosis at 1, 2, 3, and 4 years for Groups A and B were 98%, 97%, 97%, and 97% versus 99%, 96%, 92%, and 87%, respectively (P=.2281). Four patients (one symptomatic) in Group B had reintervention for ≥80% restenosis. The rate of freedom from reintervention for Groups A and B were 100%, 100%, 100%, and 100% versus 94%, 89%, 83%, and 79%, respectively (P=.0634).\nCONCLUSIONS: CAS is as safe as redo CEA. Redo CEA has a higher incidence of transient cranial nerve injury; however, CAS has a higher incidence of ≥50% in-stent restenosis.","container-title":"Journal of Vascular Surgery","DOI":"10.1016/j.jvs.2010.06.074","ISSN":"1097-6809","issue":"5","journalAbbreviation":"J Vasc Surg","language":"eng","page":"1180-1187","PMID":"20692794","source":"PubMed","title":"Carotid artery stenting outcomes are equivalent to carotid endarterectomy outcomes for patients with post-carotid endarterectomy stenosis","volume":"52","author":[{"family":"AbuRahma","given":"Ali F."},{"family":"Abu-Halimah","given":"Shadi"},{"family":"Hass","given":"Stephen M."},{"family":"Nanjundappa","given":"Aravinda"},{"family":"Stone","given":"Patrick A."},{"family":"Mousa","given":"Albeir"},{"family":"Lough","given":"Erik"},{"family":"Dean","given":"L. S."}],"issued":{"date-parts":[["2010",11]]}}}],"schema":"https://github.com/citation-style-language/schema/raw/master/csl-citation.json"}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7–9</w:t>
      </w:r>
      <w:r w:rsidRPr="0057434E">
        <w:rPr>
          <w:rFonts w:cs="Times New Roman"/>
        </w:rPr>
        <w:fldChar w:fldCharType="end"/>
      </w:r>
      <w:r w:rsidRPr="0057434E">
        <w:rPr>
          <w:rFonts w:cs="Times New Roman"/>
        </w:rPr>
        <w:t xml:space="preserve"> CAS has attracted renewed attention in light of the CREST-2 findings in patients with high-grade asymptomatic carotid stenosis: in the stenting trial, CAS plus intensive medical management reduced the 4-year composite of peri</w:t>
      </w:r>
      <w:r w:rsidR="00033DA6">
        <w:rPr>
          <w:rFonts w:cs="Times New Roman"/>
        </w:rPr>
        <w:t>-</w:t>
      </w:r>
      <w:r w:rsidRPr="0057434E">
        <w:rPr>
          <w:rFonts w:cs="Times New Roman"/>
        </w:rPr>
        <w:t xml:space="preserve">procedural stroke or death and subsequent ipsilateral stroke from 6.0% to 2.8% </w:t>
      </w:r>
      <w:r w:rsidRPr="0057434E">
        <w:rPr>
          <w:rFonts w:cs="Times New Roman"/>
        </w:rPr>
        <w:lastRenderedPageBreak/>
        <w:t>(p</w:t>
      </w:r>
      <w:r w:rsidR="00033DA6">
        <w:rPr>
          <w:rFonts w:cs="Times New Roman"/>
        </w:rPr>
        <w:t>=0.02</w:t>
      </w:r>
      <w:r w:rsidRPr="0057434E">
        <w:rPr>
          <w:rFonts w:cs="Times New Roman"/>
        </w:rPr>
        <w:t>), with most of the benefit accruing after the procedure (0.6% vs 5.8%), despite higher early event rates in the revascularization arm (2.2% vs 0.2% within 44 days).</w:t>
      </w:r>
      <w:r w:rsidR="00F35820" w:rsidRPr="0057434E">
        <w:rPr>
          <w:rFonts w:cs="Times New Roman"/>
        </w:rPr>
        <w:fldChar w:fldCharType="begin"/>
      </w:r>
      <w:r w:rsidR="00E2649B">
        <w:rPr>
          <w:rFonts w:cs="Times New Roman"/>
        </w:rPr>
        <w:instrText xml:space="preserve"> ADDIN ZOTERO_ITEM CSL_CITATION {"citationID":"8OdAy80k","properties":{"formattedCitation":"\\super 10\\nosupersub{}","plainCitation":"10","noteIndex":0},"citationItems":[{"id":11004,"uris":["http://zotero.org/users/14458687/items/KZ7Y2FGL"],"itemData":{"id":11004,"type":"article-journal","abstract":"BACKGROUND Improvements in medical therapy, carotid-artery stenting, and carotid endarterectomy call into question the preferred management of asymptomatic carotid stenosis. Whether adding revascularization to intensive medical management would provide greater benefit than intensive medical management alone is unclear.\nMETHODS We conducted two parallel, observer-blinded clinical trials that enrolled patients with high-grade (≥70%) asymptomatic carotid stenosis across 155 centers in five countries. The stenting trial compared intensive medical management alone (medical-therapy group) with carotid-artery stenting plus intensive medical management (stenting group); the endarterectomy trial compared intensive medical management alone (medical-therapy group) with carotid endarterectomy plus intensive medical management (endarterectomy group). The primary outcome was a composite of any stroke or death, assessed from randomization to 44 days, or ipsilateral ischemic stroke, assessed during the remaining follow-up period up to 4 years.\nRESULTS A total of 1245 patients underwent randomization in the stenting trial and 1240 in the endarterectomy trial. In the stenting trial, the 4-year incidence of primaryoutcome events was 6.0% (95% confidence interval [CI], 3.8 to 8.3) in the medicaltherapy group and 2.8% (95% CI, 1.5 to 4.3) in the stenting group (P = 0.02 for the absolute difference). In the endarterectomy trial, the 4-year incidence of primaryoutcome events was 5.3% (95% CI, 3.3 to 7.4) in the medical-therapy group and 3.7% (95% CI, 2.1 to 5.5) in the endarterectomy group (P = 0.24 for the absolute difference). From day 0 to 44, in the stenting trial, no strokes or deaths occurred in the medical-therapy group and seven strokes and one death occurred in the stenting group; in the endarterectomy trial, three strokes occurred in the medical-therapy group and nine strokes occurred in the endarterectomy group.\nCONCLUSIONS Among patients with high-grade stenosis without recent symptoms, the addition of stenting led to a lower risk of a composite of perioperative stroke or death or ipsilateral stroke within 4 years than intensive medical management alone. Carotid endarterectomy did not lead to a significant benefit. (Funded by the National Institute of Neurological Disorders and Stroke and others; CREST-2 ClinicalTrials.gov number, NCT02089217.)","container-title":"New England Journal of Medicine","DOI":"10.1056/NEJMoa2508800","ISSN":"0028-4793, 1533-4406","journalAbbreviation":"N Engl J Med","language":"en","license":"http://www.nejmgroup.org/legal/terms-of-use.htm","page":"NEJMoa2508800","source":"DOI.org (Crossref)","title":"Medical Management and Revascularization for Asymptomatic Carotid Stenosis","author":[{"family":"Brott","given":"Thomas G."},{"family":"Howard","given":"George"},{"family":"Lal","given":"Brajesh K."},{"family":"Voeks","given":"Jenifer H."},{"family":"Turan","given":"Tanya N."},{"family":"Roubin","given":"Gary S."},{"family":"Lazar","given":"Ronald M."},{"family":"Brown","given":"Robert D."},{"family":"Huston","given":"John"},{"family":"Edwards","given":"Lloyd J."},{"family":"Jones","given":"Michael"},{"family":"Clark","given":"Wayne M."},{"family":"Chamorro","given":"Ángel"},{"family":"Llull","given":"Laura"},{"family":"Mena-Hurtado","given":"Carlos"},{"family":"Heck","given":"Donald"},{"family":"Marshall","given":"Randolph S."},{"family":"Howard","given":"Virginia J."},{"family":"Moore","given":"Wesley S."},{"family":"Barrett","given":"Kevin M."},{"family":"Demaerschalk","given":"Bart M."},{"family":"Sangha","given":"Navdeep"},{"family":"Aronow","given":"Herbert"},{"family":"Foster","given":"Malcolm"},{"family":"Sternbergh","given":"W. Charles"},{"family":"Shawl","given":"Fayaz"},{"family":"Lanzino","given":"Giuseppe"},{"family":"Rapp","given":"Joseph"},{"family":"Tran","given":"Hoang S."},{"family":"Ecker","given":"Robert"},{"family":"Mackey","given":"Ariane"},{"family":"Ali","given":"Vaqar"},{"family":"Given","given":"Curtis"},{"family":"Teal","given":"Philip"},{"family":"Kashyap","given":"Vikram S."},{"family":"Mukherjee","given":"Dipankar"},{"family":"Harrigan","given":"Mark"},{"family":"Silverman","given":"Scott"},{"family":"Koopmann","given":"Matthew"},{"family":"Wadley","given":"Virginia G."},{"family":"Zhang","given":"Yu"},{"family":"Rhodes","given":"J. David"},{"family":"Chaturvedi","given":"Seemant"},{"family":"Meschia","given":"James F."}],"issued":{"date-parts":[["2025",11,21]]}}}],"schema":"https://github.com/citation-style-language/schema/raw/master/csl-citation.json"} </w:instrText>
      </w:r>
      <w:r w:rsidR="00F35820" w:rsidRPr="0057434E">
        <w:rPr>
          <w:rFonts w:cs="Times New Roman"/>
        </w:rPr>
        <w:fldChar w:fldCharType="separate"/>
      </w:r>
      <w:r w:rsidR="00E2649B" w:rsidRPr="00E2649B">
        <w:rPr>
          <w:rFonts w:cs="Times New Roman"/>
          <w:kern w:val="0"/>
          <w:vertAlign w:val="superscript"/>
        </w:rPr>
        <w:t>10</w:t>
      </w:r>
      <w:r w:rsidR="00F35820" w:rsidRPr="0057434E">
        <w:rPr>
          <w:rFonts w:cs="Times New Roman"/>
        </w:rPr>
        <w:fldChar w:fldCharType="end"/>
      </w:r>
      <w:r w:rsidRPr="0057434E">
        <w:rPr>
          <w:rFonts w:cs="Times New Roman"/>
        </w:rPr>
        <w:t xml:space="preserve"> In the parallel endarterectomy trial, CEA plus medical therapy yielded a numerically lower 4-year primary outcome rate than medical therapy alone (3.7% vs 5.3%; p=0.2</w:t>
      </w:r>
      <w:r w:rsidR="00033DA6">
        <w:rPr>
          <w:rFonts w:cs="Times New Roman"/>
        </w:rPr>
        <w:t>4</w:t>
      </w:r>
      <w:r w:rsidRPr="0057434E">
        <w:rPr>
          <w:rFonts w:cs="Times New Roman"/>
        </w:rPr>
        <w:t>), again with higher peri</w:t>
      </w:r>
      <w:r w:rsidR="00033DA6">
        <w:rPr>
          <w:rFonts w:cs="Times New Roman"/>
        </w:rPr>
        <w:t>-</w:t>
      </w:r>
      <w:r w:rsidRPr="0057434E">
        <w:rPr>
          <w:rFonts w:cs="Times New Roman"/>
        </w:rPr>
        <w:t>procedural risk (1.8% vs 0.3%) but lower subsequent ipsilateral stroke risk (1.9% vs 5.0%).</w:t>
      </w:r>
      <w:r w:rsidR="00F35820" w:rsidRPr="0057434E">
        <w:rPr>
          <w:rFonts w:cs="Times New Roman"/>
        </w:rPr>
        <w:fldChar w:fldCharType="begin"/>
      </w:r>
      <w:r w:rsidR="00E2649B">
        <w:rPr>
          <w:rFonts w:cs="Times New Roman"/>
        </w:rPr>
        <w:instrText xml:space="preserve"> ADDIN ZOTERO_ITEM CSL_CITATION {"citationID":"RvzRruJ9","properties":{"formattedCitation":"\\super 10\\nosupersub{}","plainCitation":"10","noteIndex":0},"citationItems":[{"id":11004,"uris":["http://zotero.org/users/14458687/items/KZ7Y2FGL"],"itemData":{"id":11004,"type":"article-journal","abstract":"BACKGROUND Improvements in medical therapy, carotid-artery stenting, and carotid endarterectomy call into question the preferred management of asymptomatic carotid stenosis. Whether adding revascularization to intensive medical management would provide greater benefit than intensive medical management alone is unclear.\nMETHODS We conducted two parallel, observer-blinded clinical trials that enrolled patients with high-grade (≥70%) asymptomatic carotid stenosis across 155 centers in five countries. The stenting trial compared intensive medical management alone (medical-therapy group) with carotid-artery stenting plus intensive medical management (stenting group); the endarterectomy trial compared intensive medical management alone (medical-therapy group) with carotid endarterectomy plus intensive medical management (endarterectomy group). The primary outcome was a composite of any stroke or death, assessed from randomization to 44 days, or ipsilateral ischemic stroke, assessed during the remaining follow-up period up to 4 years.\nRESULTS A total of 1245 patients underwent randomization in the stenting trial and 1240 in the endarterectomy trial. In the stenting trial, the 4-year incidence of primaryoutcome events was 6.0% (95% confidence interval [CI], 3.8 to 8.3) in the medicaltherapy group and 2.8% (95% CI, 1.5 to 4.3) in the stenting group (P = 0.02 for the absolute difference). In the endarterectomy trial, the 4-year incidence of primaryoutcome events was 5.3% (95% CI, 3.3 to 7.4) in the medical-therapy group and 3.7% (95% CI, 2.1 to 5.5) in the endarterectomy group (P = 0.24 for the absolute difference). From day 0 to 44, in the stenting trial, no strokes or deaths occurred in the medical-therapy group and seven strokes and one death occurred in the stenting group; in the endarterectomy trial, three strokes occurred in the medical-therapy group and nine strokes occurred in the endarterectomy group.\nCONCLUSIONS Among patients with high-grade stenosis without recent symptoms, the addition of stenting led to a lower risk of a composite of perioperative stroke or death or ipsilateral stroke within 4 years than intensive medical management alone. Carotid endarterectomy did not lead to a significant benefit. (Funded by the National Institute of Neurological Disorders and Stroke and others; CREST-2 ClinicalTrials.gov number, NCT02089217.)","container-title":"New England Journal of Medicine","DOI":"10.1056/NEJMoa2508800","ISSN":"0028-4793, 1533-4406","journalAbbreviation":"N Engl J Med","language":"en","license":"http://www.nejmgroup.org/legal/terms-of-use.htm","page":"NEJMoa2508800","source":"DOI.org (Crossref)","title":"Medical Management and Revascularization for Asymptomatic Carotid Stenosis","author":[{"family":"Brott","given":"Thomas G."},{"family":"Howard","given":"George"},{"family":"Lal","given":"Brajesh K."},{"family":"Voeks","given":"Jenifer H."},{"family":"Turan","given":"Tanya N."},{"family":"Roubin","given":"Gary S."},{"family":"Lazar","given":"Ronald M."},{"family":"Brown","given":"Robert D."},{"family":"Huston","given":"John"},{"family":"Edwards","given":"Lloyd J."},{"family":"Jones","given":"Michael"},{"family":"Clark","given":"Wayne M."},{"family":"Chamorro","given":"Ángel"},{"family":"Llull","given":"Laura"},{"family":"Mena-Hurtado","given":"Carlos"},{"family":"Heck","given":"Donald"},{"family":"Marshall","given":"Randolph S."},{"family":"Howard","given":"Virginia J."},{"family":"Moore","given":"Wesley S."},{"family":"Barrett","given":"Kevin M."},{"family":"Demaerschalk","given":"Bart M."},{"family":"Sangha","given":"Navdeep"},{"family":"Aronow","given":"Herbert"},{"family":"Foster","given":"Malcolm"},{"family":"Sternbergh","given":"W. Charles"},{"family":"Shawl","given":"Fayaz"},{"family":"Lanzino","given":"Giuseppe"},{"family":"Rapp","given":"Joseph"},{"family":"Tran","given":"Hoang S."},{"family":"Ecker","given":"Robert"},{"family":"Mackey","given":"Ariane"},{"family":"Ali","given":"Vaqar"},{"family":"Given","given":"Curtis"},{"family":"Teal","given":"Philip"},{"family":"Kashyap","given":"Vikram S."},{"family":"Mukherjee","given":"Dipankar"},{"family":"Harrigan","given":"Mark"},{"family":"Silverman","given":"Scott"},{"family":"Koopmann","given":"Matthew"},{"family":"Wadley","given":"Virginia G."},{"family":"Zhang","given":"Yu"},{"family":"Rhodes","given":"J. David"},{"family":"Chaturvedi","given":"Seemant"},{"family":"Meschia","given":"James F."}],"issued":{"date-parts":[["2025",11,21]]}}}],"schema":"https://github.com/citation-style-language/schema/raw/master/csl-citation.json"} </w:instrText>
      </w:r>
      <w:r w:rsidR="00F35820" w:rsidRPr="0057434E">
        <w:rPr>
          <w:rFonts w:cs="Times New Roman"/>
        </w:rPr>
        <w:fldChar w:fldCharType="separate"/>
      </w:r>
      <w:r w:rsidR="00E2649B" w:rsidRPr="00E2649B">
        <w:rPr>
          <w:rFonts w:cs="Times New Roman"/>
          <w:kern w:val="0"/>
          <w:vertAlign w:val="superscript"/>
        </w:rPr>
        <w:t>10</w:t>
      </w:r>
      <w:r w:rsidR="00F35820" w:rsidRPr="0057434E">
        <w:rPr>
          <w:rFonts w:cs="Times New Roman"/>
        </w:rPr>
        <w:fldChar w:fldCharType="end"/>
      </w:r>
      <w:r w:rsidRPr="0057434E">
        <w:rPr>
          <w:rFonts w:cs="Times New Roman"/>
        </w:rPr>
        <w:t xml:space="preserve"> Collectively, these data support a net longer-term protective effect of both CAS and CEA in carefully selected asymptomatic patients receiving contemporary intensive medical therapy, while underscoring the need for surveillance and management of post-procedural failure mechanisms that can drive recurrent events.</w:t>
      </w:r>
    </w:p>
    <w:p w14:paraId="33F9C65F" w14:textId="051EFC18" w:rsidR="00E94B0B" w:rsidRPr="0057434E" w:rsidRDefault="00EF0B6C" w:rsidP="00B442B0">
      <w:pPr>
        <w:spacing w:line="480" w:lineRule="auto"/>
        <w:ind w:firstLine="720"/>
        <w:rPr>
          <w:rFonts w:cs="Times New Roman"/>
        </w:rPr>
      </w:pPr>
      <w:r w:rsidRPr="0057434E">
        <w:rPr>
          <w:rFonts w:cs="Times New Roman"/>
        </w:rPr>
        <w:t>Glucagon-like peptide-1 receptor agonists (</w:t>
      </w:r>
      <w:r w:rsidR="00882D20">
        <w:rPr>
          <w:rFonts w:cs="Times New Roman"/>
        </w:rPr>
        <w:t>GLP</w:t>
      </w:r>
      <w:r w:rsidR="00033DA6">
        <w:rPr>
          <w:rFonts w:cs="Times New Roman"/>
        </w:rPr>
        <w:t>-</w:t>
      </w:r>
      <w:r w:rsidR="00882D20">
        <w:rPr>
          <w:rFonts w:cs="Times New Roman"/>
        </w:rPr>
        <w:t>1RA</w:t>
      </w:r>
      <w:r w:rsidRPr="0057434E">
        <w:rPr>
          <w:rFonts w:cs="Times New Roman"/>
        </w:rPr>
        <w:t>s) were originally developed for type 2 diabetes by mimicking endogenous GLP-1 to improve insulin secretion and glycemic control.</w:t>
      </w:r>
      <w:r w:rsidRPr="0057434E">
        <w:rPr>
          <w:rFonts w:cs="Times New Roman"/>
        </w:rPr>
        <w:fldChar w:fldCharType="begin"/>
      </w:r>
      <w:r w:rsidR="00E2649B">
        <w:rPr>
          <w:rFonts w:cs="Times New Roman"/>
        </w:rPr>
        <w:instrText xml:space="preserve"> ADDIN ZOTERO_ITEM CSL_CITATION {"citationID":"3h9n33ZD","properties":{"formattedCitation":"\\super 11\\nosupersub{}","plainCitation":"11","noteIndex":0},"citationItems":[{"id":10028,"uris":["http://zotero.org/users/14458687/items/NGLMVU2S"],"itemData":{"id":10028,"type":"article-journal","abstract":"Glucagon-like peptide 1 receptor agonists (GLP-1RAs) have emerged as promising therapeutic agents with potent anti-inflammatory properties and diverse clinical implications. This in-depth review article explores the mechanisms behind the anti-inflammatory actions of GLP-1RAs and assesses their prospective applicability in a wide range of disease scenarios. The current review establishes the significance of comprehending the anti-inflammatory role of GLP-1RAs and identifies pertinent research gaps. A concise overview of inflammation and its clinical consequences underscores the critical need for effective anti-inflammatory interventions. Subsequently, the article elucidates the intricate mechanisms through which GLP-1RAs modulate immune cell signaling and regulate the nuclear factor-kappa B (NF-κB) pathway. Detailed discussions encompass their impact on inflammatory responses, cytokine production, and attenuation of oxidative stress. The exposition is substantiated by a collection of pertinent examples and an extensive array of references from both preclinical and clinical investigations. The historical trajectory of GLP-1RA drugs, including exenatide, lixisenatide, liraglutide, and semaglutide, is traced to delineate their development as therapeutic agents. Moreover, the review emphasizes the therapeutic potential of GLP-1RAs in specific disease contexts like type 2 diabetes, a neurodegenerative disorder, and inflammatory bowel disease (IBD), shedding light on their anti-inflammatory effects through rigorous examination of preclinical and clinical studies. The article also provides an outlook on future perspectives for GLP-1RAs, encompassing the domains of diabetes, neurodegenerative diseases, and IBD. In conclusion, GLP-1RAs exhibit substantial anti-inflammatory effects, rendering them promising therapeutic agents with broad clinical implications. They are very useful in a wide variety of diseases because they regulate immunological responses, block NF-κB activation, and decrease production of pro-inflammatory cytokines. Ongoing research endeavors aim to optimize their therapeutic use, delineate patient-specific treatment paradigms, and explore novel therapeutic applications. GLP-1RAs represent a significant breakthrough in antiinflammatory therapy, offering novel treatment options, and improved patient outcomes.","container-title":"Therapeutic Advances in Endocrinology and Metabolism","DOI":"10.1177/20420188231222367","ISSN":"2042-0188, 2042-0196","journalAbbreviation":"Therapeutic Advances in Endocrinology","language":"en","page":"20420188231222367","source":"DOI.org (Crossref)","title":"Anti-inflammatory role of glucagon-like peptide 1 receptor agonists and its clinical implications","volume":"15","author":[{"family":"Alharbi","given":"Saleh Hadi"}],"issued":{"date-parts":[["2024",1]]}}}],"schema":"https://github.com/citation-style-language/schema/raw/master/csl-citation.json"}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11</w:t>
      </w:r>
      <w:r w:rsidRPr="0057434E">
        <w:rPr>
          <w:rFonts w:cs="Times New Roman"/>
        </w:rPr>
        <w:fldChar w:fldCharType="end"/>
      </w:r>
      <w:r w:rsidRPr="0057434E">
        <w:rPr>
          <w:rFonts w:cs="Times New Roman"/>
        </w:rPr>
        <w:t xml:space="preserve"> Their role has rapidly broadened as cardiovascular outcomes trials and meta-analyses have shown consistent reductions in major adverse cardiovascular events—cardiovascular death, myocardial infarction, and stroke—along with substantial weight loss, lower blood pressure, and improved lipid profiles. Emerging evidence also supports benefits in diabetic kidney disease</w:t>
      </w:r>
      <w:r w:rsidR="0080487C" w:rsidRPr="0057434E">
        <w:rPr>
          <w:rFonts w:cs="Times New Roman"/>
        </w:rPr>
        <w:t>,</w:t>
      </w:r>
      <w:r w:rsidRPr="0057434E">
        <w:rPr>
          <w:rFonts w:cs="Times New Roman"/>
        </w:rPr>
        <w:t xml:space="preserve"> hospitalization </w:t>
      </w:r>
      <w:r w:rsidR="0080487C" w:rsidRPr="0057434E">
        <w:rPr>
          <w:rFonts w:cs="Times New Roman"/>
        </w:rPr>
        <w:t xml:space="preserve">following </w:t>
      </w:r>
      <w:r w:rsidRPr="0057434E">
        <w:rPr>
          <w:rFonts w:cs="Times New Roman"/>
        </w:rPr>
        <w:t>heart failure</w:t>
      </w:r>
      <w:r w:rsidR="0080487C" w:rsidRPr="0057434E">
        <w:rPr>
          <w:rFonts w:cs="Times New Roman"/>
        </w:rPr>
        <w:t>, intracranial aneurysm rupture severity and asymptomatic intracranial atherosclerosis</w:t>
      </w:r>
      <w:r w:rsidRPr="0057434E">
        <w:rPr>
          <w:rFonts w:cs="Times New Roman"/>
        </w:rPr>
        <w:t>.</w:t>
      </w:r>
      <w:r w:rsidR="00926848" w:rsidRPr="0057434E">
        <w:rPr>
          <w:rFonts w:cs="Times New Roman"/>
        </w:rPr>
        <w:fldChar w:fldCharType="begin"/>
      </w:r>
      <w:r w:rsidR="00E2649B">
        <w:rPr>
          <w:rFonts w:cs="Times New Roman"/>
        </w:rPr>
        <w:instrText xml:space="preserve"> ADDIN ZOTERO_ITEM CSL_CITATION {"citationID":"WzabEW4X","properties":{"unsorted":false,"formattedCitation":"\\super 12\\uc0\\u8211{}18\\nosupersub{}","plainCitation":"12–18","noteIndex":0},"citationItems":[{"id":10302,"uris":["http://zotero.org/users/14458687/items/CPV4RGY5"],"itemData":{"id":10302,"type":"article-journal","abstract":"BACKGROUND: Sodium-glucose cotransporter-2 inhibitors (SGLT2is) and glucagon-like peptide-1 receptor agonists (GLP-1RAs) mitigate cardiovascular risk in individuals with type 2 diabetes, but most eligible patients do not receive them. We characterized temporal trends in SGLT2i and GLP-1RA use by cardiologists compared with other groups of clinicians.\nMETHODS AND RESULTS: We conducted a descriptive analysis of serial, cross-sectional data derived from IQVIA’s National Prescription Audit, a comprehensive audit capturing ≈90% of US retail prescription dispensing and projected to populationlevel data, to estimate monthly SGLT2is and GLP-1RAs dispensed from January 2015 to December 2020, stratified by prescriber specialty and molecule. We also used the American Medical Association’s Physician Masterfile to calculate average annual SGLT2is and GLP-1RAs dispensed per physician. Between January 2015 and December 2020, a total of 63.2 million SGLT2i and 63.4 million GLP-1RA prescriptions were dispensed in the United States. Monthly prescriptions from cardiologists increased 12-fold for SGLT2is (from 2228 to 25 815) and 4-fold for GLP-1RAs (from 1927 to 6981). Nonetheless, cardiologists represented only 1.5% of SGLT2i prescriptions and 0.4% of GLP-1RA prescriptions in 2020, while total use was predominated by primary care physicians/internists (57% of 2020 SGLT2is and 52% of GLP-1RAs). Endocrinologists led in terms of prescriptions dispensed per physician in 2020 (272 SGLT2is and 405 GLP-1RAs). Cardiologists, but not noncardiologists, increasingly used SGLT2is over GLP-1RAs, with accelerated uptake of empagliflozin and dapagliflozin coinciding with their landmark cardiovascular outcomes trials and subsequent US Food and Drug Administration label expansions.\nCONCLUSIONS: While use of SGLT2is and GLP-1RAs by cardiologists in the United States increased substantially over a 6-year period, cardiologists still account for a very small proportion of all use, contributing to marked undertreatment of individuals with type 2 diabetes at high cardiovascular risk.","container-title":"Journal of the American Heart Association","DOI":"10.1161/JAHA.121.023811","ISSN":"2047-9980","issue":"9","journalAbbreviation":"JAHA","language":"en","page":"e023811","source":"DOI.org (Crossref)","title":"National Trends in Use of Sodium‐Glucose Cotransporter‐2 Inhibitors and Glucagon‐like Peptide‐1 Receptor Agonists by Cardiologists and Other Specialties, 2015 to 2020","volume":"11","author":[{"family":"Adhikari","given":"Rishav"},{"family":"Jha","given":"Kunal"},{"family":"Dardari","given":"Zeina"},{"family":"Heyward","given":"James"},{"family":"Blumenthal","given":"Roger S."},{"family":"Eckel","given":"Robert H."},{"family":"Alexander","given":"G. Caleb"},{"family":"Blaha","given":"Michael J."}],"issued":{"date-parts":[["2022",5,3]]}}},{"id":10021,"uris":["http://zotero.org/users/14458687/items/KIWXHJCT"],"itemData":{"id":10021,"type":"article-journal","abstract":"OBJECTIVE To evaluate the association of semaglutide and tirzepatide with the incidence of dementia, Parkinson disease, ischemic stroke, intracerebral hemorrhage, and all-cause mortality compared with other antidiabetic drugs in adults with type 2 diabetes and obesity. DESIGN, SETTING, AND PARTICIPANTS This retrospective cohort study analyzed electronic health record–based data from the TriNetX US network (December 1, 2017, to June 30, 2024) in adults aged 40 years or older with type 2 diabetes and obesity initiating semaglutide, tirzepatide, or other antidiabetic drugs, excluding those with prior neurodegenerative or cerebrovascular diseases. Propensity score matching was used to balance the baseline characteristics. EXPOSURES Patients treated with antidiabetic drugs were categorized as GLP-1RA (semaglutide or tirzepatide) or other antidiabetic drug (biguanides, sulfonylureas, dipeptidyl peptidase 4 inhibitors, sodium-glucose cotransporter 2 inhibitors, thiazolidinediones, and α-glucosidase inhibitors) users. MAIN OUTCOMES AND MEASURES The primary outcomes were the incidence of neurodegenerative diseases (dementia, Parkinson disease, and mild cognitive impairment) and cerebrovascular (stroke and intracerebral hemorrhage) diseases, while the secondary outcome was all-cause mortality. Cox proportional hazard models were used to estimate hazard ratios (HRs) with 95% CIs.\nRESULTS A total of 60 860 adults with type 2 diabetes and obesity were included, with 30 430 each in the GLP-1RA group (mean [SD] age, 57.9 [9.9] years; 50.2% female) and the other antidiabetic drug group (mean [SD] age, 58.0 [10.8] years; 51.4% female) after propensity score matching. During a 7-year follow-up, GLP-1RA users had a lower risk of dementia (HR, 0.63; 95% CI, 0.50-0.81), stroke (HR, 0.81; 95% CI, 0.70-0.93), and all-cause mortality (HR, 0.70; 95% CI, 0.63-0.78), with no significant differences in the risk of Parkinson disease or intracerebral hemorrhage. Subgroup analyses revealed greater benefits in patients aged 60 years or older, women, and patients with a body mass index of 30 to 40.\nCONCLUSIONS AND RELEVANCE In this cohort study, the use of GLP-1RAs semaglutide and tirzepatide was associated with a lower risk of dementia, stroke, and all-cause mortality in adults with type 2 diabetes and obesity. These findings suggest potential neuroprotective and cerebrovascular benefits of GLP-1RAs beyond glycemic control, warranting further trials to confirm these outcomes.","container-title":"JAMA Network Open","DOI":"10.1001/jamanetworkopen.2025.21016","ISSN":"2574-3805","issue":"7","journalAbbreviation":"JAMA Netw Open","language":"en","page":"e2521016","source":"DOI.org (Crossref)","title":"Neurodegeneration and Stroke After Semaglutide and Tirzepatide in Patients With Diabetes and Obesity","volume":"8","author":[{"family":"Lin","given":"Huan-Tang"},{"family":"Tsai","given":"Yung-Fong"},{"family":"Liao","given":"Pei-Lun"},{"family":"Wei","given":"James Cheng-Chung"}],"issued":{"date-parts":[["2025",7,15]]}}},{"id":16120,"uris":["http://zotero.org/users/14458687/items/HF7P25BP"],"itemData":{"id":16120,"type":"article-journal","abstract":"Background: Asymptomatic intracranial atherosclerotic arterial stenosis (ICAS) is an underrecognized entity for which vascular risk-factor optimization is the primary management strategy, with no current indication for routine antiplatelet therapy or endovascular intervention for primary stroke prevention. Glucagon-like peptide-1 receptor agonists (GLP-1RAs) reduce major adverse cardiovascular events, including stroke, in high-risk cardiometabolic populations, but their association with outcomes in asymptomatic ICAS is yet to be evaluated. The present study aims to evaluate the association between GLP-1RA use and cerebrovascular outcomes in adults with asymptomatic ICAS. Materials and Methods: We used the TriNetX US Collaborative Network (71 healthcare organizations) to identify adults (≥18 years) with ICAS between 1 January 2016 and 31 December 2025, and excluded patients with prior cerebral infarction, intracranial hemorrhage, or cerebrovascular ischemic syndromes. Exposure was defined as initiation of any GLP-1 receptor agonist (lixisenatide, semaglutide, liraglutide, tirzepatide, dulaglutide) during the 6 months before or on the date of index ICAS diagnosis. Outcomes were assessed at 1 year, and included ischemic stroke, all-cause mortality, and a composite of ischemic stroke or mortality. Propensity-score matching (1:1) was performed, including demographics, vascular risk factors, comorbidities, antithrombotics, lipid/diabetes therapies, and cardiometabolic laboratory/physiologic measures. Results: Before matching, 1746 GLP-1RA users and 71,792 non-users met inclusion criteria; after matching, 1728 patients remained in each cohort. GLP-1RA use was associated with lower 1-year risk of ischemic stroke (4.40% vs. 6.10%; hazard ratio [HR] 0.70, 95% CI 0.52–0.95; p = 0.044), lower all-cause mortality (3.40% vs. 9.40%; HR 0.35, 95% CI 0.26–0.47; p &lt; 0.001), and lower composite outcome risk (7.50% vs. 15.00%; HR 0.48, 95% CI 0.39–0.59; p &lt; 0.001). Notably, these associations were observed despite matching for HbA1c, LDL cholesterol, BMI, and systolic blood pressure, suggesting potential effects beyond measured cardiometabolic risk profiles. Conclusions: In this large, propensity-matched cohort of adults with a-ICAS, GLP-1RA use was associated with lower ischemic stroke, all-cause mortality, and composite outcome at 1 year. These findings are hypothesis-generating and require further prospective studies to confirm this observation.","container-title":"Neurology International","DOI":"10.3390/neurolint18050098","ISSN":"2035-8377","issue":"5","language":"en","license":"http://creativecommons.org/licenses/by/3.0/","page":"98","publisher":"Multidisciplinary Digital Publishing Institute","source":"www.mdpi.com","title":"Association of Glucagon-like Peptide-1 Receptor Agonist Use with Stroke and Mortality Outcomes in Asymptomatic Intracranial Atherosclerotic Disease: Propensity Score-Matched Real-World Analysis","title-short":"Association of Glucagon-like Peptide-1 Receptor Agonist Use with Stroke and Mortality Outcomes in Asymptomatic Intracranial Atherosclerotic Disease","volume":"18","author":[{"family":"Rai","given":"Pranjal"},{"family":"Mandel","given":"Daniel"},{"family":"Bathla","given":"Girish"},{"family":"Dhaduk","given":"Vidhi"},{"family":"Rajeev","given":"Radhika"},{"family":"Kakadiya","given":"Jay"},{"family":"Chen","given":"Huanwen Alvin"},{"family":"Salim","given":"Hamza A."},{"family":"Azzam","given":"Ahmed Y."},{"family":"Essibayi","given":"Muhammed Amir"},{"family":"Connolly","given":"Brian"},{"family":"Buzzelli","given":"Marc"},{"family":"Yedavalli","given":"Vivek S."},{"family":"Khan","given":"Majid"},{"family":"Dmytriw","given":"Adam A."},{"family":"Altschul","given":"David J."},{"family":"McIntyre","given":"Matthew K."},{"family":"Colasurdo","given":"Marco"},{"family":"Malhotra","given":"Ajay"},{"family":"Gandhi","given":"Dheeraj"},{"family":"Lakhani","given":"Dhairya A."}],"issued":{"date-parts":[["2026",5]]}}},{"id":11114,"uris":["http://zotero.org/users/14458687/items/V5PL5M54"],"itemData":{"id":11114,"type":"article-journal","abstract":"Glucagon-like peptide-1 receptor agonists (GLP-1As) have been shown to be beneficial in primary stroke prevention for high-risk patients. However, their benefits following major ischemic events are unclear. Herein, we present real-world analysis assessing outcomes of GLP-1A following major ischemic event.","container-title":"Journal of Neurology","DOI":"10.1007/s00415-025-13470-w","ISSN":"1432-1459","issue":"11","journalAbbreviation":"J Neurol","language":"en","page":"716","source":"Springer Link","title":"Outcomes of GLP-1 receptor agonist use following ischemic stroke: a propensity score-matched real-world analysis","title-short":"Outcomes of GLP-1 receptor agonist use following ischemic stroke","volume":"272","author":[{"family":"Rai","given":"Pranjal"},{"family":"Bathla","given":"Girish"},{"family":"Praveen","given":"Niharika"},{"family":"Gopikonda","given":"Shreya Sri"},{"family":"Chen","given":"Huanwen Alvin"},{"family":"Salim","given":"Hamza A."},{"family":"Azzam","given":"Ahmed"},{"family":"Essibayi","given":"Muhammed Amir"},{"family":"Altschul","given":"David J."},{"family":"Dmytriw","given":"Adam A."},{"family":"Yedavalli","given":"Vivek S."},{"family":"Latifi","given":"Shahrzad"},{"family":"Malhotra","given":"Ajay"},{"family":"Colasurdo","given":"Marco"},{"family":"Gandhi","given":"Dheeraj"},{"family":"Lakhani","given":"Dhairya A."}],"issued":{"date-parts":[["2025",10,21]]}}},{"id":16123,"uris":["http://zotero.org/users/14458687/items/P98BECAL"],"itemData":{"id":16123,"type":"article-journal","abstract":"BACKGROUND: Asymptomatic carotid stenosis is a prevalent manifestation of atherosclerotic disease and, despite contemporary guideline-directed medical therapy, remains associated with downstream cerebrovascular events and mortality. Given the vascular and cardiometabolic benefits of glucagon-like peptide-1 receptor agonists (GLP-1As), we evaluated whether GLP-1A exposure is associated with lower long-term event rates in patients with asymptomatic carotid stenosis.\nMETHODS: This retrospective study used the TriNetX US Collaborative Network. Adults (≥18 years) with carotid stenosis (January 1, 2016-September 30, 2025) were included; patients with prior/baseline cerebrovascular events and those undergoing carotid revascularization within 6 months were excluded to operationalize an asymptomatic cohort. GLP-1A exposure was defined as any GLP-1A use within 6 months following carotid stenosis diagnosis; non-exposed patients served as comparators. Cohorts were propensity score-matched 1:1, and outcomes were assessed using Kaplan-Meier and Cox proportional hazards models.\nRESULTS: After matching, 30,332 patients were included in each cohort. GLP-1A exposure was associated with lower hazards of ischemic stroke (HR 0.63/0.71/0.73 at 1/3/5 years; 5-year cumulative event probability 5.55% vs 6.85%), hemorrhagic stroke (HR 0.63/0.69/0.74; 2.04% vs 2.35%), large-vessel occlusion stroke (HR 0.70/0.77/0.81; 2.04% vs 2.27%), and all-cause mortality (HR 0.42/0.58/0.64; 17.11% vs 21.49%). The composite of ischemic stroke or mortality was also lower (HR 0.48/0.61/0.66; 20.88% vs 25.85% at 5 years) in the GLP-1A exposed cohort.\nCONCLUSIONS: In large real-world cohort with asymptomatic carotid stenosis, GLP-1A exposure was associated with lower hazards of stroke subtypes, large-vessel occlusion stroke, and mortality across 1-5 years. These observational findings warrant prospective validation to clarify causality and optimal integration into contemporary medical management.","container-title":"American Journal of Neuroradiology","DOI":"10.3174/ajnr.A9443","ISSN":"0195-6108, 1936-959X","language":"en","license":"© 2026 by American Journal of Neuroradiology","PMID":"42229997","publisher":"American Journal of Neuroradiology","section":"Neurointervention","source":"www.ajnr.org","title":"Glucagon-Like Peptide-1 Receptor Agonist Exposure and Long-Term Outcomes in Patients with Asymptomatic Carotid Stenosis: A Propensity Score-Matched Real-World Analysis","title-short":"Glucagon-Like Peptide-1 Receptor Agonist Exposure and Long-Term Outcomes in Patients with Asymptomatic Carotid Stenosis","URL":"https://www.ajnr.org/content/early/2026/06/01/ajnr.A9443","author":[{"family":"Rai","given":"Pranjal"},{"family":"Bathla","given":"Girish"},{"family":"Aggarwal","given":"Eishvauk"},{"family":"Chen","given":"Huanwen Alvin"},{"family":"Kakadiya","given":"Jay"},{"family":"McIntyre","given":"Matthew K."},{"family":"Salim","given":"Hamza A."},{"family":"Azzam","given":"Ahmed Y."},{"family":"Essibayi","given":"Muhammed Amir"},{"family":"Yedavalli","given":"Vivek S."},{"family":"Khan","given":"Majid"},{"family":"Dmytriw","given":"Adam A."},{"family":"Altschul","given":"David J."},{"family":"Abaricia","given":"Jefferson O."},{"family":"Colasurdo","given":"Marco"},{"family":"Malhotra","given":"Ajay"},{"family":"Gandhi","given":"Dheeraj"},{"family":"Lakhani","given":"Dhairya A."}],"accessed":{"date-parts":[["2026",7,28]]},"issued":{"date-parts":[["2026",6,2]]}}},{"id":16129,"uris":["http://zotero.org/users/14458687/items/2ZBJ5AMP"],"itemData":{"id":16129,"type":"article-journal","container-title":"Journal of the Neurological Sciences","DOI":"10.1016/j.jns.2026.126106","ISSN":"0022-510X, 1878-5883","journalAbbreviation":"Journal of the Neurological Sciences","language":"English","PMID":"42492143","publisher":"Elsevier","source":"www.jns-journal.com","title":"Association between glucagon-like peptide-1 receptor agonist use and ischemic stroke severity","URL":"https://www.jns-journal.com/article/S0022-510X(26)00388-6/abstract","volume":"489","author":[{"family":"Chen","given":"Huanwen"},{"family":"Lakhani","given":"Dhairya A."},{"family":"Yaddanapudi","given":"Sridhara S."},{"family":"Latifikhereshky","given":"Shahrzad"},{"family":"Rai","given":"Pranjal"},{"family":"Kakadiya","given":"Jay"},{"family":"Malhotra","given":"Ajay"},{"family":"Colasurdo","given":"Marco"},{"family":"Gandhi","given":"Dheeraj"}],"accessed":{"date-parts":[["2026",7,28]]},"issued":{"date-parts":[["2026",10,15]]}}},{"id":15618,"uris":["http://zotero.org/users/14458687/items/978FZA49"],"itemData":{"id":15618,"type":"article-journal","abstract":"BACKGROUND:\n\nUnruptured intracranial aneurysms (UIAs) affect up to 5% of the population, and rupture can lead to devastating subarachnoid hemorrhage. GLP-1RAs (glucagon-like peptide-1 receptor agonists) have anti-inflammatory and vasculoprotective effects, but their impact on aneurysm stability and subarachnoid hemorrhage outcomes is unexplored. This study evaluated whether GLP-1RA use is associated with reduced rupture risk and attenuated severity in the event of a rupture.\nMETHODS:\n\nWe conducted a retrospective cohort study using the TriNetX US Collaborative Network (2016–2024). Cohort 1 included patients with newly diagnosed, untreated UIA; cohort 2 included those who suffered aneurysm rupture. GLP-1RA exposure was defined as use before or within 3 months of UIA diagnosis (cohort 1) or before rupture (cohort 2). The primary outcome was aneurysm rupture risk in cohort 1. Secondary outcomes include presentation severity, vasospasm, and mortality in cohort 2. Propensity score matching balanced demographics, comorbidities, and medications.\nRESULTS:\n\nAfter propensity score match, cohort 1 of patients with untreated UIA included 8088 GLP-1RA users and 8088 nonusers. GLP-1RA use was associated with significantly lower probabilities of aneurysm rupture at 1-year (0.65% versus 1.51%; P&lt;0.001), 3-year (1.18% versus 1.85%; P&lt;0.001), and 5-year (1.49% versus 2.10%; P&lt;0.001) timepoints, representing a 48% decrease in hazards (hazard ratio, 0.52 [95% CI, 0.38–0.69]). Among patients who suffered aneurysm rupture (cohort 2, N=298 after propensity score match), prerupture GLP-1RA use (n=149) was associated with lower rates of intraparenchymal hemorrhage (17.4% versus 33.6%; P&lt;0.001), intraventricular hemorrhage (10.1% versus 23.5%; P&lt;0.001), and clinically significant vasospasm (10.7% versus 24.2%; P=0.002), as well as numerically lower rates of 30-day mortality (9.4% versus 14.1%; P=0.21).\nCONCLUSIONS:\n\nFor patients with untreated UIA, GLP-1RA use was associated with a 48% reduction in aneurysm rupture risk and, among those who suffered aneurysm rupture, milder clinical and radiographic severity. These findings suggest possible neuroprotective and vascular stabilizing effects of GLP-1RAs for patients with UIA.","container-title":"Stroke","DOI":"10.1161/STROKEAHA.126.055692","issue":"0","publisher":"American Heart Association","source":"ahajournals.org (Atypon)","title":"GLP-1 Receptor Agonist Use Is Associated With Lower Risk of Intracranial Aneurysm Rupture and Rupture Severity","URL":"https://www.ahajournals.org/doi/10.1161/STROKEAHA.126.055692","volume":"0","author":[{"family":"Chen","given":"Huanwen"},{"family":"McIntyre","given":"Matthew K."},{"family":"Kakadiya","given":"Jay"},{"family":"Rai","given":"Pranjal"},{"family":"Essibayi","given":"Muhammed Amir"},{"family":"Salim","given":"Hamza A."},{"family":"Azzam","given":"Ahmed Y."},{"family":"Latifikhereshky","given":"Shahrzad"},{"family":"Yedavalli","given":"Vivek S."},{"family":"Altschul","given":"David J."},{"family":"Dmytriw","given":"Adam A."},{"family":"Colasurdo","given":"Marco"},{"family":"Malhotra","given":"Ajay"},{"family":"Gandhi","given":"Dheeraj"},{"family":"Lakhani","given":"Dhairya A."}],"accessed":{"date-parts":[["2026",5,27]]}}}],"schema":"https://github.com/citation-style-language/schema/raw/master/csl-citation.json"} </w:instrText>
      </w:r>
      <w:r w:rsidR="00926848" w:rsidRPr="0057434E">
        <w:rPr>
          <w:rFonts w:cs="Times New Roman"/>
        </w:rPr>
        <w:fldChar w:fldCharType="separate"/>
      </w:r>
      <w:r w:rsidR="00E2649B" w:rsidRPr="00E2649B">
        <w:rPr>
          <w:rFonts w:cs="Times New Roman"/>
          <w:kern w:val="0"/>
          <w:vertAlign w:val="superscript"/>
        </w:rPr>
        <w:t>12–18</w:t>
      </w:r>
      <w:r w:rsidR="00926848" w:rsidRPr="0057434E">
        <w:rPr>
          <w:rFonts w:cs="Times New Roman"/>
        </w:rPr>
        <w:fldChar w:fldCharType="end"/>
      </w:r>
      <w:r w:rsidR="00926848" w:rsidRPr="0057434E">
        <w:rPr>
          <w:rFonts w:cs="Times New Roman"/>
        </w:rPr>
        <w:t xml:space="preserve"> </w:t>
      </w:r>
      <w:r w:rsidRPr="0057434E">
        <w:rPr>
          <w:rFonts w:cs="Times New Roman"/>
        </w:rPr>
        <w:t xml:space="preserve">Beyond these systemic effects, </w:t>
      </w:r>
      <w:r w:rsidR="00882D20">
        <w:rPr>
          <w:rFonts w:cs="Times New Roman"/>
        </w:rPr>
        <w:t>GLP</w:t>
      </w:r>
      <w:r w:rsidR="00033DA6">
        <w:rPr>
          <w:rFonts w:cs="Times New Roman"/>
        </w:rPr>
        <w:t>-</w:t>
      </w:r>
      <w:r w:rsidR="00882D20">
        <w:rPr>
          <w:rFonts w:cs="Times New Roman"/>
        </w:rPr>
        <w:t>1RA</w:t>
      </w:r>
      <w:r w:rsidRPr="0057434E">
        <w:rPr>
          <w:rFonts w:cs="Times New Roman"/>
        </w:rPr>
        <w:t>s appear to exert neuroprotective actions by dampening neuroinflammation and oxidative stress, promoting neuronal survival, and supporting cerebrovascular health, with ongoing trials in stroke prevention, cognitive impairment, and neurodegenerative diseases such as Alzheimer’s and Parkinson’s.</w:t>
      </w:r>
      <w:r w:rsidR="00FE3491" w:rsidRPr="0057434E">
        <w:rPr>
          <w:rFonts w:cs="Times New Roman"/>
        </w:rPr>
        <w:fldChar w:fldCharType="begin"/>
      </w:r>
      <w:r w:rsidR="00E2649B">
        <w:rPr>
          <w:rFonts w:cs="Times New Roman"/>
        </w:rPr>
        <w:instrText xml:space="preserve"> ADDIN ZOTERO_ITEM CSL_CITATION {"citationID":"g2JHIg99","properties":{"formattedCitation":"\\super 13,19,20\\nosupersub{}","plainCitation":"13,19,20","noteIndex":0},"citationItems":[{"id":10021,"uris":["http://zotero.org/users/14458687/items/KIWXHJCT"],"itemData":{"id":10021,"type":"article-journal","abstract":"OBJECTIVE To evaluate the association of semaglutide and tirzepatide with the incidence of dementia, Parkinson disease, ischemic stroke, intracerebral hemorrhage, and all-cause mortality compared with other antidiabetic drugs in adults with type 2 diabetes and obesity. DESIGN, SETTING, AND PARTICIPANTS This retrospective cohort study analyzed electronic health record–based data from the TriNetX US network (December 1, 2017, to June 30, 2024) in adults aged 40 years or older with type 2 diabetes and obesity initiating semaglutide, tirzepatide, or other antidiabetic drugs, excluding those with prior neurodegenerative or cerebrovascular diseases. Propensity score matching was used to balance the baseline characteristics. EXPOSURES Patients treated with antidiabetic drugs were categorized as GLP-1RA (semaglutide or tirzepatide) or other antidiabetic drug (biguanides, sulfonylureas, dipeptidyl peptidase 4 inhibitors, sodium-glucose cotransporter 2 inhibitors, thiazolidinediones, and α-glucosidase inhibitors) users. MAIN OUTCOMES AND MEASURES The primary outcomes were the incidence of neurodegenerative diseases (dementia, Parkinson disease, and mild cognitive impairment) and cerebrovascular (stroke and intracerebral hemorrhage) diseases, while the secondary outcome was all-cause mortality. Cox proportional hazard models were used to estimate hazard ratios (HRs) with 95% CIs.\nRESULTS A total of 60 860 adults with type 2 diabetes and obesity were included, with 30 430 each in the GLP-1RA group (mean [SD] age, 57.9 [9.9] years; 50.2% female) and the other antidiabetic drug group (mean [SD] age, 58.0 [10.8] years; 51.4% female) after propensity score matching. During a 7-year follow-up, GLP-1RA users had a lower risk of dementia (HR, 0.63; 95% CI, 0.50-0.81), stroke (HR, 0.81; 95% CI, 0.70-0.93), and all-cause mortality (HR, 0.70; 95% CI, 0.63-0.78), with no significant differences in the risk of Parkinson disease or intracerebral hemorrhage. Subgroup analyses revealed greater benefits in patients aged 60 years or older, women, and patients with a body mass index of 30 to 40.\nCONCLUSIONS AND RELEVANCE In this cohort study, the use of GLP-1RAs semaglutide and tirzepatide was associated with a lower risk of dementia, stroke, and all-cause mortality in adults with type 2 diabetes and obesity. These findings suggest potential neuroprotective and cerebrovascular benefits of GLP-1RAs beyond glycemic control, warranting further trials to confirm these outcomes.","container-title":"JAMA Network Open","DOI":"10.1001/jamanetworkopen.2025.21016","ISSN":"2574-3805","issue":"7","journalAbbreviation":"JAMA Netw Open","language":"en","page":"e2521016","source":"DOI.org (Crossref)","title":"Neurodegeneration and Stroke After Semaglutide and Tirzepatide in Patients With Diabetes and Obesity","volume":"8","author":[{"family":"Lin","given":"Huan-Tang"},{"family":"Tsai","given":"Yung-Fong"},{"family":"Liao","given":"Pei-Lun"},{"family":"Wei","given":"James Cheng-Chung"}],"issued":{"date-parts":[["2025",7,15]]}}},{"id":10053,"uris":["http://zotero.org/users/14458687/items/K3J796VB"],"itemData":{"id":10053,"type":"article-journal","abstract":"Glucagon-like peptide-1 receptor agonists (GLP-1RAs) show substantial efficacy in regulating blood glucose levels and lipid metabolism, initially as an effective treatment for diabetes mellitus. In recent years, GLP-1RAs have become a focal point in the medical community due to their innovative treatment mechanisms, robust therapeutic efficacy, and expansive development prospects. Notably, GLP-1RAs benefit pain management through their neuroprotective and metabolic regulatory properties, such as inhibiting inflammation responses and oxidative stress, promoting β-endorphin release and modulating several other crucial biological pathways. Hence GLP-1RAs hold promise for repurposing as treatments for pain disorders. In this narrative review, we thoroughly trace the current preclinical and clinical evidence of seven pain modalities, including inflammatory pain, osteoarthritis, visceral pain, neuropathic pain, diabetic neuropathy, cancer pain and headache, to support the efficacy and underlying biological mechanisms of GLP-1RAs as therapeutic agents for pain suffering. Despite these promising findings, further research is necessary to establish their long-term efficacy, optimal dosing strategies, and potential synergistic interactions of GLP-1RAs with existing pain management therapies. Future clinical trials should aim to distinguish the direct analgesic effects of GLP-1RAs from their metabolic benefits and explore their broader applications in pain conditions. The ongoing exploration of new indications for GLP-1RAs further highlights their transformative potential in advancing medical treatments across diverse clinical fields.","container-title":"The Journal of Headache and Pain","DOI":"10.1186/s10194-025-01979-4","ISSN":"1129-2377","issue":"1","journalAbbreviation":"The Journal of Headache and Pain","page":"46","source":"BioMed Central","title":"Advances in GLP-1 receptor agonists for pain treatment and their future potential","volume":"26","author":[{"family":"He","given":"Yongtao"},{"family":"Xu","given":"Biao"},{"family":"Zhang","given":"Mengna"},{"family":"Chen","given":"Dan"},{"family":"Wu","given":"Shuyuan"},{"family":"Gao","given":"Jie"},{"family":"Liu","given":"Yongpeng"},{"family":"Zhang","given":"Zixin"},{"family":"Kuang","given":"Junzhe"},{"family":"Fang","given":"Quan"}],"issued":{"date-parts":[["2025",2,27]]}}},{"id":10019,"uris":["http://zotero.org/users/14458687/items/HGW2LI4A"],"itemData":{"id":10019,"type":"article-journal","abstract":"Disease-modifying treatments for major neurocognitive disorders, including Alzheimer’s disease, Parkinson’s disease and other cognitive deficits, are among the main unmet needs in modern medicine. Glucagonlike peptide-1 receptor agonists (GLP-1RAs), currently licensed for the treatment of type 2 diabetes mellitus and obesity, offer a novel, multilayered mechanism for intervention in neurodegeneration through intermediate, aetiology-agnostic pathways, likely involving metabolic, inflammatory and several other relevant neurobiological processes. In vitro and animal studies have revealed promising signals of neuroprotection, with preliminary supportive evidence emerging from recent pharmacoepidemiological investigations and clinical trials. In this article, we comprehensively review studies that investigate the impact of GLP-1RAs on the various aetiologies of cognitive impairment and dementia syndromes. Focusing on evidence from human studies, we highlight how brain energy homeostasis, neurogenesis, synaptic functioning, neuroinflammation and other cellular stress responses, pathological protein aggregates, proteostasis, cerebrovascular system and blood-brain barrier dynamics may underlie GLP-1RA putative neuroprotective effects. We then report and appraise evidence from clinical studies, including observational investigations, clinical trials and pooled analyses. Finally, we discuss current challenges and perspectives ahead for research and clinical implementation of GLP-1RAs for the care of people with major neurocognitive disorders, including their individual brain penetrance potential, the need for response biomarkers and disease stage-based indications, their possible non-specific effects on brain health, their profile in terms of adverse events and other unwanted effects, the lack of long-term data for efficacy and safety, and issues surrounding cost and availability of treatment.","container-title":"Journal of Neurology, Neurosurgery &amp; Psychiatry","DOI":"10.1136/jnnp-2024-335593","ISSN":"0022-3050, 1468-330X","issue":"9","journalAbbreviation":"J Neurol Neurosurg Psychiatry","language":"en","page":"870-883","source":"DOI.org (Crossref)","title":"Glucagon-like peptide-1 receptor agonists for major neurocognitive disorders","volume":"96","author":[{"family":"De Giorgi","given":"Riccardo"},{"family":"Ghenciulescu","given":"Ana"},{"family":"Yotter","given":"Courtney"},{"family":"Taquet","given":"Maxime"},{"family":"Koychev","given":"Ivan"}],"issued":{"date-parts":[["2025",9]]}}}],"schema":"https://github.com/citation-style-language/schema/raw/master/csl-citation.json"} </w:instrText>
      </w:r>
      <w:r w:rsidR="00FE3491" w:rsidRPr="0057434E">
        <w:rPr>
          <w:rFonts w:cs="Times New Roman"/>
        </w:rPr>
        <w:fldChar w:fldCharType="separate"/>
      </w:r>
      <w:r w:rsidR="00E2649B" w:rsidRPr="00E2649B">
        <w:rPr>
          <w:rFonts w:cs="Times New Roman"/>
          <w:kern w:val="0"/>
          <w:vertAlign w:val="superscript"/>
        </w:rPr>
        <w:t>13,19,20</w:t>
      </w:r>
      <w:r w:rsidR="00FE3491" w:rsidRPr="0057434E">
        <w:rPr>
          <w:rFonts w:cs="Times New Roman"/>
        </w:rPr>
        <w:fldChar w:fldCharType="end"/>
      </w:r>
      <w:r w:rsidRPr="0057434E">
        <w:rPr>
          <w:rFonts w:cs="Times New Roman"/>
        </w:rPr>
        <w:t xml:space="preserve"> Taken together, their anti-atherosclerotic, vasculo</w:t>
      </w:r>
      <w:r w:rsidR="009420A2" w:rsidRPr="0057434E">
        <w:rPr>
          <w:rFonts w:cs="Times New Roman"/>
        </w:rPr>
        <w:t>-</w:t>
      </w:r>
      <w:r w:rsidRPr="0057434E">
        <w:rPr>
          <w:rFonts w:cs="Times New Roman"/>
        </w:rPr>
        <w:t xml:space="preserve">protective, and central nervous system effects make GLP-1RAs compelling candidates to modify clinical outcomes in </w:t>
      </w:r>
      <w:r w:rsidRPr="0057434E">
        <w:rPr>
          <w:rFonts w:cs="Times New Roman"/>
        </w:rPr>
        <w:lastRenderedPageBreak/>
        <w:t>patients with advanced atherosclerotic disease, including those undergoing carotid revascularization.</w:t>
      </w:r>
    </w:p>
    <w:p w14:paraId="103BF2BF" w14:textId="3E3F3997" w:rsidR="00FE3491" w:rsidRPr="0057434E" w:rsidRDefault="00FE3491" w:rsidP="00B442B0">
      <w:pPr>
        <w:spacing w:line="480" w:lineRule="auto"/>
        <w:ind w:firstLine="720"/>
        <w:rPr>
          <w:rFonts w:cs="Times New Roman"/>
        </w:rPr>
      </w:pPr>
      <w:r w:rsidRPr="0057434E">
        <w:rPr>
          <w:rFonts w:cs="Times New Roman"/>
        </w:rPr>
        <w:t xml:space="preserve">To date, however, no studies have specifically evaluated how </w:t>
      </w:r>
      <w:r w:rsidR="00033DA6">
        <w:rPr>
          <w:rFonts w:cs="Times New Roman"/>
        </w:rPr>
        <w:t>GLP-1RA</w:t>
      </w:r>
      <w:r w:rsidRPr="0057434E">
        <w:rPr>
          <w:rFonts w:cs="Times New Roman"/>
        </w:rPr>
        <w:t xml:space="preserve"> influences cerebrovascular and survival outcomes </w:t>
      </w:r>
      <w:r w:rsidR="00F35820" w:rsidRPr="0057434E">
        <w:rPr>
          <w:rFonts w:cs="Times New Roman"/>
        </w:rPr>
        <w:t>following</w:t>
      </w:r>
      <w:r w:rsidRPr="0057434E">
        <w:rPr>
          <w:rFonts w:cs="Times New Roman"/>
        </w:rPr>
        <w:t xml:space="preserve"> carotid revascularization. To address this gap, we used a large, real-world cohort of patients </w:t>
      </w:r>
      <w:r w:rsidR="00664EEF" w:rsidRPr="0057434E">
        <w:rPr>
          <w:rFonts w:cs="Times New Roman"/>
        </w:rPr>
        <w:t xml:space="preserve">with carotid stenosis </w:t>
      </w:r>
      <w:r w:rsidRPr="0057434E">
        <w:rPr>
          <w:rFonts w:cs="Times New Roman"/>
        </w:rPr>
        <w:t xml:space="preserve">undergoing CEA or CAS to compare </w:t>
      </w:r>
      <w:r w:rsidR="00C11919" w:rsidRPr="0057434E">
        <w:rPr>
          <w:rFonts w:cs="Times New Roman"/>
        </w:rPr>
        <w:t>outcomes</w:t>
      </w:r>
      <w:r w:rsidRPr="0057434E">
        <w:rPr>
          <w:rFonts w:cs="Times New Roman"/>
        </w:rPr>
        <w:t xml:space="preserve"> </w:t>
      </w:r>
      <w:r w:rsidR="00C11919" w:rsidRPr="0057434E">
        <w:rPr>
          <w:rFonts w:cs="Times New Roman"/>
        </w:rPr>
        <w:t xml:space="preserve">of </w:t>
      </w:r>
      <w:r w:rsidR="00033DA6">
        <w:rPr>
          <w:rFonts w:cs="Times New Roman"/>
        </w:rPr>
        <w:t>GLP-1RA</w:t>
      </w:r>
      <w:r w:rsidR="00C11919" w:rsidRPr="0057434E">
        <w:rPr>
          <w:rFonts w:cs="Times New Roman"/>
        </w:rPr>
        <w:t xml:space="preserve"> use in them</w:t>
      </w:r>
      <w:r w:rsidRPr="0057434E">
        <w:rPr>
          <w:rFonts w:cs="Times New Roman"/>
        </w:rPr>
        <w:t>. The primary outcome</w:t>
      </w:r>
      <w:r w:rsidR="009420A2" w:rsidRPr="0057434E">
        <w:rPr>
          <w:rFonts w:cs="Times New Roman"/>
        </w:rPr>
        <w:t>s</w:t>
      </w:r>
      <w:r w:rsidRPr="0057434E">
        <w:rPr>
          <w:rFonts w:cs="Times New Roman"/>
        </w:rPr>
        <w:t xml:space="preserve"> of interest were ischemic stroke</w:t>
      </w:r>
      <w:r w:rsidR="005D3805" w:rsidRPr="0057434E">
        <w:rPr>
          <w:rFonts w:cs="Times New Roman"/>
        </w:rPr>
        <w:t>s</w:t>
      </w:r>
      <w:r w:rsidRPr="0057434E">
        <w:rPr>
          <w:rFonts w:cs="Times New Roman"/>
        </w:rPr>
        <w:t xml:space="preserve">, and all-cause mortality analyzed separately within CAS and CEA </w:t>
      </w:r>
      <w:r w:rsidR="009420A2" w:rsidRPr="0057434E">
        <w:rPr>
          <w:rFonts w:cs="Times New Roman"/>
        </w:rPr>
        <w:t>cohorts</w:t>
      </w:r>
      <w:r w:rsidRPr="0057434E">
        <w:rPr>
          <w:rFonts w:cs="Times New Roman"/>
        </w:rPr>
        <w:t xml:space="preserve"> with secondary outcomes including a composite of any ischemic stroke or all-cause mortality after revascularization. </w:t>
      </w:r>
      <w:r w:rsidR="009F1629" w:rsidRPr="0057434E">
        <w:rPr>
          <w:rFonts w:cs="Times New Roman"/>
        </w:rPr>
        <w:t xml:space="preserve">Because procedure selection is highly confounded by indication and patient factors, CAS and CEA were analyzed as separate strata, and our inference was limited to the association of </w:t>
      </w:r>
      <w:r w:rsidR="00033DA6">
        <w:rPr>
          <w:rFonts w:cs="Times New Roman"/>
        </w:rPr>
        <w:t>GLP-1RA</w:t>
      </w:r>
      <w:r w:rsidR="009F1629" w:rsidRPr="0057434E">
        <w:rPr>
          <w:rFonts w:cs="Times New Roman"/>
        </w:rPr>
        <w:t xml:space="preserve"> exposure vs non-exposure within each procedural cohort</w:t>
      </w:r>
    </w:p>
    <w:p w14:paraId="66DC40C2" w14:textId="77777777" w:rsidR="00AD66C7" w:rsidRPr="0057434E" w:rsidRDefault="00AD66C7" w:rsidP="00B442B0">
      <w:pPr>
        <w:spacing w:line="480" w:lineRule="auto"/>
        <w:rPr>
          <w:rFonts w:cs="Times New Roman"/>
          <w:b/>
          <w:bCs/>
        </w:rPr>
      </w:pPr>
    </w:p>
    <w:p w14:paraId="51E001B5" w14:textId="1A912F8C" w:rsidR="008A7B39" w:rsidRPr="0057434E" w:rsidRDefault="008A7B39" w:rsidP="00B442B0">
      <w:pPr>
        <w:spacing w:line="480" w:lineRule="auto"/>
        <w:rPr>
          <w:rFonts w:cs="Times New Roman"/>
        </w:rPr>
      </w:pPr>
      <w:r w:rsidRPr="0057434E">
        <w:rPr>
          <w:rFonts w:cs="Times New Roman"/>
          <w:b/>
          <w:bCs/>
        </w:rPr>
        <w:t>Methods</w:t>
      </w:r>
    </w:p>
    <w:p w14:paraId="19AE5E77" w14:textId="77777777" w:rsidR="008A7B39" w:rsidRPr="0057434E" w:rsidRDefault="008A7B39" w:rsidP="00B442B0">
      <w:pPr>
        <w:spacing w:line="480" w:lineRule="auto"/>
        <w:rPr>
          <w:rFonts w:cs="Times New Roman"/>
          <w:b/>
          <w:bCs/>
          <w:i/>
          <w:iCs/>
        </w:rPr>
      </w:pPr>
      <w:r w:rsidRPr="0057434E">
        <w:rPr>
          <w:rFonts w:cs="Times New Roman"/>
          <w:b/>
          <w:bCs/>
          <w:i/>
          <w:iCs/>
        </w:rPr>
        <w:t>Study design and data source</w:t>
      </w:r>
    </w:p>
    <w:p w14:paraId="516AA950" w14:textId="6BEDC71D" w:rsidR="008A7B39" w:rsidRPr="0057434E" w:rsidRDefault="008A7B39" w:rsidP="00B442B0">
      <w:pPr>
        <w:spacing w:line="480" w:lineRule="auto"/>
        <w:ind w:firstLine="720"/>
        <w:rPr>
          <w:rFonts w:cs="Times New Roman"/>
        </w:rPr>
      </w:pPr>
      <w:r w:rsidRPr="0057434E">
        <w:rPr>
          <w:rFonts w:cs="Times New Roman"/>
        </w:rPr>
        <w:t xml:space="preserve">We performed a retrospective observational cohort study using de-identified electronic health record data from the </w:t>
      </w:r>
      <w:proofErr w:type="spellStart"/>
      <w:r w:rsidRPr="0057434E">
        <w:rPr>
          <w:rFonts w:cs="Times New Roman"/>
        </w:rPr>
        <w:t>TriNetX</w:t>
      </w:r>
      <w:proofErr w:type="spellEnd"/>
      <w:r w:rsidRPr="0057434E">
        <w:rPr>
          <w:rFonts w:cs="Times New Roman"/>
        </w:rPr>
        <w:t xml:space="preserve"> US Collaborative Network, which aggregates diagnoses, procedures, medications, and encounters from </w:t>
      </w:r>
      <w:r w:rsidR="00A122F1" w:rsidRPr="0057434E">
        <w:rPr>
          <w:rFonts w:cs="Times New Roman"/>
        </w:rPr>
        <w:t>70</w:t>
      </w:r>
      <w:r w:rsidRPr="0057434E">
        <w:rPr>
          <w:rFonts w:cs="Times New Roman"/>
        </w:rPr>
        <w:t xml:space="preserve"> participating healthcare organizations. The </w:t>
      </w:r>
      <w:proofErr w:type="spellStart"/>
      <w:r w:rsidRPr="0057434E">
        <w:rPr>
          <w:rFonts w:cs="Times New Roman"/>
        </w:rPr>
        <w:t>TriNetX</w:t>
      </w:r>
      <w:proofErr w:type="spellEnd"/>
      <w:r w:rsidRPr="0057434E">
        <w:rPr>
          <w:rFonts w:cs="Times New Roman"/>
        </w:rPr>
        <w:t xml:space="preserve"> platform was used to define cohorts, apply eligibility criteria, perform propensity-score matching</w:t>
      </w:r>
      <w:r w:rsidR="00033DA6">
        <w:rPr>
          <w:rFonts w:cs="Times New Roman"/>
        </w:rPr>
        <w:t xml:space="preserve"> (PSM)</w:t>
      </w:r>
      <w:r w:rsidRPr="0057434E">
        <w:rPr>
          <w:rFonts w:cs="Times New Roman"/>
        </w:rPr>
        <w:t>, and generate outcome analyses.</w:t>
      </w:r>
      <w:r w:rsidR="003060D5">
        <w:rPr>
          <w:rFonts w:cs="Times New Roman"/>
        </w:rPr>
        <w:t xml:space="preserve"> </w:t>
      </w:r>
      <w:r w:rsidR="003060D5" w:rsidRPr="003060D5">
        <w:rPr>
          <w:rFonts w:cs="Times New Roman"/>
        </w:rPr>
        <w:t>This study was conducted and reported in accordance with the Strengthening the Reporting of Observational Studies in Epidemiology (STROBE) guidelines, and a completed STROBE checklist is provided as supplementary material.</w:t>
      </w:r>
    </w:p>
    <w:p w14:paraId="03EE30BE" w14:textId="77777777" w:rsidR="008A7B39" w:rsidRPr="0057434E" w:rsidRDefault="008A7B39" w:rsidP="00B442B0">
      <w:pPr>
        <w:spacing w:line="480" w:lineRule="auto"/>
        <w:rPr>
          <w:rFonts w:cs="Times New Roman"/>
        </w:rPr>
      </w:pPr>
    </w:p>
    <w:p w14:paraId="63D091DC" w14:textId="77777777" w:rsidR="008A7B39" w:rsidRPr="0057434E" w:rsidRDefault="008A7B39" w:rsidP="00B442B0">
      <w:pPr>
        <w:spacing w:line="480" w:lineRule="auto"/>
        <w:rPr>
          <w:rFonts w:cs="Times New Roman"/>
          <w:b/>
          <w:bCs/>
          <w:i/>
          <w:iCs/>
        </w:rPr>
      </w:pPr>
      <w:r w:rsidRPr="0057434E">
        <w:rPr>
          <w:rFonts w:cs="Times New Roman"/>
          <w:b/>
          <w:bCs/>
          <w:i/>
          <w:iCs/>
        </w:rPr>
        <w:lastRenderedPageBreak/>
        <w:t>Study population and exposure definition</w:t>
      </w:r>
    </w:p>
    <w:p w14:paraId="509B30E6" w14:textId="2D0B2E48" w:rsidR="008A7B39" w:rsidRPr="0057434E" w:rsidRDefault="008A7B39" w:rsidP="00F96352">
      <w:pPr>
        <w:spacing w:line="480" w:lineRule="auto"/>
        <w:ind w:firstLine="720"/>
        <w:rPr>
          <w:rFonts w:cs="Times New Roman"/>
        </w:rPr>
      </w:pPr>
      <w:r w:rsidRPr="0057434E">
        <w:rPr>
          <w:rFonts w:cs="Times New Roman"/>
        </w:rPr>
        <w:t xml:space="preserve">Adult patients (≥18 years) with carotid artery stenosis </w:t>
      </w:r>
      <w:r w:rsidR="00C11919" w:rsidRPr="0057434E">
        <w:rPr>
          <w:rFonts w:cs="Times New Roman"/>
        </w:rPr>
        <w:t>from</w:t>
      </w:r>
      <w:r w:rsidRPr="0057434E">
        <w:rPr>
          <w:rFonts w:cs="Times New Roman"/>
        </w:rPr>
        <w:t xml:space="preserve"> January 2019</w:t>
      </w:r>
      <w:r w:rsidR="00C11919" w:rsidRPr="0057434E">
        <w:rPr>
          <w:rFonts w:cs="Times New Roman"/>
        </w:rPr>
        <w:t xml:space="preserve"> to </w:t>
      </w:r>
      <w:r w:rsidR="00EF681E">
        <w:rPr>
          <w:rFonts w:cs="Times New Roman"/>
        </w:rPr>
        <w:t xml:space="preserve">December </w:t>
      </w:r>
      <w:r w:rsidR="00C11919" w:rsidRPr="0057434E">
        <w:rPr>
          <w:rFonts w:cs="Times New Roman"/>
        </w:rPr>
        <w:t>2025</w:t>
      </w:r>
      <w:r w:rsidRPr="0057434E">
        <w:rPr>
          <w:rFonts w:cs="Times New Roman"/>
        </w:rPr>
        <w:t xml:space="preserve"> were identified using International Classification of Diseases, Tenth Revision, Clinical Modification (ICD-10-CM) diagnosis codes</w:t>
      </w:r>
      <w:r w:rsidR="00C11919" w:rsidRPr="0057434E">
        <w:rPr>
          <w:rFonts w:cs="Times New Roman"/>
        </w:rPr>
        <w:t xml:space="preserve">. Then two separate </w:t>
      </w:r>
      <w:r w:rsidR="00D8175C" w:rsidRPr="0057434E">
        <w:rPr>
          <w:rFonts w:cs="Times New Roman"/>
        </w:rPr>
        <w:t>analyses</w:t>
      </w:r>
      <w:r w:rsidR="00C11919" w:rsidRPr="0057434E">
        <w:rPr>
          <w:rFonts w:cs="Times New Roman"/>
        </w:rPr>
        <w:t xml:space="preserve"> were </w:t>
      </w:r>
      <w:r w:rsidR="00D8175C" w:rsidRPr="0057434E">
        <w:rPr>
          <w:rFonts w:cs="Times New Roman"/>
        </w:rPr>
        <w:t xml:space="preserve">conducted, one for </w:t>
      </w:r>
      <w:r w:rsidRPr="0057434E">
        <w:rPr>
          <w:rFonts w:cs="Times New Roman"/>
        </w:rPr>
        <w:t xml:space="preserve">CAS </w:t>
      </w:r>
      <w:r w:rsidR="00D8175C" w:rsidRPr="0057434E">
        <w:rPr>
          <w:rFonts w:cs="Times New Roman"/>
        </w:rPr>
        <w:t xml:space="preserve">and the other one for </w:t>
      </w:r>
      <w:r w:rsidR="00FF78E3" w:rsidRPr="0057434E">
        <w:rPr>
          <w:rFonts w:cs="Times New Roman"/>
        </w:rPr>
        <w:t>CEA</w:t>
      </w:r>
      <w:r w:rsidR="00D8175C" w:rsidRPr="0057434E">
        <w:rPr>
          <w:rFonts w:cs="Times New Roman"/>
        </w:rPr>
        <w:t>, identified using ICD</w:t>
      </w:r>
      <w:r w:rsidR="00490FDA">
        <w:rPr>
          <w:rFonts w:cs="Times New Roman"/>
        </w:rPr>
        <w:t>-10-</w:t>
      </w:r>
      <w:r w:rsidR="00D8175C" w:rsidRPr="0057434E">
        <w:rPr>
          <w:rFonts w:cs="Times New Roman"/>
        </w:rPr>
        <w:t xml:space="preserve">PCS codes </w:t>
      </w:r>
      <w:r w:rsidRPr="0057434E">
        <w:rPr>
          <w:rFonts w:cs="Times New Roman"/>
        </w:rPr>
        <w:t>(</w:t>
      </w:r>
      <w:r w:rsidR="00093DD1" w:rsidRPr="00093DD1">
        <w:rPr>
          <w:rFonts w:cs="Times New Roman"/>
          <w:b/>
          <w:bCs/>
        </w:rPr>
        <w:t>Supplementa</w:t>
      </w:r>
      <w:r w:rsidR="00033DA6">
        <w:rPr>
          <w:rFonts w:cs="Times New Roman"/>
          <w:b/>
          <w:bCs/>
        </w:rPr>
        <w:t>ry</w:t>
      </w:r>
      <w:r w:rsidR="00093DD1">
        <w:rPr>
          <w:rFonts w:cs="Times New Roman"/>
        </w:rPr>
        <w:t xml:space="preserve"> </w:t>
      </w:r>
      <w:r w:rsidRPr="00D16646">
        <w:rPr>
          <w:rFonts w:cs="Times New Roman"/>
          <w:b/>
          <w:bCs/>
        </w:rPr>
        <w:t xml:space="preserve">Table </w:t>
      </w:r>
      <w:r w:rsidR="00D16646" w:rsidRPr="00D16646">
        <w:rPr>
          <w:rFonts w:cs="Times New Roman"/>
          <w:b/>
          <w:bCs/>
        </w:rPr>
        <w:t>S</w:t>
      </w:r>
      <w:r w:rsidRPr="00D16646">
        <w:rPr>
          <w:rFonts w:cs="Times New Roman"/>
          <w:b/>
          <w:bCs/>
        </w:rPr>
        <w:t>1</w:t>
      </w:r>
      <w:r w:rsidR="00DD7A73" w:rsidRPr="00D16646">
        <w:rPr>
          <w:rFonts w:cs="Times New Roman"/>
          <w:b/>
          <w:bCs/>
        </w:rPr>
        <w:t xml:space="preserve"> and Figure 1</w:t>
      </w:r>
      <w:r w:rsidRPr="0057434E">
        <w:rPr>
          <w:rFonts w:cs="Times New Roman"/>
        </w:rPr>
        <w:t xml:space="preserve">). </w:t>
      </w:r>
    </w:p>
    <w:p w14:paraId="6CAFCD4E" w14:textId="1347444E" w:rsidR="008A7B39" w:rsidRPr="0057434E" w:rsidRDefault="00FF78E3" w:rsidP="00B442B0">
      <w:pPr>
        <w:spacing w:line="480" w:lineRule="auto"/>
        <w:ind w:firstLine="720"/>
        <w:rPr>
          <w:rFonts w:cs="Times New Roman"/>
        </w:rPr>
      </w:pPr>
      <w:r w:rsidRPr="0057434E">
        <w:rPr>
          <w:rFonts w:cs="Times New Roman"/>
        </w:rPr>
        <w:t xml:space="preserve">Two </w:t>
      </w:r>
      <w:r w:rsidR="008A7B39" w:rsidRPr="0057434E">
        <w:rPr>
          <w:rFonts w:cs="Times New Roman"/>
        </w:rPr>
        <w:t xml:space="preserve">cohorts were defined based on exposure to a </w:t>
      </w:r>
      <w:r w:rsidR="00033DA6">
        <w:rPr>
          <w:rFonts w:cs="Times New Roman"/>
        </w:rPr>
        <w:t>GLP-1RA</w:t>
      </w:r>
      <w:r w:rsidR="008A7B39" w:rsidRPr="0057434E">
        <w:rPr>
          <w:rFonts w:cs="Times New Roman"/>
        </w:rPr>
        <w:t xml:space="preserve"> after CAS: (1) The </w:t>
      </w:r>
      <w:r w:rsidRPr="0057434E">
        <w:rPr>
          <w:rFonts w:cs="Times New Roman"/>
        </w:rPr>
        <w:t>CAS-</w:t>
      </w:r>
      <w:r w:rsidR="00033DA6">
        <w:rPr>
          <w:rFonts w:cs="Times New Roman"/>
        </w:rPr>
        <w:t>GLP-1RA</w:t>
      </w:r>
      <w:r w:rsidR="008A7B39" w:rsidRPr="0057434E">
        <w:rPr>
          <w:rFonts w:cs="Times New Roman"/>
        </w:rPr>
        <w:t xml:space="preserve"> group included patients </w:t>
      </w:r>
      <w:r w:rsidR="00D8175C" w:rsidRPr="0057434E">
        <w:rPr>
          <w:rFonts w:cs="Times New Roman"/>
        </w:rPr>
        <w:t>receiving</w:t>
      </w:r>
      <w:r w:rsidR="008A7B39" w:rsidRPr="0057434E">
        <w:rPr>
          <w:rFonts w:cs="Times New Roman"/>
        </w:rPr>
        <w:t xml:space="preserve"> semaglutide, liraglutide, dulaglutide, </w:t>
      </w:r>
      <w:proofErr w:type="spellStart"/>
      <w:r w:rsidR="008A7B39" w:rsidRPr="0057434E">
        <w:rPr>
          <w:rFonts w:cs="Times New Roman"/>
        </w:rPr>
        <w:t>lixisenatide</w:t>
      </w:r>
      <w:proofErr w:type="spellEnd"/>
      <w:r w:rsidR="008A7B39" w:rsidRPr="0057434E">
        <w:rPr>
          <w:rFonts w:cs="Times New Roman"/>
        </w:rPr>
        <w:t xml:space="preserve">, or tirzepatide recorded </w:t>
      </w:r>
      <w:r w:rsidR="009F2831" w:rsidRPr="0057434E">
        <w:rPr>
          <w:rFonts w:cs="Times New Roman"/>
        </w:rPr>
        <w:t xml:space="preserve">on the day or up to </w:t>
      </w:r>
      <w:r w:rsidR="008A7B39" w:rsidRPr="0057434E">
        <w:rPr>
          <w:rFonts w:cs="Times New Roman"/>
        </w:rPr>
        <w:t xml:space="preserve">90 days after CAS. (2) The </w:t>
      </w:r>
      <w:r w:rsidRPr="0057434E">
        <w:rPr>
          <w:rFonts w:cs="Times New Roman"/>
        </w:rPr>
        <w:t>CAS-</w:t>
      </w:r>
      <w:r w:rsidR="008A7B39" w:rsidRPr="0057434E">
        <w:rPr>
          <w:rFonts w:cs="Times New Roman"/>
        </w:rPr>
        <w:t>non-</w:t>
      </w:r>
      <w:r w:rsidR="00033DA6">
        <w:rPr>
          <w:rFonts w:cs="Times New Roman"/>
        </w:rPr>
        <w:t>GLP-1RA</w:t>
      </w:r>
      <w:r w:rsidR="008A7B39" w:rsidRPr="0057434E">
        <w:rPr>
          <w:rFonts w:cs="Times New Roman"/>
        </w:rPr>
        <w:t xml:space="preserve"> group comprised patients who met the same CAS criteria but had no record of </w:t>
      </w:r>
      <w:r w:rsidR="00033DA6">
        <w:rPr>
          <w:rFonts w:cs="Times New Roman"/>
        </w:rPr>
        <w:t>GLP-1RA</w:t>
      </w:r>
      <w:r w:rsidR="008A7B39" w:rsidRPr="0057434E">
        <w:rPr>
          <w:rFonts w:cs="Times New Roman"/>
        </w:rPr>
        <w:t xml:space="preserve"> exposure</w:t>
      </w:r>
      <w:r w:rsidR="00490FDA">
        <w:rPr>
          <w:rFonts w:cs="Times New Roman"/>
        </w:rPr>
        <w:t xml:space="preserve"> within the exposure window</w:t>
      </w:r>
      <w:r w:rsidR="008A7B39" w:rsidRPr="0057434E">
        <w:rPr>
          <w:rFonts w:cs="Times New Roman"/>
        </w:rPr>
        <w:t xml:space="preserve">. </w:t>
      </w:r>
      <w:r w:rsidRPr="0057434E">
        <w:rPr>
          <w:rFonts w:cs="Times New Roman"/>
        </w:rPr>
        <w:t xml:space="preserve">In parallel, two cohorts were defined based on </w:t>
      </w:r>
      <w:r w:rsidR="00033DA6">
        <w:rPr>
          <w:rFonts w:cs="Times New Roman"/>
        </w:rPr>
        <w:t>GLP-1RA</w:t>
      </w:r>
      <w:r w:rsidRPr="0057434E">
        <w:rPr>
          <w:rFonts w:cs="Times New Roman"/>
        </w:rPr>
        <w:t xml:space="preserve"> exposure after CEA: (1) The CEA-</w:t>
      </w:r>
      <w:r w:rsidR="00033DA6">
        <w:rPr>
          <w:rFonts w:cs="Times New Roman"/>
        </w:rPr>
        <w:t>GLP-1RA</w:t>
      </w:r>
      <w:r w:rsidRPr="0057434E">
        <w:rPr>
          <w:rFonts w:cs="Times New Roman"/>
        </w:rPr>
        <w:t xml:space="preserve"> group included patients who </w:t>
      </w:r>
      <w:r w:rsidR="00D8175C" w:rsidRPr="0057434E">
        <w:rPr>
          <w:rFonts w:cs="Times New Roman"/>
        </w:rPr>
        <w:t>received</w:t>
      </w:r>
      <w:r w:rsidRPr="0057434E">
        <w:rPr>
          <w:rFonts w:cs="Times New Roman"/>
        </w:rPr>
        <w:t xml:space="preserve"> any of the aforementioned </w:t>
      </w:r>
      <w:r w:rsidR="00033DA6">
        <w:rPr>
          <w:rFonts w:cs="Times New Roman"/>
        </w:rPr>
        <w:t>GLP-1RA</w:t>
      </w:r>
      <w:r w:rsidRPr="0057434E">
        <w:rPr>
          <w:rFonts w:cs="Times New Roman"/>
        </w:rPr>
        <w:t xml:space="preserve"> agonists </w:t>
      </w:r>
      <w:r w:rsidR="009F2831" w:rsidRPr="0057434E">
        <w:rPr>
          <w:rFonts w:cs="Times New Roman"/>
        </w:rPr>
        <w:t xml:space="preserve">on the day or up to </w:t>
      </w:r>
      <w:r w:rsidRPr="0057434E">
        <w:rPr>
          <w:rFonts w:cs="Times New Roman"/>
        </w:rPr>
        <w:t>90 days after CEA. (2) The CEA-non-</w:t>
      </w:r>
      <w:r w:rsidR="00033DA6">
        <w:rPr>
          <w:rFonts w:cs="Times New Roman"/>
        </w:rPr>
        <w:t>GLP-1RA</w:t>
      </w:r>
      <w:r w:rsidRPr="0057434E">
        <w:rPr>
          <w:rFonts w:cs="Times New Roman"/>
        </w:rPr>
        <w:t xml:space="preserve"> group included patients who met the same CEA criteria but had no record of </w:t>
      </w:r>
      <w:r w:rsidR="00033DA6">
        <w:rPr>
          <w:rFonts w:cs="Times New Roman"/>
        </w:rPr>
        <w:t>GLP-1RA</w:t>
      </w:r>
      <w:r w:rsidR="00D8175C" w:rsidRPr="0057434E">
        <w:rPr>
          <w:rFonts w:cs="Times New Roman"/>
        </w:rPr>
        <w:t xml:space="preserve"> </w:t>
      </w:r>
      <w:r w:rsidR="00490FDA">
        <w:rPr>
          <w:rFonts w:cs="Times New Roman"/>
        </w:rPr>
        <w:t>exposure within the exposure window</w:t>
      </w:r>
      <w:r w:rsidRPr="0057434E">
        <w:rPr>
          <w:rFonts w:cs="Times New Roman"/>
        </w:rPr>
        <w:t>.</w:t>
      </w:r>
    </w:p>
    <w:p w14:paraId="2F641CCD" w14:textId="77777777" w:rsidR="008A7B39" w:rsidRPr="0057434E" w:rsidRDefault="008A7B39" w:rsidP="00B442B0">
      <w:pPr>
        <w:spacing w:line="480" w:lineRule="auto"/>
        <w:rPr>
          <w:rFonts w:cs="Times New Roman"/>
          <w:b/>
          <w:bCs/>
        </w:rPr>
      </w:pPr>
    </w:p>
    <w:p w14:paraId="2EB1BADE" w14:textId="77777777" w:rsidR="008A7B39" w:rsidRPr="0057434E" w:rsidRDefault="008A7B39" w:rsidP="00B442B0">
      <w:pPr>
        <w:spacing w:line="480" w:lineRule="auto"/>
        <w:rPr>
          <w:rFonts w:cs="Times New Roman"/>
          <w:b/>
          <w:bCs/>
          <w:i/>
          <w:iCs/>
        </w:rPr>
      </w:pPr>
      <w:r w:rsidRPr="0057434E">
        <w:rPr>
          <w:rFonts w:cs="Times New Roman"/>
          <w:b/>
          <w:bCs/>
          <w:i/>
          <w:iCs/>
        </w:rPr>
        <w:t>Outcomes and follow-up</w:t>
      </w:r>
    </w:p>
    <w:p w14:paraId="735A9AAE" w14:textId="0D5E974A" w:rsidR="008A7B39" w:rsidRPr="0057434E" w:rsidRDefault="00490FDA" w:rsidP="00B442B0">
      <w:pPr>
        <w:spacing w:line="480" w:lineRule="auto"/>
        <w:ind w:firstLine="720"/>
        <w:rPr>
          <w:rFonts w:cs="Times New Roman"/>
        </w:rPr>
      </w:pPr>
      <w:r w:rsidRPr="0057434E">
        <w:rPr>
          <w:rFonts w:cs="Times New Roman"/>
        </w:rPr>
        <w:t xml:space="preserve">Follow-up for outcomes began after the 3-month </w:t>
      </w:r>
      <w:r w:rsidR="00E21F4B">
        <w:rPr>
          <w:rFonts w:cs="Times New Roman"/>
        </w:rPr>
        <w:t>of carotid revascularization procedure</w:t>
      </w:r>
      <w:r>
        <w:rPr>
          <w:rFonts w:cs="Times New Roman"/>
        </w:rPr>
        <w:t xml:space="preserve"> </w:t>
      </w:r>
      <w:r w:rsidRPr="0057434E">
        <w:rPr>
          <w:rFonts w:cs="Times New Roman"/>
        </w:rPr>
        <w:t>and continued through 5 years</w:t>
      </w:r>
      <w:r>
        <w:rPr>
          <w:rFonts w:cs="Times New Roman"/>
        </w:rPr>
        <w:t xml:space="preserve"> (</w:t>
      </w:r>
      <w:r w:rsidR="008A7B39" w:rsidRPr="0057434E">
        <w:rPr>
          <w:rFonts w:cs="Times New Roman"/>
        </w:rPr>
        <w:t>1,825 days</w:t>
      </w:r>
      <w:r>
        <w:rPr>
          <w:rFonts w:cs="Times New Roman"/>
        </w:rPr>
        <w:t>)</w:t>
      </w:r>
      <w:r w:rsidR="008A7B39" w:rsidRPr="0057434E">
        <w:rPr>
          <w:rFonts w:cs="Times New Roman"/>
        </w:rPr>
        <w:t xml:space="preserve">. Outcomes included </w:t>
      </w:r>
      <w:r w:rsidR="00742F56" w:rsidRPr="0057434E">
        <w:rPr>
          <w:rFonts w:cs="Times New Roman"/>
        </w:rPr>
        <w:t>ischemic stroke</w:t>
      </w:r>
      <w:r w:rsidR="005D3805" w:rsidRPr="0057434E">
        <w:rPr>
          <w:rFonts w:cs="Times New Roman"/>
        </w:rPr>
        <w:t>s</w:t>
      </w:r>
      <w:r w:rsidR="00742F56" w:rsidRPr="0057434E">
        <w:rPr>
          <w:rFonts w:cs="Times New Roman"/>
        </w:rPr>
        <w:t xml:space="preserve">, all-cause mortality, </w:t>
      </w:r>
      <w:r w:rsidR="008A7B39" w:rsidRPr="0057434E">
        <w:rPr>
          <w:rFonts w:cs="Times New Roman"/>
        </w:rPr>
        <w:t>and a composite endpoint of ischemic stroke or death.</w:t>
      </w:r>
      <w:r w:rsidR="009F2831" w:rsidRPr="0057434E">
        <w:rPr>
          <w:rFonts w:cs="Times New Roman"/>
        </w:rPr>
        <w:t xml:space="preserve"> Only patients who were alive and free of the outcome of interest at 3 months after CEA/CAS were included in the corresponding outcome analysis. </w:t>
      </w:r>
    </w:p>
    <w:p w14:paraId="75ED02B6" w14:textId="77777777" w:rsidR="008A7B39" w:rsidRPr="0057434E" w:rsidRDefault="008A7B39" w:rsidP="00B442B0">
      <w:pPr>
        <w:spacing w:line="480" w:lineRule="auto"/>
        <w:rPr>
          <w:rFonts w:cs="Times New Roman"/>
        </w:rPr>
      </w:pPr>
    </w:p>
    <w:p w14:paraId="208E09EA" w14:textId="77777777" w:rsidR="008A7B39" w:rsidRPr="0057434E" w:rsidRDefault="008A7B39" w:rsidP="00B442B0">
      <w:pPr>
        <w:spacing w:line="480" w:lineRule="auto"/>
        <w:rPr>
          <w:rFonts w:cs="Times New Roman"/>
          <w:b/>
          <w:bCs/>
          <w:i/>
          <w:iCs/>
        </w:rPr>
      </w:pPr>
      <w:r w:rsidRPr="0057434E">
        <w:rPr>
          <w:rFonts w:cs="Times New Roman"/>
          <w:b/>
          <w:bCs/>
          <w:i/>
          <w:iCs/>
        </w:rPr>
        <w:lastRenderedPageBreak/>
        <w:t>Covariates and propensity-score matching</w:t>
      </w:r>
    </w:p>
    <w:p w14:paraId="041F0AFC" w14:textId="766C9635" w:rsidR="008A7B39" w:rsidRPr="0057434E" w:rsidRDefault="008A7B39" w:rsidP="00B442B0">
      <w:pPr>
        <w:spacing w:line="480" w:lineRule="auto"/>
        <w:ind w:firstLine="720"/>
        <w:rPr>
          <w:rFonts w:cs="Times New Roman"/>
        </w:rPr>
      </w:pPr>
      <w:r w:rsidRPr="0057434E">
        <w:rPr>
          <w:rFonts w:cs="Times New Roman"/>
        </w:rPr>
        <w:t>Baseline characteristics includ</w:t>
      </w:r>
      <w:r w:rsidR="007A5185" w:rsidRPr="0057434E">
        <w:rPr>
          <w:rFonts w:cs="Times New Roman"/>
        </w:rPr>
        <w:t>ing</w:t>
      </w:r>
      <w:r w:rsidRPr="0057434E">
        <w:rPr>
          <w:rFonts w:cs="Times New Roman"/>
        </w:rPr>
        <w:t xml:space="preserve"> demographics (age, sex, and race) and vascular risk factors and comorbidities such as atrial fibrillation/flutter, hypertension, hyperlipidemia, diabetes mellitus, nicotine dependence, heart failure, and other cardiovascular conditions</w:t>
      </w:r>
      <w:r w:rsidR="007A5185" w:rsidRPr="0057434E">
        <w:rPr>
          <w:rFonts w:cs="Times New Roman"/>
        </w:rPr>
        <w:t xml:space="preserve"> were matched</w:t>
      </w:r>
      <w:r w:rsidR="00490FDA">
        <w:rPr>
          <w:rFonts w:cs="Times New Roman"/>
        </w:rPr>
        <w:t xml:space="preserve"> before the 3-month landmark</w:t>
      </w:r>
      <w:r w:rsidRPr="0057434E">
        <w:rPr>
          <w:rFonts w:cs="Times New Roman"/>
        </w:rPr>
        <w:t xml:space="preserve">. PSM was performed within the </w:t>
      </w:r>
      <w:proofErr w:type="spellStart"/>
      <w:r w:rsidRPr="0057434E">
        <w:rPr>
          <w:rFonts w:cs="Times New Roman"/>
        </w:rPr>
        <w:t>TriNetX</w:t>
      </w:r>
      <w:proofErr w:type="spellEnd"/>
      <w:r w:rsidRPr="0057434E">
        <w:rPr>
          <w:rFonts w:cs="Times New Roman"/>
        </w:rPr>
        <w:t xml:space="preserve"> platform, balancing </w:t>
      </w:r>
      <w:r w:rsidR="00490FDA">
        <w:rPr>
          <w:rFonts w:cs="Times New Roman"/>
        </w:rPr>
        <w:t>37</w:t>
      </w:r>
      <w:r w:rsidR="00A651DE" w:rsidRPr="0057434E">
        <w:rPr>
          <w:rFonts w:cs="Times New Roman"/>
        </w:rPr>
        <w:t xml:space="preserve"> </w:t>
      </w:r>
      <w:r w:rsidRPr="0057434E">
        <w:rPr>
          <w:rFonts w:cs="Times New Roman"/>
        </w:rPr>
        <w:t xml:space="preserve">baseline characteristics. </w:t>
      </w:r>
      <w:r w:rsidR="003649A0" w:rsidRPr="003649A0">
        <w:rPr>
          <w:rFonts w:cs="Times New Roman"/>
        </w:rPr>
        <w:t xml:space="preserve">Propensity scores were estimated using logistic regression. Patients were matched 1:1 using a greedy nearest-neighbor algorithm without replacement with a caliper width of 0.1 pooled standard deviations of the logit of the propensity score, consistent with the default </w:t>
      </w:r>
      <w:proofErr w:type="spellStart"/>
      <w:r w:rsidR="003649A0" w:rsidRPr="003649A0">
        <w:rPr>
          <w:rFonts w:cs="Times New Roman"/>
        </w:rPr>
        <w:t>TriNetX</w:t>
      </w:r>
      <w:proofErr w:type="spellEnd"/>
      <w:r w:rsidR="003649A0" w:rsidRPr="003649A0">
        <w:rPr>
          <w:rFonts w:cs="Times New Roman"/>
        </w:rPr>
        <w:t xml:space="preserve"> matching algorithm. The platform randomly shuffles cohorts before matching as part of its default implementation.</w:t>
      </w:r>
      <w:r w:rsidR="00A651DE">
        <w:rPr>
          <w:rFonts w:cs="Times New Roman"/>
        </w:rPr>
        <w:t xml:space="preserve"> </w:t>
      </w:r>
      <w:r w:rsidRPr="0057434E">
        <w:rPr>
          <w:rFonts w:cs="Times New Roman"/>
        </w:rPr>
        <w:t>Covariate balance after matching was evaluated using standardized mean differences</w:t>
      </w:r>
      <w:r w:rsidR="00465CFA">
        <w:rPr>
          <w:rFonts w:cs="Times New Roman"/>
        </w:rPr>
        <w:t xml:space="preserve"> (SMD)</w:t>
      </w:r>
      <w:r w:rsidRPr="0057434E">
        <w:rPr>
          <w:rFonts w:cs="Times New Roman"/>
        </w:rPr>
        <w:t>.</w:t>
      </w:r>
      <w:r w:rsidR="00A651DE">
        <w:rPr>
          <w:rFonts w:cs="Times New Roman"/>
        </w:rPr>
        <w:t xml:space="preserve"> </w:t>
      </w:r>
      <w:r w:rsidR="00465CFA">
        <w:rPr>
          <w:rFonts w:cs="Times New Roman"/>
        </w:rPr>
        <w:t xml:space="preserve">SMDs </w:t>
      </w:r>
      <w:r w:rsidR="00465CFA" w:rsidRPr="00465CFA">
        <w:rPr>
          <w:rFonts w:cs="Times New Roman"/>
        </w:rPr>
        <w:t xml:space="preserve">were used as the primary measure of balance rather than hypothesis testing because they are independent of sample size and are recommended for evaluating </w:t>
      </w:r>
      <w:r w:rsidR="00465CFA">
        <w:rPr>
          <w:rFonts w:cs="Times New Roman"/>
        </w:rPr>
        <w:t>PSM</w:t>
      </w:r>
      <w:r w:rsidR="00465CFA" w:rsidRPr="00465CFA">
        <w:rPr>
          <w:rFonts w:cs="Times New Roman"/>
        </w:rPr>
        <w:t>.</w:t>
      </w:r>
      <w:r w:rsidR="00465CFA">
        <w:rPr>
          <w:rFonts w:cs="Times New Roman"/>
        </w:rPr>
        <w:t xml:space="preserve"> </w:t>
      </w:r>
      <w:r w:rsidR="00465CFA" w:rsidRPr="00465CFA">
        <w:rPr>
          <w:rFonts w:cs="Times New Roman"/>
        </w:rPr>
        <w:t>All matching variables were measured before the index carotid revascularization procedure.</w:t>
      </w:r>
    </w:p>
    <w:p w14:paraId="35F52922" w14:textId="77777777" w:rsidR="008A7B39" w:rsidRPr="0057434E" w:rsidRDefault="008A7B39" w:rsidP="00B442B0">
      <w:pPr>
        <w:spacing w:line="480" w:lineRule="auto"/>
        <w:rPr>
          <w:rFonts w:cs="Times New Roman"/>
          <w:b/>
          <w:bCs/>
        </w:rPr>
      </w:pPr>
    </w:p>
    <w:p w14:paraId="1937D10D" w14:textId="77777777" w:rsidR="008A7B39" w:rsidRPr="0057434E" w:rsidRDefault="008A7B39" w:rsidP="00B442B0">
      <w:pPr>
        <w:spacing w:line="480" w:lineRule="auto"/>
        <w:rPr>
          <w:rFonts w:cs="Times New Roman"/>
          <w:b/>
          <w:bCs/>
          <w:i/>
          <w:iCs/>
        </w:rPr>
      </w:pPr>
      <w:r w:rsidRPr="0057434E">
        <w:rPr>
          <w:rFonts w:cs="Times New Roman"/>
          <w:b/>
          <w:bCs/>
          <w:i/>
          <w:iCs/>
        </w:rPr>
        <w:t>Statistical analysis</w:t>
      </w:r>
    </w:p>
    <w:p w14:paraId="0D5B8F15" w14:textId="3DAB2162" w:rsidR="008A7B39" w:rsidRPr="0057434E" w:rsidRDefault="00A122F1" w:rsidP="00B442B0">
      <w:pPr>
        <w:spacing w:line="480" w:lineRule="auto"/>
        <w:ind w:firstLine="720"/>
        <w:rPr>
          <w:rFonts w:cs="Times New Roman"/>
        </w:rPr>
      </w:pPr>
      <w:r w:rsidRPr="0057434E">
        <w:rPr>
          <w:rFonts w:cs="Times New Roman"/>
        </w:rPr>
        <w:t>Baseline characteristics were presented as counts with percentages for categorical variables and means with standard deviations for continuous variables. PSM was performed in a 1:1 ratio based on demographics and comorbidities (</w:t>
      </w:r>
      <w:r w:rsidR="00033DA6">
        <w:rPr>
          <w:rFonts w:cs="Times New Roman"/>
          <w:b/>
          <w:bCs/>
        </w:rPr>
        <w:t>Supplementary</w:t>
      </w:r>
      <w:r w:rsidR="00093DD1" w:rsidRPr="00D16646">
        <w:rPr>
          <w:rFonts w:cs="Times New Roman"/>
          <w:b/>
          <w:bCs/>
        </w:rPr>
        <w:t xml:space="preserve"> </w:t>
      </w:r>
      <w:r w:rsidRPr="00D16646">
        <w:rPr>
          <w:rFonts w:cs="Times New Roman"/>
          <w:b/>
          <w:bCs/>
        </w:rPr>
        <w:t xml:space="preserve">Table </w:t>
      </w:r>
      <w:r w:rsidR="00D16646" w:rsidRPr="00D16646">
        <w:rPr>
          <w:rFonts w:cs="Times New Roman"/>
          <w:b/>
          <w:bCs/>
        </w:rPr>
        <w:t>S</w:t>
      </w:r>
      <w:r w:rsidR="002E69B8" w:rsidRPr="00D16646">
        <w:rPr>
          <w:rFonts w:cs="Times New Roman"/>
          <w:b/>
          <w:bCs/>
        </w:rPr>
        <w:t xml:space="preserve">2 and </w:t>
      </w:r>
      <w:r w:rsidR="00D16646" w:rsidRPr="00D16646">
        <w:rPr>
          <w:rFonts w:cs="Times New Roman"/>
          <w:b/>
          <w:bCs/>
        </w:rPr>
        <w:t>S</w:t>
      </w:r>
      <w:r w:rsidR="002E69B8" w:rsidRPr="00D16646">
        <w:rPr>
          <w:rFonts w:cs="Times New Roman"/>
          <w:b/>
          <w:bCs/>
        </w:rPr>
        <w:t>3</w:t>
      </w:r>
      <w:r w:rsidRPr="0057434E">
        <w:rPr>
          <w:rFonts w:cs="Times New Roman"/>
        </w:rPr>
        <w:t>) to balance baseline characteristics across cohorts. Standardized mean differences &lt;0.1</w:t>
      </w:r>
      <w:r w:rsidR="00465CFA">
        <w:rPr>
          <w:rFonts w:cs="Times New Roman"/>
        </w:rPr>
        <w:t>0</w:t>
      </w:r>
      <w:r w:rsidRPr="0057434E">
        <w:rPr>
          <w:rFonts w:cs="Times New Roman"/>
        </w:rPr>
        <w:t xml:space="preserve"> were considered adequately balanced. Patients with 10 </w:t>
      </w:r>
      <w:r w:rsidR="00490FDA">
        <w:rPr>
          <w:rFonts w:cs="Times New Roman"/>
        </w:rPr>
        <w:t xml:space="preserve">or fewer </w:t>
      </w:r>
      <w:r w:rsidRPr="0057434E">
        <w:rPr>
          <w:rFonts w:cs="Times New Roman"/>
        </w:rPr>
        <w:t xml:space="preserve">events per outcome were reported as “≤10” in compliance with </w:t>
      </w:r>
      <w:proofErr w:type="spellStart"/>
      <w:r w:rsidRPr="0057434E">
        <w:rPr>
          <w:rFonts w:cs="Times New Roman"/>
        </w:rPr>
        <w:t>TriNetX</w:t>
      </w:r>
      <w:proofErr w:type="spellEnd"/>
      <w:r w:rsidRPr="0057434E">
        <w:rPr>
          <w:rFonts w:cs="Times New Roman"/>
        </w:rPr>
        <w:t xml:space="preserve"> data governance policies. </w:t>
      </w:r>
      <w:r w:rsidR="00710533" w:rsidRPr="00710533">
        <w:rPr>
          <w:rFonts w:cs="Times New Roman"/>
        </w:rPr>
        <w:t xml:space="preserve">Kaplan–Meier survival curves were generated for each outcome, and differences between exposure groups were compared using the </w:t>
      </w:r>
      <w:r w:rsidR="00710533" w:rsidRPr="00710533">
        <w:rPr>
          <w:rFonts w:cs="Times New Roman"/>
        </w:rPr>
        <w:lastRenderedPageBreak/>
        <w:t xml:space="preserve">log-rank test. Hazard ratios and corresponding 95% </w:t>
      </w:r>
      <w:r w:rsidR="00710533">
        <w:rPr>
          <w:rFonts w:cs="Times New Roman"/>
        </w:rPr>
        <w:t>C</w:t>
      </w:r>
      <w:r w:rsidR="00490FDA">
        <w:rPr>
          <w:rFonts w:cs="Times New Roman"/>
        </w:rPr>
        <w:t>I</w:t>
      </w:r>
      <w:r w:rsidR="00710533">
        <w:rPr>
          <w:rFonts w:cs="Times New Roman"/>
        </w:rPr>
        <w:t xml:space="preserve">s </w:t>
      </w:r>
      <w:r w:rsidR="00710533" w:rsidRPr="00710533">
        <w:rPr>
          <w:rFonts w:cs="Times New Roman"/>
        </w:rPr>
        <w:t>were estimated using Cox proportional hazards regression applied to the propensity score–matched cohorts. No additional covariate adjustment was performed after matching.</w:t>
      </w:r>
      <w:r w:rsidRPr="0057434E">
        <w:rPr>
          <w:rFonts w:cs="Times New Roman"/>
        </w:rPr>
        <w:t xml:space="preserve"> A two-sided p &lt; 0.05 was considered statistically significant. </w:t>
      </w:r>
      <w:r w:rsidR="00710533" w:rsidRPr="00710533">
        <w:rPr>
          <w:rFonts w:cs="Times New Roman"/>
        </w:rPr>
        <w:t xml:space="preserve">Analyses were performed using the </w:t>
      </w:r>
      <w:proofErr w:type="spellStart"/>
      <w:r w:rsidR="00710533" w:rsidRPr="00710533">
        <w:rPr>
          <w:rFonts w:cs="Times New Roman"/>
        </w:rPr>
        <w:t>TriNetX</w:t>
      </w:r>
      <w:proofErr w:type="spellEnd"/>
      <w:r w:rsidR="00710533" w:rsidRPr="00710533">
        <w:rPr>
          <w:rFonts w:cs="Times New Roman"/>
        </w:rPr>
        <w:t xml:space="preserve"> LIVE™ Analytics Platform (</w:t>
      </w:r>
      <w:proofErr w:type="spellStart"/>
      <w:r w:rsidR="00710533" w:rsidRPr="00710533">
        <w:rPr>
          <w:rFonts w:cs="Times New Roman"/>
        </w:rPr>
        <w:t>TriNetX</w:t>
      </w:r>
      <w:proofErr w:type="spellEnd"/>
      <w:r w:rsidR="00710533" w:rsidRPr="00710533">
        <w:rPr>
          <w:rFonts w:cs="Times New Roman"/>
        </w:rPr>
        <w:t xml:space="preserve"> LLC, Cambridge, MA, USA)</w:t>
      </w:r>
      <w:r w:rsidRPr="0057434E">
        <w:rPr>
          <w:rFonts w:cs="Times New Roman"/>
        </w:rPr>
        <w:t>.</w:t>
      </w:r>
    </w:p>
    <w:p w14:paraId="0C8CC451" w14:textId="77777777" w:rsidR="00A122F1" w:rsidRPr="0057434E" w:rsidRDefault="00A122F1" w:rsidP="00B442B0">
      <w:pPr>
        <w:spacing w:line="480" w:lineRule="auto"/>
        <w:rPr>
          <w:rFonts w:cs="Times New Roman"/>
        </w:rPr>
      </w:pPr>
    </w:p>
    <w:p w14:paraId="259AB872" w14:textId="72B9F1C5" w:rsidR="008A7B39" w:rsidRPr="0057434E" w:rsidRDefault="008A7B39" w:rsidP="00B442B0">
      <w:pPr>
        <w:spacing w:line="480" w:lineRule="auto"/>
        <w:rPr>
          <w:rFonts w:cs="Times New Roman"/>
          <w:b/>
          <w:bCs/>
        </w:rPr>
      </w:pPr>
      <w:r w:rsidRPr="0057434E">
        <w:rPr>
          <w:rFonts w:cs="Times New Roman"/>
          <w:b/>
          <w:bCs/>
        </w:rPr>
        <w:t>Results</w:t>
      </w:r>
    </w:p>
    <w:p w14:paraId="6CEE4F5D" w14:textId="692C7774" w:rsidR="006B0A45" w:rsidRPr="0057434E" w:rsidRDefault="008A7B39" w:rsidP="00B442B0">
      <w:pPr>
        <w:spacing w:line="480" w:lineRule="auto"/>
        <w:rPr>
          <w:rFonts w:cs="Times New Roman"/>
          <w:i/>
          <w:iCs/>
        </w:rPr>
      </w:pPr>
      <w:bookmarkStart w:id="2" w:name="OLE_LINK4"/>
      <w:bookmarkStart w:id="3" w:name="OLE_LINK5"/>
      <w:r w:rsidRPr="0057434E">
        <w:rPr>
          <w:rFonts w:cs="Times New Roman"/>
          <w:b/>
          <w:bCs/>
          <w:i/>
          <w:iCs/>
        </w:rPr>
        <w:t>Cohorts After Propensity Score Matching</w:t>
      </w:r>
    </w:p>
    <w:p w14:paraId="0D678FBC" w14:textId="77777777" w:rsidR="006B0A45" w:rsidRPr="0057434E" w:rsidRDefault="006B0A45" w:rsidP="00B442B0">
      <w:pPr>
        <w:spacing w:line="480" w:lineRule="auto"/>
        <w:rPr>
          <w:rFonts w:cs="Times New Roman"/>
          <w:i/>
          <w:iCs/>
        </w:rPr>
      </w:pPr>
      <w:r w:rsidRPr="0057434E">
        <w:rPr>
          <w:rFonts w:cs="Times New Roman"/>
          <w:i/>
          <w:iCs/>
        </w:rPr>
        <w:t>CAS</w:t>
      </w:r>
    </w:p>
    <w:p w14:paraId="36A0C05C" w14:textId="5B479550" w:rsidR="006B0A45" w:rsidRPr="0057434E" w:rsidRDefault="002E2865" w:rsidP="00F96352">
      <w:pPr>
        <w:spacing w:line="480" w:lineRule="auto"/>
        <w:ind w:firstLine="720"/>
        <w:rPr>
          <w:rFonts w:cs="Times New Roman"/>
        </w:rPr>
      </w:pPr>
      <w:r w:rsidRPr="002E2865">
        <w:rPr>
          <w:rFonts w:cs="Times New Roman"/>
        </w:rPr>
        <w:t xml:space="preserve">After 1:1 </w:t>
      </w:r>
      <w:r>
        <w:rPr>
          <w:rFonts w:cs="Times New Roman"/>
        </w:rPr>
        <w:t>PSM</w:t>
      </w:r>
      <w:r w:rsidRPr="002E2865">
        <w:rPr>
          <w:rFonts w:cs="Times New Roman"/>
        </w:rPr>
        <w:t xml:space="preserve">, 443 patients remained in each CAS cohort. Mean age was 68.1 ± 8.6 years in the </w:t>
      </w:r>
      <w:r w:rsidR="00033DA6">
        <w:rPr>
          <w:rFonts w:cs="Times New Roman"/>
        </w:rPr>
        <w:t>GLP-1RA</w:t>
      </w:r>
      <w:r w:rsidRPr="002E2865">
        <w:rPr>
          <w:rFonts w:cs="Times New Roman"/>
        </w:rPr>
        <w:t xml:space="preserve"> cohort and 67.9 ± 9.5 years in the non-</w:t>
      </w:r>
      <w:r w:rsidR="00033DA6">
        <w:rPr>
          <w:rFonts w:cs="Times New Roman"/>
        </w:rPr>
        <w:t>GLP-1RA</w:t>
      </w:r>
      <w:r w:rsidRPr="002E2865">
        <w:rPr>
          <w:rFonts w:cs="Times New Roman"/>
        </w:rPr>
        <w:t xml:space="preserve"> cohort; women comprised 46.3% and 43.1% of the cohorts, respectively. Median follow-up after matching was 602 days in the CAS-</w:t>
      </w:r>
      <w:r w:rsidR="00033DA6">
        <w:rPr>
          <w:rFonts w:cs="Times New Roman"/>
        </w:rPr>
        <w:t>GLP-1RA</w:t>
      </w:r>
      <w:r w:rsidRPr="002E2865">
        <w:rPr>
          <w:rFonts w:cs="Times New Roman"/>
        </w:rPr>
        <w:t xml:space="preserve"> cohort and 679 days in the CAS-non-</w:t>
      </w:r>
      <w:r w:rsidR="00033DA6">
        <w:rPr>
          <w:rFonts w:cs="Times New Roman"/>
        </w:rPr>
        <w:t>GLP-1RA</w:t>
      </w:r>
      <w:r w:rsidRPr="002E2865">
        <w:rPr>
          <w:rFonts w:cs="Times New Roman"/>
        </w:rPr>
        <w:t xml:space="preserve"> cohort. </w:t>
      </w:r>
      <w:r w:rsidR="007A5185" w:rsidRPr="0057434E">
        <w:rPr>
          <w:rFonts w:cs="Times New Roman"/>
        </w:rPr>
        <w:t>(</w:t>
      </w:r>
      <w:r w:rsidR="00033DA6">
        <w:rPr>
          <w:rFonts w:cs="Times New Roman"/>
          <w:b/>
          <w:bCs/>
        </w:rPr>
        <w:t>Supplementary</w:t>
      </w:r>
      <w:r w:rsidR="00093DD1" w:rsidRPr="00D16646">
        <w:rPr>
          <w:rFonts w:cs="Times New Roman"/>
          <w:b/>
          <w:bCs/>
        </w:rPr>
        <w:t xml:space="preserve"> </w:t>
      </w:r>
      <w:r w:rsidR="007A5185" w:rsidRPr="00D16646">
        <w:rPr>
          <w:rFonts w:cs="Times New Roman"/>
          <w:b/>
          <w:bCs/>
        </w:rPr>
        <w:t xml:space="preserve">Table </w:t>
      </w:r>
      <w:r w:rsidR="00D16646" w:rsidRPr="00D16646">
        <w:rPr>
          <w:rFonts w:cs="Times New Roman"/>
          <w:b/>
          <w:bCs/>
        </w:rPr>
        <w:t>S</w:t>
      </w:r>
      <w:r w:rsidR="002E69B8" w:rsidRPr="00D16646">
        <w:rPr>
          <w:rFonts w:cs="Times New Roman"/>
          <w:b/>
          <w:bCs/>
        </w:rPr>
        <w:t>2</w:t>
      </w:r>
      <w:r w:rsidR="007A5185" w:rsidRPr="0057434E">
        <w:rPr>
          <w:rFonts w:cs="Times New Roman"/>
        </w:rPr>
        <w:t>)</w:t>
      </w:r>
      <w:r w:rsidR="006B0A45" w:rsidRPr="0057434E">
        <w:rPr>
          <w:rFonts w:cs="Times New Roman"/>
        </w:rPr>
        <w:t xml:space="preserve">. </w:t>
      </w:r>
    </w:p>
    <w:p w14:paraId="50006236" w14:textId="77777777" w:rsidR="008A7B39" w:rsidRPr="0057434E" w:rsidRDefault="006B0A45" w:rsidP="00B442B0">
      <w:pPr>
        <w:spacing w:line="480" w:lineRule="auto"/>
        <w:rPr>
          <w:rFonts w:cs="Times New Roman"/>
          <w:i/>
          <w:iCs/>
        </w:rPr>
      </w:pPr>
      <w:r w:rsidRPr="0057434E">
        <w:rPr>
          <w:rFonts w:cs="Times New Roman"/>
          <w:i/>
          <w:iCs/>
        </w:rPr>
        <w:t>CEA</w:t>
      </w:r>
    </w:p>
    <w:p w14:paraId="39C494D3" w14:textId="09685B08" w:rsidR="008A7B39" w:rsidRPr="0057434E" w:rsidRDefault="002E2865" w:rsidP="00B442B0">
      <w:pPr>
        <w:spacing w:line="480" w:lineRule="auto"/>
        <w:ind w:firstLine="720"/>
        <w:rPr>
          <w:rFonts w:cs="Times New Roman"/>
        </w:rPr>
      </w:pPr>
      <w:bookmarkStart w:id="4" w:name="OLE_LINK1"/>
      <w:bookmarkStart w:id="5" w:name="OLE_LINK2"/>
      <w:r w:rsidRPr="002E2865">
        <w:rPr>
          <w:rFonts w:cs="Times New Roman"/>
        </w:rPr>
        <w:t xml:space="preserve">After 1:1 </w:t>
      </w:r>
      <w:r>
        <w:rPr>
          <w:rFonts w:cs="Times New Roman"/>
        </w:rPr>
        <w:t>PSM</w:t>
      </w:r>
      <w:r w:rsidRPr="002E2865">
        <w:rPr>
          <w:rFonts w:cs="Times New Roman"/>
        </w:rPr>
        <w:t>, 633 patients remained in each CEA cohort. Mean age was 66.6 ± 8.5 years in the CEA-</w:t>
      </w:r>
      <w:r w:rsidR="00033DA6">
        <w:rPr>
          <w:rFonts w:cs="Times New Roman"/>
        </w:rPr>
        <w:t>GLP-1RA</w:t>
      </w:r>
      <w:r w:rsidRPr="002E2865">
        <w:rPr>
          <w:rFonts w:cs="Times New Roman"/>
        </w:rPr>
        <w:t xml:space="preserve"> cohort and 66.5 ± 9.3 years in the CEA-non-</w:t>
      </w:r>
      <w:r w:rsidR="00033DA6">
        <w:rPr>
          <w:rFonts w:cs="Times New Roman"/>
        </w:rPr>
        <w:t>GLP-1RA</w:t>
      </w:r>
      <w:r w:rsidRPr="002E2865">
        <w:rPr>
          <w:rFonts w:cs="Times New Roman"/>
        </w:rPr>
        <w:t xml:space="preserve"> cohort; women comprised 45.8% and 43.0% of the cohorts, respectively. Median follow-up after matching was 804 days for </w:t>
      </w:r>
      <w:r>
        <w:rPr>
          <w:rFonts w:cs="Times New Roman"/>
        </w:rPr>
        <w:t>CEA-</w:t>
      </w:r>
      <w:r w:rsidR="00033DA6">
        <w:rPr>
          <w:rFonts w:cs="Times New Roman"/>
        </w:rPr>
        <w:t>GLP-1RA</w:t>
      </w:r>
      <w:r w:rsidRPr="002E2865">
        <w:rPr>
          <w:rFonts w:cs="Times New Roman"/>
        </w:rPr>
        <w:t xml:space="preserve"> users and 1,393 days for </w:t>
      </w:r>
      <w:r>
        <w:rPr>
          <w:rFonts w:cs="Times New Roman"/>
        </w:rPr>
        <w:t>CEA-</w:t>
      </w:r>
      <w:r w:rsidRPr="002E2865">
        <w:rPr>
          <w:rFonts w:cs="Times New Roman"/>
        </w:rPr>
        <w:t>non-</w:t>
      </w:r>
      <w:r w:rsidR="00033DA6">
        <w:rPr>
          <w:rFonts w:cs="Times New Roman"/>
        </w:rPr>
        <w:t>GLP-1RA</w:t>
      </w:r>
      <w:r w:rsidRPr="002E2865">
        <w:rPr>
          <w:rFonts w:cs="Times New Roman"/>
        </w:rPr>
        <w:t xml:space="preserve"> users.</w:t>
      </w:r>
      <w:r>
        <w:rPr>
          <w:rFonts w:cs="Times New Roman"/>
        </w:rPr>
        <w:t xml:space="preserve"> </w:t>
      </w:r>
      <w:r w:rsidR="00664EEF" w:rsidRPr="0057434E">
        <w:rPr>
          <w:rFonts w:cs="Times New Roman"/>
        </w:rPr>
        <w:t>Figure 1 summarizes the process of final sample size inclusion within the study</w:t>
      </w:r>
      <w:r w:rsidR="007A5185" w:rsidRPr="0057434E">
        <w:rPr>
          <w:rFonts w:cs="Times New Roman"/>
        </w:rPr>
        <w:t xml:space="preserve"> (</w:t>
      </w:r>
      <w:r w:rsidR="00033DA6">
        <w:rPr>
          <w:rFonts w:cs="Times New Roman"/>
          <w:b/>
          <w:bCs/>
        </w:rPr>
        <w:t>Supplementary</w:t>
      </w:r>
      <w:r w:rsidR="00093DD1" w:rsidRPr="00D16646">
        <w:rPr>
          <w:rFonts w:cs="Times New Roman"/>
          <w:b/>
          <w:bCs/>
        </w:rPr>
        <w:t xml:space="preserve"> </w:t>
      </w:r>
      <w:r w:rsidR="007A5185" w:rsidRPr="00D16646">
        <w:rPr>
          <w:rFonts w:cs="Times New Roman"/>
          <w:b/>
          <w:bCs/>
        </w:rPr>
        <w:t xml:space="preserve">Table </w:t>
      </w:r>
      <w:r w:rsidR="00D16646" w:rsidRPr="00D16646">
        <w:rPr>
          <w:rFonts w:cs="Times New Roman"/>
          <w:b/>
          <w:bCs/>
        </w:rPr>
        <w:t>S</w:t>
      </w:r>
      <w:r w:rsidR="002E69B8" w:rsidRPr="00D16646">
        <w:rPr>
          <w:rFonts w:cs="Times New Roman"/>
          <w:b/>
          <w:bCs/>
        </w:rPr>
        <w:t>3</w:t>
      </w:r>
      <w:r w:rsidR="007A5185" w:rsidRPr="0057434E">
        <w:rPr>
          <w:rFonts w:cs="Times New Roman"/>
        </w:rPr>
        <w:t>)</w:t>
      </w:r>
      <w:r w:rsidR="00664EEF" w:rsidRPr="0057434E">
        <w:rPr>
          <w:rFonts w:cs="Times New Roman"/>
        </w:rPr>
        <w:t>.</w:t>
      </w:r>
      <w:r w:rsidR="00465CFA">
        <w:rPr>
          <w:rFonts w:cs="Times New Roman"/>
        </w:rPr>
        <w:t xml:space="preserve"> </w:t>
      </w:r>
      <w:r w:rsidR="00465CFA" w:rsidRPr="00465CFA">
        <w:rPr>
          <w:rFonts w:cs="Times New Roman"/>
        </w:rPr>
        <w:t>After matching, baseline characteristics demonstrated excellent balance across all covariates (</w:t>
      </w:r>
      <w:r w:rsidR="00465CFA" w:rsidRPr="00F96352">
        <w:rPr>
          <w:rFonts w:cs="Times New Roman"/>
          <w:b/>
          <w:bCs/>
        </w:rPr>
        <w:t>Supplementary Tables 2 and 3</w:t>
      </w:r>
      <w:r w:rsidR="00465CFA" w:rsidRPr="00465CFA">
        <w:rPr>
          <w:rFonts w:cs="Times New Roman"/>
        </w:rPr>
        <w:t>).</w:t>
      </w:r>
    </w:p>
    <w:p w14:paraId="0363FF24" w14:textId="77777777" w:rsidR="006B0A45" w:rsidRPr="0057434E" w:rsidRDefault="006B0A45" w:rsidP="00B442B0">
      <w:pPr>
        <w:spacing w:line="480" w:lineRule="auto"/>
        <w:rPr>
          <w:rFonts w:cs="Times New Roman"/>
        </w:rPr>
      </w:pPr>
      <w:bookmarkStart w:id="6" w:name="OLE_LINK3"/>
      <w:bookmarkEnd w:id="4"/>
      <w:bookmarkEnd w:id="5"/>
    </w:p>
    <w:bookmarkEnd w:id="6"/>
    <w:p w14:paraId="5F1EFBD7" w14:textId="037903D9" w:rsidR="006B0A45" w:rsidRPr="0057434E" w:rsidRDefault="006B0A45" w:rsidP="00B442B0">
      <w:pPr>
        <w:spacing w:line="480" w:lineRule="auto"/>
        <w:rPr>
          <w:rFonts w:cs="Times New Roman"/>
        </w:rPr>
      </w:pPr>
      <w:r w:rsidRPr="0057434E">
        <w:rPr>
          <w:rFonts w:cs="Times New Roman"/>
          <w:b/>
          <w:bCs/>
          <w:i/>
          <w:iCs/>
        </w:rPr>
        <w:lastRenderedPageBreak/>
        <w:t>Ischemic Stroke</w:t>
      </w:r>
    </w:p>
    <w:p w14:paraId="42B05ADF" w14:textId="77777777" w:rsidR="00180D70" w:rsidRPr="0057434E" w:rsidRDefault="00180D70" w:rsidP="00B442B0">
      <w:pPr>
        <w:spacing w:line="480" w:lineRule="auto"/>
        <w:rPr>
          <w:rFonts w:cs="Times New Roman"/>
          <w:i/>
          <w:iCs/>
        </w:rPr>
      </w:pPr>
      <w:bookmarkStart w:id="7" w:name="OLE_LINK9"/>
      <w:bookmarkStart w:id="8" w:name="OLE_LINK10"/>
      <w:r w:rsidRPr="0057434E">
        <w:rPr>
          <w:rFonts w:cs="Times New Roman"/>
          <w:i/>
          <w:iCs/>
        </w:rPr>
        <w:t>CAS</w:t>
      </w:r>
    </w:p>
    <w:bookmarkEnd w:id="7"/>
    <w:bookmarkEnd w:id="8"/>
    <w:p w14:paraId="0BE3530E" w14:textId="0C3C49AF" w:rsidR="00180D70" w:rsidRPr="0057434E" w:rsidRDefault="002E2865" w:rsidP="00F96352">
      <w:pPr>
        <w:spacing w:line="480" w:lineRule="auto"/>
        <w:ind w:firstLine="720"/>
        <w:rPr>
          <w:rFonts w:cs="Times New Roman"/>
        </w:rPr>
      </w:pPr>
      <w:r w:rsidRPr="002E2865">
        <w:rPr>
          <w:rFonts w:cs="Times New Roman"/>
        </w:rPr>
        <w:t>Ischemic stroke occurred in 13 patients in the CAS-</w:t>
      </w:r>
      <w:r w:rsidR="00033DA6">
        <w:rPr>
          <w:rFonts w:cs="Times New Roman"/>
        </w:rPr>
        <w:t>GLP-1RA</w:t>
      </w:r>
      <w:r w:rsidRPr="002E2865">
        <w:rPr>
          <w:rFonts w:cs="Times New Roman"/>
        </w:rPr>
        <w:t xml:space="preserve"> cohort and 26 patients in the CAS-non-</w:t>
      </w:r>
      <w:r w:rsidR="00033DA6">
        <w:rPr>
          <w:rFonts w:cs="Times New Roman"/>
        </w:rPr>
        <w:t>GLP-1RA</w:t>
      </w:r>
      <w:r w:rsidRPr="002E2865">
        <w:rPr>
          <w:rFonts w:cs="Times New Roman"/>
        </w:rPr>
        <w:t xml:space="preserve"> cohort, corresponding to crude incidences of </w:t>
      </w:r>
      <w:r w:rsidR="005A0B45">
        <w:rPr>
          <w:rFonts w:cs="Times New Roman"/>
        </w:rPr>
        <w:t>2.9</w:t>
      </w:r>
      <w:r w:rsidRPr="002E2865">
        <w:rPr>
          <w:rFonts w:cs="Times New Roman"/>
        </w:rPr>
        <w:t xml:space="preserve">% and </w:t>
      </w:r>
      <w:r w:rsidR="005A0B45">
        <w:rPr>
          <w:rFonts w:cs="Times New Roman"/>
        </w:rPr>
        <w:t>5.9</w:t>
      </w:r>
      <w:r w:rsidRPr="002E2865">
        <w:rPr>
          <w:rFonts w:cs="Times New Roman"/>
        </w:rPr>
        <w:t>%, respectively. The corresponding 5-year Kaplan–Meier event probabilities were 21.30% and 28.14%. The survival curves differed significantly on log-rank testing (p=0.0</w:t>
      </w:r>
      <w:r w:rsidR="002D507B">
        <w:rPr>
          <w:rFonts w:cs="Times New Roman"/>
        </w:rPr>
        <w:t>1</w:t>
      </w:r>
      <w:r w:rsidRPr="002E2865">
        <w:rPr>
          <w:rFonts w:cs="Times New Roman"/>
        </w:rPr>
        <w:t>), with an HR of 0.436 (95% CI, 0.224–0.851)</w:t>
      </w:r>
      <w:r w:rsidR="00DD7A73" w:rsidRPr="0057434E">
        <w:rPr>
          <w:rFonts w:cs="Times New Roman"/>
        </w:rPr>
        <w:t xml:space="preserve"> (</w:t>
      </w:r>
      <w:r w:rsidR="00DD7A73" w:rsidRPr="00D16646">
        <w:rPr>
          <w:rFonts w:cs="Times New Roman"/>
          <w:b/>
          <w:bCs/>
        </w:rPr>
        <w:t xml:space="preserve">Table </w:t>
      </w:r>
      <w:r w:rsidR="002E69B8" w:rsidRPr="00D16646">
        <w:rPr>
          <w:rFonts w:cs="Times New Roman"/>
          <w:b/>
          <w:bCs/>
        </w:rPr>
        <w:t>1</w:t>
      </w:r>
      <w:r w:rsidR="00DD7A73" w:rsidRPr="00D16646">
        <w:rPr>
          <w:rFonts w:cs="Times New Roman"/>
          <w:b/>
          <w:bCs/>
        </w:rPr>
        <w:t xml:space="preserve">, Figures </w:t>
      </w:r>
      <w:r w:rsidR="00D16646">
        <w:rPr>
          <w:rFonts w:cs="Times New Roman"/>
          <w:b/>
          <w:bCs/>
        </w:rPr>
        <w:t>2</w:t>
      </w:r>
      <w:r w:rsidR="00DD7A73" w:rsidRPr="00D16646">
        <w:rPr>
          <w:rFonts w:cs="Times New Roman"/>
          <w:b/>
          <w:bCs/>
        </w:rPr>
        <w:t>-</w:t>
      </w:r>
      <w:r w:rsidR="00D16646">
        <w:rPr>
          <w:rFonts w:cs="Times New Roman"/>
          <w:b/>
          <w:bCs/>
        </w:rPr>
        <w:t>3</w:t>
      </w:r>
      <w:r w:rsidR="00DD7A73" w:rsidRPr="0057434E">
        <w:rPr>
          <w:rFonts w:cs="Times New Roman"/>
        </w:rPr>
        <w:t>).</w:t>
      </w:r>
    </w:p>
    <w:p w14:paraId="2AF5F67D" w14:textId="77777777" w:rsidR="00180D70" w:rsidRPr="0057434E" w:rsidRDefault="00180D70" w:rsidP="00B442B0">
      <w:pPr>
        <w:spacing w:line="480" w:lineRule="auto"/>
        <w:rPr>
          <w:rFonts w:cs="Times New Roman"/>
          <w:i/>
          <w:iCs/>
        </w:rPr>
      </w:pPr>
      <w:r w:rsidRPr="0057434E">
        <w:rPr>
          <w:rFonts w:cs="Times New Roman"/>
          <w:i/>
          <w:iCs/>
        </w:rPr>
        <w:t>CEA</w:t>
      </w:r>
    </w:p>
    <w:p w14:paraId="38FDDEEF" w14:textId="655CFB4D" w:rsidR="00247D68" w:rsidRPr="0057434E" w:rsidRDefault="002E2865" w:rsidP="00B442B0">
      <w:pPr>
        <w:spacing w:line="480" w:lineRule="auto"/>
        <w:ind w:firstLine="720"/>
        <w:rPr>
          <w:rFonts w:cs="Times New Roman"/>
        </w:rPr>
      </w:pPr>
      <w:r w:rsidRPr="002E2865">
        <w:rPr>
          <w:rFonts w:cs="Times New Roman"/>
        </w:rPr>
        <w:t>Ischemic stroke occurred in 30 patients in the CEA-</w:t>
      </w:r>
      <w:r w:rsidR="00033DA6">
        <w:rPr>
          <w:rFonts w:cs="Times New Roman"/>
        </w:rPr>
        <w:t>GLP-1RA</w:t>
      </w:r>
      <w:r w:rsidRPr="002E2865">
        <w:rPr>
          <w:rFonts w:cs="Times New Roman"/>
        </w:rPr>
        <w:t xml:space="preserve"> cohort and 62 patients in the CEA-non-</w:t>
      </w:r>
      <w:r w:rsidR="00033DA6">
        <w:rPr>
          <w:rFonts w:cs="Times New Roman"/>
        </w:rPr>
        <w:t>GLP-1RA</w:t>
      </w:r>
      <w:r w:rsidRPr="002E2865">
        <w:rPr>
          <w:rFonts w:cs="Times New Roman"/>
        </w:rPr>
        <w:t xml:space="preserve"> cohort, corresponding to crude incidences of </w:t>
      </w:r>
      <w:r w:rsidR="005A0B45">
        <w:rPr>
          <w:rFonts w:cs="Times New Roman"/>
        </w:rPr>
        <w:t>4.7</w:t>
      </w:r>
      <w:r w:rsidRPr="002E2865">
        <w:rPr>
          <w:rFonts w:cs="Times New Roman"/>
        </w:rPr>
        <w:t xml:space="preserve">% and </w:t>
      </w:r>
      <w:r w:rsidR="005A0B45">
        <w:rPr>
          <w:rFonts w:cs="Times New Roman"/>
        </w:rPr>
        <w:t>9.8</w:t>
      </w:r>
      <w:r w:rsidRPr="002E2865">
        <w:rPr>
          <w:rFonts w:cs="Times New Roman"/>
        </w:rPr>
        <w:t>%, respectively. The corresponding 5-year Kaplan–Meier event probabilities were 15.64% and 21.21%. The survival curves differed significantly on log-rank testing (p=0.004), with an HR of 0.533 (95% CI, 0.344–0.825)</w:t>
      </w:r>
      <w:r>
        <w:rPr>
          <w:rFonts w:cs="Times New Roman"/>
        </w:rPr>
        <w:t xml:space="preserve"> </w:t>
      </w:r>
      <w:r w:rsidR="00DD7A73" w:rsidRPr="0057434E">
        <w:rPr>
          <w:rFonts w:cs="Times New Roman"/>
        </w:rPr>
        <w:t xml:space="preserve"> (</w:t>
      </w:r>
      <w:r w:rsidR="00DD7A73" w:rsidRPr="00D16646">
        <w:rPr>
          <w:rFonts w:cs="Times New Roman"/>
          <w:b/>
          <w:bCs/>
        </w:rPr>
        <w:t xml:space="preserve">Table </w:t>
      </w:r>
      <w:r w:rsidR="002E69B8" w:rsidRPr="00D16646">
        <w:rPr>
          <w:rFonts w:cs="Times New Roman"/>
          <w:b/>
          <w:bCs/>
        </w:rPr>
        <w:t>2</w:t>
      </w:r>
      <w:r w:rsidR="00DD7A73" w:rsidRPr="00D16646">
        <w:rPr>
          <w:rFonts w:cs="Times New Roman"/>
          <w:b/>
          <w:bCs/>
        </w:rPr>
        <w:t xml:space="preserve">, Figures </w:t>
      </w:r>
      <w:r w:rsidR="00D16646">
        <w:rPr>
          <w:rFonts w:cs="Times New Roman"/>
          <w:b/>
          <w:bCs/>
        </w:rPr>
        <w:t>2</w:t>
      </w:r>
      <w:r w:rsidR="00DD7A73" w:rsidRPr="00D16646">
        <w:rPr>
          <w:rFonts w:cs="Times New Roman"/>
          <w:b/>
          <w:bCs/>
        </w:rPr>
        <w:t>-</w:t>
      </w:r>
      <w:r w:rsidR="00D16646">
        <w:rPr>
          <w:rFonts w:cs="Times New Roman"/>
          <w:b/>
          <w:bCs/>
        </w:rPr>
        <w:t>3</w:t>
      </w:r>
      <w:r w:rsidR="00DD7A73" w:rsidRPr="0057434E">
        <w:rPr>
          <w:rFonts w:cs="Times New Roman"/>
        </w:rPr>
        <w:t>).</w:t>
      </w:r>
    </w:p>
    <w:p w14:paraId="7E5E56FE" w14:textId="77777777" w:rsidR="00180D70" w:rsidRPr="0057434E" w:rsidRDefault="00180D70" w:rsidP="00B442B0">
      <w:pPr>
        <w:spacing w:line="480" w:lineRule="auto"/>
        <w:rPr>
          <w:rFonts w:cs="Times New Roman"/>
        </w:rPr>
      </w:pPr>
    </w:p>
    <w:p w14:paraId="1681E82E" w14:textId="3B21AF6F" w:rsidR="006B0A45" w:rsidRPr="0057434E" w:rsidRDefault="006B0A45" w:rsidP="00B442B0">
      <w:pPr>
        <w:spacing w:line="480" w:lineRule="auto"/>
        <w:rPr>
          <w:rFonts w:cs="Times New Roman"/>
        </w:rPr>
      </w:pPr>
      <w:r w:rsidRPr="0057434E">
        <w:rPr>
          <w:rFonts w:cs="Times New Roman"/>
          <w:b/>
          <w:bCs/>
          <w:i/>
          <w:iCs/>
        </w:rPr>
        <w:t>All-Cause Mortality</w:t>
      </w:r>
    </w:p>
    <w:p w14:paraId="10B4E31D" w14:textId="77777777" w:rsidR="00884B49" w:rsidRPr="0057434E" w:rsidRDefault="00884B49" w:rsidP="00B442B0">
      <w:pPr>
        <w:spacing w:line="480" w:lineRule="auto"/>
        <w:rPr>
          <w:rFonts w:cs="Times New Roman"/>
          <w:i/>
          <w:iCs/>
        </w:rPr>
      </w:pPr>
      <w:bookmarkStart w:id="9" w:name="OLE_LINK15"/>
      <w:r w:rsidRPr="0057434E">
        <w:rPr>
          <w:rFonts w:cs="Times New Roman"/>
          <w:i/>
          <w:iCs/>
        </w:rPr>
        <w:t>CAS</w:t>
      </w:r>
    </w:p>
    <w:p w14:paraId="7DE6244B" w14:textId="651025DF" w:rsidR="008A7B39" w:rsidRPr="0057434E" w:rsidRDefault="002E2865" w:rsidP="00F96352">
      <w:pPr>
        <w:spacing w:line="480" w:lineRule="auto"/>
        <w:ind w:firstLine="720"/>
        <w:rPr>
          <w:rFonts w:cs="Times New Roman"/>
        </w:rPr>
      </w:pPr>
      <w:bookmarkStart w:id="10" w:name="OLE_LINK12"/>
      <w:r w:rsidRPr="002E2865">
        <w:rPr>
          <w:rFonts w:cs="Times New Roman"/>
        </w:rPr>
        <w:t>All-cause mortality occurred in 40 patients in the CAS-</w:t>
      </w:r>
      <w:r w:rsidR="00033DA6">
        <w:rPr>
          <w:rFonts w:cs="Times New Roman"/>
        </w:rPr>
        <w:t>GLP-1RA</w:t>
      </w:r>
      <w:r w:rsidRPr="002E2865">
        <w:rPr>
          <w:rFonts w:cs="Times New Roman"/>
        </w:rPr>
        <w:t xml:space="preserve"> cohort and 84 patients in the CAS-non-</w:t>
      </w:r>
      <w:r w:rsidR="00033DA6">
        <w:rPr>
          <w:rFonts w:cs="Times New Roman"/>
        </w:rPr>
        <w:t>GLP-1RA</w:t>
      </w:r>
      <w:r w:rsidRPr="002E2865">
        <w:rPr>
          <w:rFonts w:cs="Times New Roman"/>
        </w:rPr>
        <w:t xml:space="preserve"> cohort, corresponding to crude incidences of 9.0% and 19.0%, respectively. The corresponding 5-year Kaplan–Meier event probabilities were 18.65% and 35.57%. The survival curves differed significantly on log-rank testing (p=0.001), with an HR of 0.531 (95% CI, 0.364–0.776)</w:t>
      </w:r>
      <w:r w:rsidR="00DD7A73" w:rsidRPr="0057434E">
        <w:rPr>
          <w:rFonts w:cs="Times New Roman"/>
        </w:rPr>
        <w:t xml:space="preserve"> (</w:t>
      </w:r>
      <w:r w:rsidR="00DD7A73" w:rsidRPr="00D16646">
        <w:rPr>
          <w:rFonts w:cs="Times New Roman"/>
          <w:b/>
          <w:bCs/>
        </w:rPr>
        <w:t xml:space="preserve">Table </w:t>
      </w:r>
      <w:r w:rsidR="002E69B8" w:rsidRPr="00D16646">
        <w:rPr>
          <w:rFonts w:cs="Times New Roman"/>
          <w:b/>
          <w:bCs/>
        </w:rPr>
        <w:t>1</w:t>
      </w:r>
      <w:r w:rsidR="00DD7A73" w:rsidRPr="00D16646">
        <w:rPr>
          <w:rFonts w:cs="Times New Roman"/>
          <w:b/>
          <w:bCs/>
        </w:rPr>
        <w:t xml:space="preserve">, Figures </w:t>
      </w:r>
      <w:r w:rsidR="00D16646">
        <w:rPr>
          <w:rFonts w:cs="Times New Roman"/>
          <w:b/>
          <w:bCs/>
        </w:rPr>
        <w:t>2</w:t>
      </w:r>
      <w:r w:rsidR="00DD7A73" w:rsidRPr="00D16646">
        <w:rPr>
          <w:rFonts w:cs="Times New Roman"/>
          <w:b/>
          <w:bCs/>
        </w:rPr>
        <w:t>-</w:t>
      </w:r>
      <w:r w:rsidR="00D16646">
        <w:rPr>
          <w:rFonts w:cs="Times New Roman"/>
          <w:b/>
          <w:bCs/>
        </w:rPr>
        <w:t>3</w:t>
      </w:r>
      <w:r w:rsidR="00DD7A73" w:rsidRPr="0057434E">
        <w:rPr>
          <w:rFonts w:cs="Times New Roman"/>
        </w:rPr>
        <w:t>).</w:t>
      </w:r>
      <w:bookmarkEnd w:id="10"/>
    </w:p>
    <w:p w14:paraId="010B5473" w14:textId="77777777" w:rsidR="00884B49" w:rsidRPr="0057434E" w:rsidRDefault="00884B49" w:rsidP="00B442B0">
      <w:pPr>
        <w:spacing w:line="480" w:lineRule="auto"/>
        <w:rPr>
          <w:rFonts w:cs="Times New Roman"/>
          <w:i/>
          <w:iCs/>
        </w:rPr>
      </w:pPr>
      <w:r w:rsidRPr="0057434E">
        <w:rPr>
          <w:rFonts w:cs="Times New Roman"/>
          <w:i/>
          <w:iCs/>
        </w:rPr>
        <w:t>CEA</w:t>
      </w:r>
    </w:p>
    <w:p w14:paraId="2AB3755A" w14:textId="7A0FCACC" w:rsidR="00884B49" w:rsidRPr="0057434E" w:rsidRDefault="002E2865" w:rsidP="00B442B0">
      <w:pPr>
        <w:spacing w:line="480" w:lineRule="auto"/>
        <w:ind w:firstLine="720"/>
        <w:rPr>
          <w:rFonts w:cs="Times New Roman"/>
        </w:rPr>
      </w:pPr>
      <w:r w:rsidRPr="002E2865">
        <w:rPr>
          <w:rFonts w:cs="Times New Roman"/>
        </w:rPr>
        <w:lastRenderedPageBreak/>
        <w:t>All-cause mortality occurred in 51 patients in the CEA-</w:t>
      </w:r>
      <w:r w:rsidR="00033DA6">
        <w:rPr>
          <w:rFonts w:cs="Times New Roman"/>
        </w:rPr>
        <w:t>GLP-1RA</w:t>
      </w:r>
      <w:r w:rsidRPr="002E2865">
        <w:rPr>
          <w:rFonts w:cs="Times New Roman"/>
        </w:rPr>
        <w:t xml:space="preserve"> cohort and 119 patients in the CEA-non-</w:t>
      </w:r>
      <w:r w:rsidR="00033DA6">
        <w:rPr>
          <w:rFonts w:cs="Times New Roman"/>
        </w:rPr>
        <w:t>GLP-1RA</w:t>
      </w:r>
      <w:r w:rsidRPr="002E2865">
        <w:rPr>
          <w:rFonts w:cs="Times New Roman"/>
        </w:rPr>
        <w:t xml:space="preserve"> cohort, corresponding to crude incidences of 8.1% and 18.8%, respectively. The corresponding 5-year Kaplan–Meier event probabilities were 16.81% and 26.43%. The survival curves differed significantly on log-rank testing (p=0.001), with an HR of 0.569 (95% CI, 0.409–0.791)</w:t>
      </w:r>
      <w:r w:rsidR="00DD7A73" w:rsidRPr="0057434E">
        <w:rPr>
          <w:rFonts w:cs="Times New Roman"/>
        </w:rPr>
        <w:t xml:space="preserve"> (</w:t>
      </w:r>
      <w:r w:rsidR="00DD7A73" w:rsidRPr="00D16646">
        <w:rPr>
          <w:rFonts w:cs="Times New Roman"/>
          <w:b/>
          <w:bCs/>
        </w:rPr>
        <w:t xml:space="preserve">Table </w:t>
      </w:r>
      <w:r w:rsidR="002E69B8" w:rsidRPr="00D16646">
        <w:rPr>
          <w:rFonts w:cs="Times New Roman"/>
          <w:b/>
          <w:bCs/>
        </w:rPr>
        <w:t>2</w:t>
      </w:r>
      <w:r w:rsidR="00DD7A73" w:rsidRPr="00D16646">
        <w:rPr>
          <w:rFonts w:cs="Times New Roman"/>
          <w:b/>
          <w:bCs/>
        </w:rPr>
        <w:t xml:space="preserve">, Figures </w:t>
      </w:r>
      <w:r w:rsidR="00D16646">
        <w:rPr>
          <w:rFonts w:cs="Times New Roman"/>
          <w:b/>
          <w:bCs/>
        </w:rPr>
        <w:t>2</w:t>
      </w:r>
      <w:r w:rsidR="00DD7A73" w:rsidRPr="00D16646">
        <w:rPr>
          <w:rFonts w:cs="Times New Roman"/>
          <w:b/>
          <w:bCs/>
        </w:rPr>
        <w:t>-</w:t>
      </w:r>
      <w:r w:rsidR="00D16646">
        <w:rPr>
          <w:rFonts w:cs="Times New Roman"/>
          <w:b/>
          <w:bCs/>
        </w:rPr>
        <w:t>3</w:t>
      </w:r>
      <w:r w:rsidR="00DD7A73" w:rsidRPr="0057434E">
        <w:rPr>
          <w:rFonts w:cs="Times New Roman"/>
        </w:rPr>
        <w:t>).</w:t>
      </w:r>
    </w:p>
    <w:bookmarkEnd w:id="9"/>
    <w:p w14:paraId="41A9D2AA" w14:textId="77777777" w:rsidR="00884B49" w:rsidRPr="0057434E" w:rsidRDefault="00884B49" w:rsidP="00B442B0">
      <w:pPr>
        <w:spacing w:line="480" w:lineRule="auto"/>
        <w:rPr>
          <w:rFonts w:cs="Times New Roman"/>
        </w:rPr>
      </w:pPr>
    </w:p>
    <w:p w14:paraId="465E45BC" w14:textId="4AE3FA61" w:rsidR="008A7B39" w:rsidRPr="0057434E" w:rsidRDefault="008A7B39" w:rsidP="00B442B0">
      <w:pPr>
        <w:spacing w:line="480" w:lineRule="auto"/>
        <w:rPr>
          <w:rFonts w:cs="Times New Roman"/>
        </w:rPr>
      </w:pPr>
      <w:r w:rsidRPr="0057434E">
        <w:rPr>
          <w:rFonts w:cs="Times New Roman"/>
          <w:b/>
          <w:bCs/>
          <w:i/>
          <w:iCs/>
        </w:rPr>
        <w:t>Composite Outcome: Ischemic Stroke or All-Cause Mortality</w:t>
      </w:r>
    </w:p>
    <w:p w14:paraId="29A60A40" w14:textId="77777777" w:rsidR="0017613C" w:rsidRPr="0057434E" w:rsidRDefault="0017613C" w:rsidP="00B442B0">
      <w:pPr>
        <w:spacing w:line="480" w:lineRule="auto"/>
        <w:rPr>
          <w:rFonts w:cs="Times New Roman"/>
          <w:i/>
          <w:iCs/>
        </w:rPr>
      </w:pPr>
      <w:bookmarkStart w:id="11" w:name="_Hlk215075564"/>
      <w:bookmarkStart w:id="12" w:name="OLE_LINK16"/>
      <w:r w:rsidRPr="0057434E">
        <w:rPr>
          <w:rFonts w:cs="Times New Roman"/>
          <w:i/>
          <w:iCs/>
        </w:rPr>
        <w:t>CAS</w:t>
      </w:r>
    </w:p>
    <w:p w14:paraId="031F692A" w14:textId="38573E2C" w:rsidR="0017613C" w:rsidRPr="0057434E" w:rsidRDefault="002E2865" w:rsidP="00F96352">
      <w:pPr>
        <w:spacing w:line="480" w:lineRule="auto"/>
        <w:ind w:firstLine="720"/>
        <w:rPr>
          <w:rFonts w:cs="Times New Roman"/>
        </w:rPr>
      </w:pPr>
      <w:r w:rsidRPr="002E2865">
        <w:rPr>
          <w:rFonts w:cs="Times New Roman"/>
        </w:rPr>
        <w:t>The composite of ischemic stroke or mortality occurred in 29 patients in the CAS-</w:t>
      </w:r>
      <w:r w:rsidR="00033DA6">
        <w:rPr>
          <w:rFonts w:cs="Times New Roman"/>
        </w:rPr>
        <w:t>GLP-1RA</w:t>
      </w:r>
      <w:r w:rsidRPr="002E2865">
        <w:rPr>
          <w:rFonts w:cs="Times New Roman"/>
        </w:rPr>
        <w:t xml:space="preserve"> cohort and 47 patients in the CAS-non-</w:t>
      </w:r>
      <w:r w:rsidR="00033DA6">
        <w:rPr>
          <w:rFonts w:cs="Times New Roman"/>
        </w:rPr>
        <w:t>GLP-1RA</w:t>
      </w:r>
      <w:r w:rsidRPr="002E2865">
        <w:rPr>
          <w:rFonts w:cs="Times New Roman"/>
        </w:rPr>
        <w:t xml:space="preserve"> cohort, corresponding to crude incidences of </w:t>
      </w:r>
      <w:r w:rsidR="005A0B45">
        <w:rPr>
          <w:rFonts w:cs="Times New Roman"/>
        </w:rPr>
        <w:t>6.5</w:t>
      </w:r>
      <w:r w:rsidRPr="002E2865">
        <w:rPr>
          <w:rFonts w:cs="Times New Roman"/>
        </w:rPr>
        <w:t xml:space="preserve">% and </w:t>
      </w:r>
      <w:r w:rsidR="005A0B45">
        <w:rPr>
          <w:rFonts w:cs="Times New Roman"/>
        </w:rPr>
        <w:t>10.6</w:t>
      </w:r>
      <w:r w:rsidRPr="002E2865">
        <w:rPr>
          <w:rFonts w:cs="Times New Roman"/>
        </w:rPr>
        <w:t>%, respectively. The corresponding 5-year Kaplan–Meier event probabilities were 37.61% and 54.30%. The survival curves differed significantly on log-rank testing (p=0.009), with an HR of 0.546 (95% CI, 0.343–0.868)</w:t>
      </w:r>
      <w:r w:rsidR="00DD7A73" w:rsidRPr="0057434E">
        <w:rPr>
          <w:rFonts w:cs="Times New Roman"/>
        </w:rPr>
        <w:t xml:space="preserve"> (</w:t>
      </w:r>
      <w:r w:rsidR="00DD7A73" w:rsidRPr="00D16646">
        <w:rPr>
          <w:rFonts w:cs="Times New Roman"/>
          <w:b/>
          <w:bCs/>
        </w:rPr>
        <w:t xml:space="preserve">Table </w:t>
      </w:r>
      <w:r w:rsidR="002E69B8" w:rsidRPr="00D16646">
        <w:rPr>
          <w:rFonts w:cs="Times New Roman"/>
          <w:b/>
          <w:bCs/>
        </w:rPr>
        <w:t>1</w:t>
      </w:r>
      <w:r w:rsidR="00DD7A73" w:rsidRPr="00D16646">
        <w:rPr>
          <w:rFonts w:cs="Times New Roman"/>
          <w:b/>
          <w:bCs/>
        </w:rPr>
        <w:t xml:space="preserve">, Figures </w:t>
      </w:r>
      <w:r w:rsidR="00D16646">
        <w:rPr>
          <w:rFonts w:cs="Times New Roman"/>
          <w:b/>
          <w:bCs/>
        </w:rPr>
        <w:t>2</w:t>
      </w:r>
      <w:r w:rsidR="00DD7A73" w:rsidRPr="00D16646">
        <w:rPr>
          <w:rFonts w:cs="Times New Roman"/>
          <w:b/>
          <w:bCs/>
        </w:rPr>
        <w:t>-</w:t>
      </w:r>
      <w:r w:rsidR="00D16646">
        <w:rPr>
          <w:rFonts w:cs="Times New Roman"/>
          <w:b/>
          <w:bCs/>
        </w:rPr>
        <w:t>3</w:t>
      </w:r>
      <w:r w:rsidR="00DD7A73" w:rsidRPr="0057434E">
        <w:rPr>
          <w:rFonts w:cs="Times New Roman"/>
        </w:rPr>
        <w:t>).</w:t>
      </w:r>
    </w:p>
    <w:p w14:paraId="67122468" w14:textId="77777777" w:rsidR="0017613C" w:rsidRPr="0057434E" w:rsidRDefault="0017613C" w:rsidP="00B442B0">
      <w:pPr>
        <w:spacing w:line="480" w:lineRule="auto"/>
        <w:rPr>
          <w:rFonts w:cs="Times New Roman"/>
          <w:i/>
          <w:iCs/>
        </w:rPr>
      </w:pPr>
      <w:r w:rsidRPr="0057434E">
        <w:rPr>
          <w:rFonts w:cs="Times New Roman"/>
          <w:i/>
          <w:iCs/>
        </w:rPr>
        <w:t>CEA</w:t>
      </w:r>
    </w:p>
    <w:p w14:paraId="3E0B93CF" w14:textId="5A4F8524" w:rsidR="0017613C" w:rsidRPr="0057434E" w:rsidRDefault="002E2865" w:rsidP="00B442B0">
      <w:pPr>
        <w:spacing w:line="480" w:lineRule="auto"/>
        <w:ind w:firstLine="720"/>
        <w:rPr>
          <w:rFonts w:cs="Times New Roman"/>
        </w:rPr>
      </w:pPr>
      <w:r w:rsidRPr="002E2865">
        <w:rPr>
          <w:rFonts w:cs="Times New Roman"/>
        </w:rPr>
        <w:t>The composite outcome occurred in 53 patients in the CEA-</w:t>
      </w:r>
      <w:r w:rsidR="00033DA6">
        <w:rPr>
          <w:rFonts w:cs="Times New Roman"/>
        </w:rPr>
        <w:t>GLP-1RA</w:t>
      </w:r>
      <w:r w:rsidRPr="002E2865">
        <w:rPr>
          <w:rFonts w:cs="Times New Roman"/>
        </w:rPr>
        <w:t xml:space="preserve"> cohort and 118 patients in the CEA-non-</w:t>
      </w:r>
      <w:r w:rsidR="00033DA6">
        <w:rPr>
          <w:rFonts w:cs="Times New Roman"/>
        </w:rPr>
        <w:t>GLP-1RA</w:t>
      </w:r>
      <w:r w:rsidRPr="002E2865">
        <w:rPr>
          <w:rFonts w:cs="Times New Roman"/>
        </w:rPr>
        <w:t xml:space="preserve"> cohort, corresponding to crude incidences of </w:t>
      </w:r>
      <w:r w:rsidR="005A0B45">
        <w:rPr>
          <w:rFonts w:cs="Times New Roman"/>
        </w:rPr>
        <w:t>8.4</w:t>
      </w:r>
      <w:r w:rsidRPr="002E2865">
        <w:rPr>
          <w:rFonts w:cs="Times New Roman"/>
        </w:rPr>
        <w:t xml:space="preserve">% and </w:t>
      </w:r>
      <w:r w:rsidR="005A0B45">
        <w:rPr>
          <w:rFonts w:cs="Times New Roman"/>
        </w:rPr>
        <w:t>18.6</w:t>
      </w:r>
      <w:r w:rsidRPr="002E2865">
        <w:rPr>
          <w:rFonts w:cs="Times New Roman"/>
        </w:rPr>
        <w:t>%, respectively. The corresponding 5-year Kaplan–Meier event probabilities were 27.71% and 41.76%. The survival curves differed significantly on log-rank testing (p&lt;0.001), with an HR of 0.509 (95% CI, 0.367–0.704)</w:t>
      </w:r>
      <w:r w:rsidRPr="002E2865" w:rsidDel="002E2865">
        <w:rPr>
          <w:rFonts w:cs="Times New Roman"/>
        </w:rPr>
        <w:t xml:space="preserve"> </w:t>
      </w:r>
      <w:r w:rsidR="00DD7A73" w:rsidRPr="0057434E">
        <w:rPr>
          <w:rFonts w:cs="Times New Roman"/>
        </w:rPr>
        <w:t>(</w:t>
      </w:r>
      <w:r w:rsidR="00DD7A73" w:rsidRPr="00D16646">
        <w:rPr>
          <w:rFonts w:cs="Times New Roman"/>
          <w:b/>
          <w:bCs/>
        </w:rPr>
        <w:t xml:space="preserve">Table </w:t>
      </w:r>
      <w:r w:rsidR="002E69B8" w:rsidRPr="00D16646">
        <w:rPr>
          <w:rFonts w:cs="Times New Roman"/>
          <w:b/>
          <w:bCs/>
        </w:rPr>
        <w:t>2</w:t>
      </w:r>
      <w:r w:rsidR="00DD7A73" w:rsidRPr="00D16646">
        <w:rPr>
          <w:rFonts w:cs="Times New Roman"/>
          <w:b/>
          <w:bCs/>
        </w:rPr>
        <w:t xml:space="preserve">, Figures </w:t>
      </w:r>
      <w:r w:rsidR="00D16646">
        <w:rPr>
          <w:rFonts w:cs="Times New Roman"/>
          <w:b/>
          <w:bCs/>
        </w:rPr>
        <w:t>2</w:t>
      </w:r>
      <w:r w:rsidR="00DD7A73" w:rsidRPr="00D16646">
        <w:rPr>
          <w:rFonts w:cs="Times New Roman"/>
          <w:b/>
          <w:bCs/>
        </w:rPr>
        <w:t>-</w:t>
      </w:r>
      <w:r w:rsidR="00D16646">
        <w:rPr>
          <w:rFonts w:cs="Times New Roman"/>
          <w:b/>
          <w:bCs/>
        </w:rPr>
        <w:t>3</w:t>
      </w:r>
      <w:r w:rsidR="00DD7A73" w:rsidRPr="0057434E">
        <w:rPr>
          <w:rFonts w:cs="Times New Roman"/>
        </w:rPr>
        <w:t>).</w:t>
      </w:r>
    </w:p>
    <w:bookmarkEnd w:id="2"/>
    <w:bookmarkEnd w:id="3"/>
    <w:bookmarkEnd w:id="11"/>
    <w:bookmarkEnd w:id="12"/>
    <w:p w14:paraId="5D323780" w14:textId="77777777" w:rsidR="008A7B39" w:rsidRPr="0057434E" w:rsidRDefault="008A7B39" w:rsidP="00B442B0">
      <w:pPr>
        <w:spacing w:line="480" w:lineRule="auto"/>
        <w:rPr>
          <w:rFonts w:cs="Times New Roman"/>
        </w:rPr>
      </w:pPr>
      <w:r w:rsidRPr="0057434E">
        <w:rPr>
          <w:rFonts w:cs="Times New Roman"/>
        </w:rPr>
        <w:t xml:space="preserve"> </w:t>
      </w:r>
    </w:p>
    <w:p w14:paraId="6A881864" w14:textId="77777777" w:rsidR="00C65469" w:rsidRPr="0057434E" w:rsidRDefault="00C65469" w:rsidP="00B442B0">
      <w:pPr>
        <w:spacing w:line="480" w:lineRule="auto"/>
        <w:rPr>
          <w:rFonts w:cs="Times New Roman"/>
          <w:b/>
          <w:bCs/>
        </w:rPr>
      </w:pPr>
      <w:r w:rsidRPr="0057434E">
        <w:rPr>
          <w:rFonts w:cs="Times New Roman"/>
          <w:b/>
          <w:bCs/>
        </w:rPr>
        <w:t>Discussion</w:t>
      </w:r>
    </w:p>
    <w:p w14:paraId="021CADF1" w14:textId="5D1BFA24" w:rsidR="006B7142" w:rsidRPr="0057434E" w:rsidRDefault="00C65469" w:rsidP="00B442B0">
      <w:pPr>
        <w:spacing w:line="480" w:lineRule="auto"/>
        <w:ind w:firstLine="720"/>
        <w:rPr>
          <w:rFonts w:cs="Times New Roman"/>
        </w:rPr>
      </w:pPr>
      <w:r w:rsidRPr="0057434E">
        <w:rPr>
          <w:rFonts w:cs="Times New Roman"/>
        </w:rPr>
        <w:t xml:space="preserve">The </w:t>
      </w:r>
      <w:r w:rsidR="006D13E5">
        <w:rPr>
          <w:rFonts w:cs="Times New Roman"/>
        </w:rPr>
        <w:t xml:space="preserve">results of the </w:t>
      </w:r>
      <w:r w:rsidRPr="0057434E">
        <w:rPr>
          <w:rFonts w:cs="Times New Roman"/>
        </w:rPr>
        <w:t xml:space="preserve">present study </w:t>
      </w:r>
      <w:r w:rsidR="006D13E5">
        <w:rPr>
          <w:rFonts w:cs="Times New Roman"/>
        </w:rPr>
        <w:t xml:space="preserve">demonstrate that </w:t>
      </w:r>
      <w:r w:rsidR="00033DA6">
        <w:rPr>
          <w:rFonts w:cs="Times New Roman"/>
        </w:rPr>
        <w:t>GLP-1RA</w:t>
      </w:r>
      <w:r w:rsidR="002E2865" w:rsidRPr="002E2865">
        <w:rPr>
          <w:rFonts w:cs="Times New Roman"/>
        </w:rPr>
        <w:t xml:space="preserve"> exposure </w:t>
      </w:r>
      <w:r w:rsidR="006D13E5">
        <w:rPr>
          <w:rFonts w:cs="Times New Roman"/>
        </w:rPr>
        <w:t xml:space="preserve">may be </w:t>
      </w:r>
      <w:r w:rsidR="002E2865" w:rsidRPr="002E2865">
        <w:rPr>
          <w:rFonts w:cs="Times New Roman"/>
        </w:rPr>
        <w:t xml:space="preserve">associated with </w:t>
      </w:r>
      <w:r w:rsidR="006D13E5">
        <w:rPr>
          <w:rFonts w:cs="Times New Roman"/>
        </w:rPr>
        <w:t xml:space="preserve">improved </w:t>
      </w:r>
      <w:proofErr w:type="gramStart"/>
      <w:r w:rsidR="006D13E5">
        <w:rPr>
          <w:rFonts w:cs="Times New Roman"/>
        </w:rPr>
        <w:t>long term</w:t>
      </w:r>
      <w:proofErr w:type="gramEnd"/>
      <w:r w:rsidR="006D13E5">
        <w:rPr>
          <w:rFonts w:cs="Times New Roman"/>
        </w:rPr>
        <w:t xml:space="preserve"> outcomes in the form of </w:t>
      </w:r>
      <w:r w:rsidR="002E2865" w:rsidRPr="002E2865">
        <w:rPr>
          <w:rFonts w:cs="Times New Roman"/>
        </w:rPr>
        <w:t>lower crude incidence and lower Kaplan–</w:t>
      </w:r>
      <w:r w:rsidR="002E2865" w:rsidRPr="002E2865">
        <w:rPr>
          <w:rFonts w:cs="Times New Roman"/>
        </w:rPr>
        <w:lastRenderedPageBreak/>
        <w:t xml:space="preserve">Meier event probability for ischemic stroke, all-cause mortality, and their composite after both CAS and CEA. Following CAS, crude ischemic stroke incidence was </w:t>
      </w:r>
      <w:r w:rsidR="005A0B45">
        <w:rPr>
          <w:rFonts w:cs="Times New Roman"/>
        </w:rPr>
        <w:t>2.9</w:t>
      </w:r>
      <w:r w:rsidR="002E2865" w:rsidRPr="002E2865">
        <w:rPr>
          <w:rFonts w:cs="Times New Roman"/>
        </w:rPr>
        <w:t xml:space="preserve">% versus </w:t>
      </w:r>
      <w:r w:rsidR="005A0B45">
        <w:rPr>
          <w:rFonts w:cs="Times New Roman"/>
        </w:rPr>
        <w:t>5.9</w:t>
      </w:r>
      <w:r w:rsidR="002E2865" w:rsidRPr="002E2865">
        <w:rPr>
          <w:rFonts w:cs="Times New Roman"/>
        </w:rPr>
        <w:t xml:space="preserve">%, while mortality incidence was 9.0% versus 19.0%. Following CEA, the corresponding incidences were </w:t>
      </w:r>
      <w:r w:rsidR="005A0B45">
        <w:rPr>
          <w:rFonts w:cs="Times New Roman"/>
        </w:rPr>
        <w:t>4.7</w:t>
      </w:r>
      <w:r w:rsidR="002E2865" w:rsidRPr="002E2865">
        <w:rPr>
          <w:rFonts w:cs="Times New Roman"/>
        </w:rPr>
        <w:t xml:space="preserve">% versus </w:t>
      </w:r>
      <w:r w:rsidR="005A0B45">
        <w:rPr>
          <w:rFonts w:cs="Times New Roman"/>
        </w:rPr>
        <w:t>9.8</w:t>
      </w:r>
      <w:r w:rsidR="002E2865" w:rsidRPr="002E2865">
        <w:rPr>
          <w:rFonts w:cs="Times New Roman"/>
        </w:rPr>
        <w:t xml:space="preserve">% for ischemic stroke and 8.1% versus 18.8% for mortality. These findings were directionally consistent in the time-to-event analyses, with HRs favoring </w:t>
      </w:r>
      <w:r w:rsidR="00033DA6">
        <w:rPr>
          <w:rFonts w:cs="Times New Roman"/>
        </w:rPr>
        <w:t>GLP-1RA</w:t>
      </w:r>
      <w:r w:rsidR="002E2865" w:rsidRPr="002E2865">
        <w:rPr>
          <w:rFonts w:cs="Times New Roman"/>
        </w:rPr>
        <w:t xml:space="preserve"> exposure across all three outcomes </w:t>
      </w:r>
      <w:r w:rsidR="006D13E5" w:rsidRPr="006D13E5">
        <w:rPr>
          <w:rFonts w:cs="Times New Roman"/>
        </w:rPr>
        <w:t>in both procedure-specific analyses</w:t>
      </w:r>
      <w:r w:rsidR="006B7142" w:rsidRPr="0057434E">
        <w:rPr>
          <w:rFonts w:cs="Times New Roman"/>
        </w:rPr>
        <w:t>.</w:t>
      </w:r>
    </w:p>
    <w:p w14:paraId="57A3876A" w14:textId="22F6E6EE" w:rsidR="00C65469" w:rsidRPr="0057434E" w:rsidRDefault="009F1629" w:rsidP="009F1629">
      <w:pPr>
        <w:spacing w:line="480" w:lineRule="auto"/>
        <w:ind w:firstLine="720"/>
        <w:rPr>
          <w:rFonts w:cs="Times New Roman"/>
        </w:rPr>
      </w:pPr>
      <w:r w:rsidRPr="0057434E">
        <w:rPr>
          <w:rFonts w:cs="Times New Roman"/>
        </w:rPr>
        <w:t>Prior trials and registries demonstrate that baseline procedural risk and patient selection differ across CAS and CEA, and these differences are influenced by symptom status, comorbidity burden, anatomy, and institutional expertise.</w:t>
      </w:r>
      <w:r w:rsidRPr="0057434E">
        <w:rPr>
          <w:rFonts w:cs="Times New Roman"/>
        </w:rPr>
        <w:fldChar w:fldCharType="begin"/>
      </w:r>
      <w:r w:rsidR="00E2649B">
        <w:rPr>
          <w:rFonts w:cs="Times New Roman"/>
        </w:rPr>
        <w:instrText xml:space="preserve"> ADDIN ZOTERO_ITEM CSL_CITATION {"citationID":"TJxRi17g","properties":{"formattedCitation":"\\super 6\\nosupersub{}","plainCitation":"6","noteIndex":0},"citationItems":[{"id":11112,"uris":["http://zotero.org/users/14458687/items/V2XRYH5Y"],"itemData":{"id":11112,"type":"article-journal","abstract":"In this randomized comparison of stenting and endarterectomy as treatment for carotid-artery stenosis, there was no significant difference in the rate of the composite primary end point of stroke, myocardial infarction, or death (7.2% and 6.8%, respectively; P=0.51). Stroke was more common with carotid-artery stenting than carotid endarterectomy; myocardial infarction was more common with carotid endarterectomy. The 4-year rate of stroke or death was 6.4% for carotid-artery stenting and 4.7% for carotid endarterectomy (P=0.03). In this randomized comparison of stenting and endarterectomy as treatment for carotid-artery stenosis, there was no significant difference in the rate of the composite primary end point of stroke, myocardial infarction, or death (7.2% and 6.8%, respectively). Carotid-artery atherosclerosis is an important cause of ischemic stroke.1 Carotid endarterectomy has been established as effective treatment for both symptomatic patients and asymptomatic patients.2–4 Carotid-artery stenting is another option for treatment. The results of randomized trials comparing carotid-artery stenting and carotid endarterectomy for use in symptomatic patients are conflicting.5–7 The primary aim of the Carotid Revascularization Endarterectomy vs. Stenting Trial (CREST) was to compare the outcomes of carotid-artery stenting with those of carotid endarterectomy among patients with symptomatic or asymptomatic extracranial carotid stenosis. Methods Study Design CREST is a randomized, controlled trial with blinded end-point adjudication. Ethics review . . .","container-title":"New England Journal of Medicine","DOI":"10.1056/NEJMoa0912321","ISSN":"0028-4793","issue":"1","note":"_eprint: https://www.nejm.org/doi/pdf/10.1056/NEJMoa0912321","page":"11-23","publisher":"Massachusetts Medical Society","source":"Taylor and Francis+NEJM","title":"Stenting versus Endarterectomy for Treatment of Carotid-Artery Stenosis","volume":"363","author":[{"family":"Brott","given":"Thomas G."},{"family":"Hobson","given":"Robert W."},{"family":"Howard","given":"George"},{"family":"Roubin","given":"Gary S."},{"family":"Clark","given":"Wayne M."},{"family":"Brooks","given":"William"},{"family":"Mackey","given":"Ariane"},{"family":"Hill","given":"Michael D."},{"family":"Leimgruber","given":"Pierre P."},{"family":"Sheffet","given":"Alice J."},{"family":"Howard","given":"Virginia J."},{"family":"Moore","given":"Wesley S."},{"family":"Voeks","given":"Jenifer H."},{"family":"Hopkins","given":"L. Nelson"},{"family":"Cutlip","given":"Donald E."},{"family":"Cohen","given":"David J."},{"family":"Popma","given":"Jeffrey J."},{"family":"Ferguson","given":"Robert D."},{"family":"Cohen","given":"Stanley N."},{"family":"Blackshear","given":"Joseph L."},{"family":"Silver","given":"Frank L."},{"family":"Mohr","given":"J. P."},{"family":"Lal","given":"Brajesh K."},{"family":"Meschia","given":"James F."}],"issued":{"date-parts":[["2010",7,1]]}}}],"schema":"https://github.com/citation-style-language/schema/raw/master/csl-citation.json"}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6</w:t>
      </w:r>
      <w:r w:rsidRPr="0057434E">
        <w:rPr>
          <w:rFonts w:cs="Times New Roman"/>
        </w:rPr>
        <w:fldChar w:fldCharType="end"/>
      </w:r>
      <w:r w:rsidRPr="0057434E">
        <w:rPr>
          <w:rFonts w:cs="Times New Roman"/>
        </w:rPr>
        <w:t xml:space="preserve"> In this context, the key finding of our study is that the direction and magnitude of the association between </w:t>
      </w:r>
      <w:r w:rsidR="00033DA6">
        <w:rPr>
          <w:rFonts w:cs="Times New Roman"/>
        </w:rPr>
        <w:t>GLP-1RA</w:t>
      </w:r>
      <w:r w:rsidRPr="0057434E">
        <w:rPr>
          <w:rFonts w:cs="Times New Roman"/>
        </w:rPr>
        <w:t xml:space="preserve"> exposure and lower ischemic stroke and mortality risk were consistent within each procedure-specific matched cohort, supporting the hypothesis that </w:t>
      </w:r>
      <w:r w:rsidR="00033DA6">
        <w:rPr>
          <w:rFonts w:cs="Times New Roman"/>
        </w:rPr>
        <w:t>GLP-1RA</w:t>
      </w:r>
      <w:r w:rsidRPr="0057434E">
        <w:rPr>
          <w:rFonts w:cs="Times New Roman"/>
        </w:rPr>
        <w:t xml:space="preserve">s may provide additive cerebrovascular and survival benefit following carotid revascularization. </w:t>
      </w:r>
    </w:p>
    <w:p w14:paraId="7E3CF393" w14:textId="608041B2" w:rsidR="009F1638" w:rsidRPr="0057434E" w:rsidRDefault="003C6DAA" w:rsidP="009F1629">
      <w:pPr>
        <w:spacing w:line="480" w:lineRule="auto"/>
        <w:ind w:firstLine="720"/>
        <w:rPr>
          <w:rFonts w:cs="Times New Roman"/>
        </w:rPr>
      </w:pPr>
      <w:r w:rsidRPr="0057434E">
        <w:rPr>
          <w:rFonts w:cs="Times New Roman"/>
        </w:rPr>
        <w:t>Previous studies have</w:t>
      </w:r>
      <w:r w:rsidR="009F1629" w:rsidRPr="0057434E">
        <w:rPr>
          <w:rFonts w:cs="Times New Roman"/>
        </w:rPr>
        <w:t xml:space="preserve"> also</w:t>
      </w:r>
      <w:r w:rsidRPr="0057434E">
        <w:rPr>
          <w:rFonts w:cs="Times New Roman"/>
        </w:rPr>
        <w:t xml:space="preserve"> shown that mortality after carotid revascularization varies by technique, patient risk profile, and follow-up duration. In the perioperative window, large real-world datasets have reported higher 30-day death rates with transfemoral CAS than with CEA, with a Canadian population study showing a 2.6-fold higher risk of death within 30 days for stenting versus CEA and Medicare-matched data reporting perioperative mortality of 3.0% after TFCAS versus 0.9% after CEA (adjusted OR 0.33 in favor of CEA).</w:t>
      </w:r>
      <w:r w:rsidRPr="0057434E">
        <w:rPr>
          <w:rFonts w:cs="Times New Roman"/>
        </w:rPr>
        <w:fldChar w:fldCharType="begin"/>
      </w:r>
      <w:r w:rsidR="00E2649B">
        <w:rPr>
          <w:rFonts w:cs="Times New Roman"/>
        </w:rPr>
        <w:instrText xml:space="preserve"> ADDIN ZOTERO_ITEM CSL_CITATION {"citationID":"OHazk770","properties":{"formattedCitation":"\\super 4,21\\nosupersub{}","plainCitation":"4,21","noteIndex":0},"citationItems":[{"id":11041,"uris":["http://zotero.org/users/14458687/items/RJL9WB8W"],"itemData":{"id":11041,"type":"article-journal","abstract":"BACKGROUND: Carotid endarterectomy (CEA) is associated with lower risk of perioperative stroke compared with transfemoral carotid artery stenting (TFCAS) in the treatment of carotid artery stenosis. However, there is discrepancy in data regarding long-term outcomes. We aimed to compare long-term outcomes of CEA vs TFCAS using the Medicare-matched Vascular Quality Initiative Vascular Implant Surveillance and Interventional Outcomes Network database.\nMETHODS: We assessed patients undergoing first-time CEA or TFCAS in Vascular Quality Initiative Vascular-Vascular Implant Surveillance and Interventional Outcomes Network from January 2003 to December 2018. Patients with prior history of carotid revascularization, nontransfemoral stenting, stenting performed without distal embolic protection, multiple or nonatherosclerotic lesions, or concomitant procedures were excluded. The primary outcome of interest was all-cause mortality, any stroke, and a combined end point of death or stroke. We additionally performed propensity score matching and stratification based on symptomatic status.\nRESULTS: A total of 80,146 carotid revascularizations were performed, of which 72,615 were CEA and 7531 were TFCAS. CEA was associated with significantly lower risk of death (57.8% vs 70.4%, adjusted hazard ratio [aHR], 0.46; 95% confidence interval [CI], 0.41-0.52; P &lt; .001), stroke (21.3% vs 26.6%; aHR, 0.63; 95% CI, 0.57-0.69; P &lt; .001) and combined end point of death and stroke (65.3% vs 76.5%; HR, 0.49; 95% CI, 0.44-0.55; P &lt; .001) at 10 years. These findings were reflected in the propensity-matched cohort (combined end point: 34.6% vs 46.8%; HR, 0.53; 95% CI, 0.46-0.62) at 4 years, as well as stratified analyses of combined end point by symptomatic status (asymptomatic: 63.2% vs 74.9%; HR, 0.49; 95% CI, 0.43-0.58; P &lt; .001; symptomatic: 69.9% vs 78.3%; HR, 0.51; 95% CI, 0.45-0.59; P &lt; .001) at 10 years.\nCONCLUSIONS: In this analysis of North American real-world data, CEA was associated with greater long-term survival and fewer strokes compared with TFCAS. These findings support the continued use of CEA as the first-line revascularization procedure.","container-title":"Journal of Vascular Surgery","DOI":"10.1016/j.jvs.2023.08.118","ISSN":"1097-6809","issue":"4","journalAbbreviation":"J Vasc Surg","language":"eng","page":"826-834.e3","PMID":"37634620","source":"PubMed","title":"Long-term outcomes of carotid endarterectomy vs transfemoral carotid stenting in a Medicare-matched database","volume":"79","author":[{"family":"Yei","given":"Kevin S."},{"family":"Janssen","given":"Claire"},{"family":"Elsayed","given":"Nadin"},{"family":"Naazie","given":"Isaac"},{"family":"Sedrakyan","given":"Art"},{"family":"Malas","given":"Mahmoud B."}],"issued":{"date-parts":[["2024",4]]}}},{"id":11075,"uris":["http://zotero.org/users/14458687/items/HVBXATZ5"],"itemData":{"id":11075,"type":"article-journal","abstract":"OBJECTIVE: To compare the long-term outcomes of patients treated with carotid endarterectomy and carotid-artery stenting.\nBACKGROUND: Evidence for the long-term safety and efficacy of carotid-artery stenting compared with endarterectomy is accumulating from randomized trials. However, comparative data on the long-term outcomes of carotid revascularization strategies in real world practice are lacking.\nMETHODS: We conducted a population-based, multicenter, observational cohort study using validated linked databases from Ontario, Canada. We identified all individuals treated with carotid endarterectomy and stenting (2002-2014), and followed them up to 2015. We compared long-term (up to 13 years) and 30-day outcomes of each strategy using multilevel multivariable Cox proportional-hazards models, and conducted confirmatory analyses using propensity-score matching methods.\nRESULTS: In all, 15,525 patients received carotid-artery revascularization. Rate of the primary composite outcome of 30-day death, stroke, or myocardial infarction plus any stroke during 13-year follow-up was higher with stenting (16.3%) compared with endarterectomy (9.7%) [adjusted hazard ratio (HR) 1.57, 95% confidence interval (CI) 1.43-1.73, P &lt; 0.001). The increased risk with stenting was observed regardless of age, sex, intervention year, carotid-artery symptoms, or diabetes. The primary outcome was driven by higher rates of 30-day stroke (adjusted HR 1.59, 95% CI 1.29-1.95), 30-day death (adjusted HR 2.62, 95% CI 2.20-3.13), and long-term stroke &gt;30 days after the procedure (adjusted HR 1.47, 95% CI 1.36-1.59) with stenting; 30-day myocardial infarction was lower with stenting (adjusted HR 0.70, 95% CI 0.57-0.86). These results were confirmed with 1:2 propensity-score matching (HR for primary composite outcome with stenting 1.55, 95% CI 1.31-1.83, P &lt; 0.001).\nCONCLUSIONS: Compared with carotid endarterectomy, stenting was associated with an early and sustained approximately 55% increased hazard for major adverse events over long-term follow-up. Although nonrandomized, these results raise potential concerns about the interchangeability of carotid endarterectomy and stenting in the context of actual clinical practice.","container-title":"Annals of Surgery","DOI":"10.1097/SLA.0000000000002301","ISSN":"1528-1140","issue":"2","journalAbbreviation":"Ann Surg","language":"eng","page":"364-373","PMID":"28498234","source":"PubMed","title":"Long-term Outcomes of Carotid Endarterectomy Versus Stenting in a Multicenter Population-based Canadian Study","volume":"268","author":[{"family":"Hussain","given":"Mohamad A."},{"family":"Mamdani","given":"Muhammad"},{"family":"Tu","given":"Jack V."},{"family":"Saposnik","given":"Gustavo"},{"family":"Aljabri","given":"Badr"},{"family":"Bhatt","given":"Deepak L."},{"family":"Verma","given":"Subodh"},{"family":"Al-Omran","given":"Mohammed"}],"issued":{"date-parts":[["2018",8]]}}}],"schema":"https://github.com/citation-style-language/schema/raw/master/csl-citation.json"}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4,21</w:t>
      </w:r>
      <w:r w:rsidRPr="0057434E">
        <w:rPr>
          <w:rFonts w:cs="Times New Roman"/>
        </w:rPr>
        <w:fldChar w:fldCharType="end"/>
      </w:r>
      <w:r w:rsidRPr="0057434E">
        <w:rPr>
          <w:rFonts w:cs="Times New Roman"/>
        </w:rPr>
        <w:t xml:space="preserve"> Other registry analyses using contemporary practice and </w:t>
      </w:r>
      <w:r w:rsidR="00033DA6">
        <w:rPr>
          <w:rFonts w:cs="Times New Roman"/>
        </w:rPr>
        <w:t xml:space="preserve">PSM </w:t>
      </w:r>
      <w:r w:rsidRPr="0057434E">
        <w:rPr>
          <w:rFonts w:cs="Times New Roman"/>
        </w:rPr>
        <w:t>have found low and more comparable early mortality (around 0.8</w:t>
      </w:r>
      <w:r w:rsidR="00A80B84" w:rsidRPr="0057434E">
        <w:rPr>
          <w:rFonts w:cs="Times New Roman"/>
        </w:rPr>
        <w:t>-</w:t>
      </w:r>
      <w:r w:rsidRPr="0057434E">
        <w:rPr>
          <w:rFonts w:cs="Times New Roman"/>
        </w:rPr>
        <w:t>1.2% for CEA and CAS), particularly in high-volume centers, with some modern series of CAS or TCAR reporting perioperative mortality near or below 1%.</w:t>
      </w:r>
      <w:r w:rsidRPr="0057434E">
        <w:rPr>
          <w:rFonts w:cs="Times New Roman"/>
        </w:rPr>
        <w:fldChar w:fldCharType="begin"/>
      </w:r>
      <w:r w:rsidR="00E2649B">
        <w:rPr>
          <w:rFonts w:cs="Times New Roman"/>
        </w:rPr>
        <w:instrText xml:space="preserve"> ADDIN ZOTERO_ITEM CSL_CITATION {"citationID":"sgrLHIGj","properties":{"formattedCitation":"\\super 3,22\\nosupersub{}","plainCitation":"3,22","noteIndex":0},"citationItems":[{"id":11047,"uris":["http://zotero.org/users/14458687/items/CVXBUXRH"],"itemData":{"id":11047,"type":"article-journal","abstract":"BACKGROUND: Carotid endarterectomy (CEA) and carotid artery stenting (CAS) represent options to treat many patients with carotid stenosis. Although randomized trial data are plentiful, estimated rates of morbidity and mortality for both CEA and CAS have varied substantially.\nOBJECTIVE: To evaluate rates of adverse outcomes after CAS and CEA in a large national database.\nMETHODS: We analyzed 84 191 adult patients undergoing elective, nonemergent CAS (n = 81 361) or CEA (n = 2830), from 2011 to 2018, in the American College of Surgeons' National Surgical Quality Improvement Program database. Odds of adverse outcomes (30-d rates of stroke, myocardial infarction (MI), cardiac arrest, prolonged length of stay (LOS), readmission, reoperation, and mortality) were evaluated in propensity-matched (n = 2821) cohorts through logistic regression.\nRESULTS: In the propensity-matched cohorts, CAS had increased odds of periprocedural stroke (odds ratio [OR] 1.97, 95% CI 1.32-2.95) and decreased odds of cardiac arrest (OR 0.33, 95% CI 0.13-0.84) and 30-d reoperation (OR 0.59, 95% CI 0.44-0.80) compared to CEA. Relative odds of MI, prolonged LOS, discharge to destination other than home, 30-d readmission, or 30-d mortality were statistically similar. In the unmatched patient population, rates of adverse outcomes with CEA were constant over time; however, for CAS, rates of stroke increased over time. In both the matched and unmatched patient cohorts, patients 70 yr and older had lower rates of post-procedural stroke with CEA, but not with CAS, compared to younger patients.\nCONCLUSION: In a propensity-matched analysis of a large, prospectively collected, national, surgical database, CAS was associated with increased odds of periprocedural stroke, which increased over time. Rates of MI and death were not significantly different between the 2 procedures.","container-title":"Neurosurgery","DOI":"10.1093/neuros/nyab250","ISSN":"1524-4040","issue":"4","journalAbbreviation":"Neurosurgery","language":"eng","page":"653-663","PMID":"34320217","source":"PubMed","title":"Early Outcomes After Carotid Endarterectomy and Carotid Artery Stenting: A Propensity-Matched Cohort Analysis","title-short":"Early Outcomes After Carotid Endarterectomy and Carotid Artery Stenting","volume":"89","author":[{"family":"Sastry","given":"Rahul A."},{"family":"Pertsch","given":"Nathan J."},{"family":"Sagaityte","given":"Emilija"},{"family":"Poggi","given":"Jonathan A."},{"family":"Toms","given":"Steven A."},{"family":"Weil","given":"Robert J."}],"issued":{"date-parts":[["2021",9,15]]}}},{"id":11013,"uris":["http://zotero.org/users/14458687/items/AWGS5ZZT"],"itemData":{"id":11013,"type":"article-journal","abstract":"BACKGROUND: Technological and surgical approaches to carotid artery stenting (CAS) have evolved. Modern randomised controlled trials comparing CAS and carotid endarterectomy (CEA) are limited, and information about updated post-intervention outcomes are mostly from retrospective, small studies. AIMS: This study aims to compare the 30-day outcomes of stroke, transient ischaemic attack (TIA), acute myocardial infarction (AMI) and death with propensity-matched groups of CEA and CAS in asymptomatic and symptomatic patients over a recent study period of new CAS technologies and approaches.\nMETHODS: A retrospective, observational, multicentre analysis was conducted including consecutive symptomatic and asymptomatic patients treated with either primary CEA or CAS for internal carotid artery stenosis, between 2015 and 2022. Patients were propensity score-matched based on comorbidities and assessed according to symptom status. Primary endpoints include composite ipsilateral stroke, TIA, AMI and death within 30 days. Secondary endpoints include technical success and length of hospital stay.\nRESULTS: From a cohort of 1,110 patients, propensity matching produced 269 distinct treatment pairs (n=538). Most patients were asymptomatic (n=456, 85%). All 6 strokes were minor (CEA=2; CAS=4) and registered among asymptomatic patients. One AMI (CEA) and 1 patient death (CAS) were reported among symptomatic patients. Composite stroke/AMI/death were not significantly different between both types of symptom status and both revascularisation techniques (p=0.44 and p=1, respectively). Technical success was 100%. The length of hospital stay was significantly shorter in asymptomatic patients treated with CAS compared to those treated with CEA (p=0.05), but no difference was registered among symptomatic patients (p=0.32).\nCONCLUSIONS: Propensity-matched analysis suggests that CAS has similar postprocedural outcomes for stroke, AMI and death at 30 days compared to CEA. ABSTRACT","container-title":"EuroIntervention","DOI":"10.4244/EIJ-D-23-00624","ISSN":"1969-6213","issue":"7","language":"en","page":"e445-e452","source":"DOI.org (Crossref)","title":"Thirty-day outcomes of carotid endarterectomy versus carotid artery stenting in asymptomatic and symptomatic patients: a propensity score-matched analysis","title-short":"Thirty-day outcomes of carotid endarterectomy versus carotid artery stenting in asymptomatic and symptomatic patients","volume":"20","author":[{"family":"Bramucci","given":"Alberto"},{"family":"Nerla","given":"Roberto"},{"family":"Bianchini Massoni","given":"Claudio"},{"family":"Giovannini","given":"Davide"},{"family":"Chester","given":"Johanna"},{"family":"Freyrie","given":"Antonio"},{"family":"Castriota","given":"Fausto"}],"issued":{"date-parts":[["2024",4]]}}}],"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3,22</w:t>
      </w:r>
      <w:r w:rsidRPr="0057434E">
        <w:rPr>
          <w:rFonts w:cs="Times New Roman"/>
        </w:rPr>
        <w:fldChar w:fldCharType="end"/>
      </w:r>
      <w:r w:rsidRPr="0057434E">
        <w:rPr>
          <w:rFonts w:cs="Times New Roman"/>
        </w:rPr>
        <w:t xml:space="preserve"> Over longer horizons, real-world data again tend to favor CEA: a VQI</w:t>
      </w:r>
      <w:r w:rsidR="00A80B84" w:rsidRPr="0057434E">
        <w:rPr>
          <w:rFonts w:cs="Times New Roman"/>
        </w:rPr>
        <w:t>-</w:t>
      </w:r>
      <w:r w:rsidRPr="0057434E">
        <w:rPr>
          <w:rFonts w:cs="Times New Roman"/>
        </w:rPr>
        <w:t>Medicare-linked cohort reported 10-</w:t>
      </w:r>
      <w:r w:rsidRPr="0057434E">
        <w:rPr>
          <w:rFonts w:cs="Times New Roman"/>
        </w:rPr>
        <w:lastRenderedPageBreak/>
        <w:t>year all-cause mortality of 70.4% after TFCAS versus 57.8% after CEA (adjusted HR 0.46), and a Canadian study found post-30-day death in 34.1% of CAS versus 28.1% of CEA patients (adjusted HR 1.23), whereas randomized trials such as SAPPHIRE and CREST have shown more comparable survival over 3</w:t>
      </w:r>
      <w:r w:rsidR="00A80B84" w:rsidRPr="0057434E">
        <w:rPr>
          <w:rFonts w:cs="Times New Roman"/>
        </w:rPr>
        <w:t>-</w:t>
      </w:r>
      <w:r w:rsidRPr="0057434E">
        <w:rPr>
          <w:rFonts w:cs="Times New Roman"/>
        </w:rPr>
        <w:t>10 years once early events are excluded (for example, 3-year mortality of 20.0% after CAS versus 24.2% after CEA in SAPPHIRE, and similar long-term risks in pooled CREST analyses among perioperatively event-free patients).</w:t>
      </w:r>
      <w:r w:rsidRPr="0057434E">
        <w:rPr>
          <w:rFonts w:cs="Times New Roman"/>
        </w:rPr>
        <w:fldChar w:fldCharType="begin"/>
      </w:r>
      <w:r w:rsidR="00E2649B">
        <w:rPr>
          <w:rFonts w:cs="Times New Roman"/>
        </w:rPr>
        <w:instrText xml:space="preserve"> ADDIN ZOTERO_ITEM CSL_CITATION {"citationID":"U88S5vEz","properties":{"formattedCitation":"\\super 4,21,23,24\\nosupersub{}","plainCitation":"4,21,23,24","noteIndex":0},"citationItems":[{"id":11038,"uris":["http://zotero.org/users/14458687/items/NSSQ52MP"],"itemData":{"id":11038,"type":"article-journal","abstract":"BACKGROUND: The risk of periprocedural stroke or death is higher after carotid artery stenting (CAS) than carotid endarterectomy (CEA) for the treatment of symptomatic carotid stenosis. However, long-term outcomes have not been sufficiently assessed. We sought to combine individual patient-level data from the four major randomised controlled trials of CAS versus CEA for the treatment of symptomatic carotid stenosis to assess long-term outcomes.\nMETHODS: We did a pooled analysis of individual patient-level data, acquired from the four largest randomised controlled trials assessing the relative efficacy of CAS and CEA for treatment of symptomatic carotid stenosis (Endarterectomy versus Angioplasty in Patients with Symptomatic Severe Carotid Stenosis trial, Stent-Protected Percutaneous Angioplasty of the Carotid Artery versus Endarterectomy trial, International Carotid Stenting Study, and Carotid Revascularization Endarterectomy versus Stenting Trial). The risk of ipsilateral stroke was assessed between 121 days and 1, 3, 5, 7, 9, and 10 years after randomisation. The primary outcome was the composite risk of stroke or death within 120 days after randomisation (periprocedural risk) or subsequent ipsilateral stroke up to 10 years after randomisation (postprocedural risk). Analyses were intention-to-treat, with the risk of events calculated using Kaplan-Meier methods and Cox proportional hazards analysis with adjustment for trial.\nFINDINGS: In the four trials included, 4775 patients were randomly assigned, of whom a total of 4754 (99·6%) patients were followed up for a maximum of 12·4 years. 21 (0·4%) patients immediately withdrew consent after randomisation and were excluded. Median length of follow-up across the studies ranged from 2·0 to 6·9 years. 129 periprocedural and 55 postprocedural outcome events occurred in patients allocated CEA, and 206 and 57 for those allocated CAS. After the periprocedural period, the annual rates of ipsilateral stroke per person-year were similar for the two treatments: 0·60% (95% CI 0·46-0·79) for CEA and 0·64% (0·49-0·83) for CAS. Nonetheless, the periprocedural and postprocedural risks combined favoured CEA, with treatment differences at 1, 3, 5, 7, and 9 years all ranging between 2·8% (1·1-4·4) and 4·1% (2·0-6·3).\nINTERPRETATION: Outcomes in the postprocedural period after CAS and CEA were similar, suggesting robust clinical durability for both treatments. Although long-term outcomes (periprocedural and postprocedural risks combined) continue to favour CEA, the similarity of the postprocedural rates suggest that improvements in the periprocedural safety of CAS could provide similar outcomes of the two procedures in the future.\nFUNDING: None.","container-title":"The Lancet. Neurology","DOI":"10.1016/S1474-4422(19)30028-6","ISSN":"1474-4465","issue":"4","journalAbbreviation":"Lancet Neurol","language":"eng","page":"348-356","PMID":"30738706","PMCID":"PMC6773606","source":"PubMed","title":"Long-term outcomes of stenting and endarterectomy for symptomatic carotid stenosis: a preplanned pooled analysis of individual patient data","title-short":"Long-term outcomes of stenting and endarterectomy for symptomatic carotid stenosis","volume":"18","author":[{"family":"Brott","given":"Thomas G."},{"family":"Calvet","given":"David"},{"family":"Howard","given":"George"},{"family":"Gregson","given":"John"},{"family":"Algra","given":"Ale"},{"family":"Becquemin","given":"Jean-Pierre"},{"family":"Borst","given":"Gert J.","non-dropping-particle":"de"},{"family":"Bulbulia","given":"Richard"},{"family":"Eckstein","given":"Hans-Henning"},{"family":"Fraedrich","given":"Gustav"},{"family":"Greving","given":"Jacoba P."},{"family":"Halliday","given":"Alison"},{"family":"Hendrikse","given":"Jeroen"},{"family":"Jansen","given":"Olav"},{"family":"Voeks","given":"Jenifer H."},{"family":"Ringleb","given":"Peter A."},{"family":"Mas","given":"Jean-Louis"},{"family":"Brown","given":"Martin M."},{"family":"Bonati","given":"Leo H."},{"literal":"Carotid Stenosis Trialists' Collaboration"}],"issued":{"date-parts":[["2019",4]]}}},{"id":11041,"uris":["http://zotero.org/users/14458687/items/RJL9WB8W"],"itemData":{"id":11041,"type":"article-journal","abstract":"BACKGROUND: Carotid endarterectomy (CEA) is associated with lower risk of perioperative stroke compared with transfemoral carotid artery stenting (TFCAS) in the treatment of carotid artery stenosis. However, there is discrepancy in data regarding long-term outcomes. We aimed to compare long-term outcomes of CEA vs TFCAS using the Medicare-matched Vascular Quality Initiative Vascular Implant Surveillance and Interventional Outcomes Network database.\nMETHODS: We assessed patients undergoing first-time CEA or TFCAS in Vascular Quality Initiative Vascular-Vascular Implant Surveillance and Interventional Outcomes Network from January 2003 to December 2018. Patients with prior history of carotid revascularization, nontransfemoral stenting, stenting performed without distal embolic protection, multiple or nonatherosclerotic lesions, or concomitant procedures were excluded. The primary outcome of interest was all-cause mortality, any stroke, and a combined end point of death or stroke. We additionally performed propensity score matching and stratification based on symptomatic status.\nRESULTS: A total of 80,146 carotid revascularizations were performed, of which 72,615 were CEA and 7531 were TFCAS. CEA was associated with significantly lower risk of death (57.8% vs 70.4%, adjusted hazard ratio [aHR], 0.46; 95% confidence interval [CI], 0.41-0.52; P &lt; .001), stroke (21.3% vs 26.6%; aHR, 0.63; 95% CI, 0.57-0.69; P &lt; .001) and combined end point of death and stroke (65.3% vs 76.5%; HR, 0.49; 95% CI, 0.44-0.55; P &lt; .001) at 10 years. These findings were reflected in the propensity-matched cohort (combined end point: 34.6% vs 46.8%; HR, 0.53; 95% CI, 0.46-0.62) at 4 years, as well as stratified analyses of combined end point by symptomatic status (asymptomatic: 63.2% vs 74.9%; HR, 0.49; 95% CI, 0.43-0.58; P &lt; .001; symptomatic: 69.9% vs 78.3%; HR, 0.51; 95% CI, 0.45-0.59; P &lt; .001) at 10 years.\nCONCLUSIONS: In this analysis of North American real-world data, CEA was associated with greater long-term survival and fewer strokes compared with TFCAS. These findings support the continued use of CEA as the first-line revascularization procedure.","container-title":"Journal of Vascular Surgery","DOI":"10.1016/j.jvs.2023.08.118","ISSN":"1097-6809","issue":"4","journalAbbreviation":"J Vasc Surg","language":"eng","page":"826-834.e3","PMID":"37634620","source":"PubMed","title":"Long-term outcomes of carotid endarterectomy vs transfemoral carotid stenting in a Medicare-matched database","volume":"79","author":[{"family":"Yei","given":"Kevin S."},{"family":"Janssen","given":"Claire"},{"family":"Elsayed","given":"Nadin"},{"family":"Naazie","given":"Isaac"},{"family":"Sedrakyan","given":"Art"},{"family":"Malas","given":"Mahmoud B."}],"issued":{"date-parts":[["2024",4]]}}},{"id":11075,"uris":["http://zotero.org/users/14458687/items/HVBXATZ5"],"itemData":{"id":11075,"type":"article-journal","abstract":"OBJECTIVE: To compare the long-term outcomes of patients treated with carotid endarterectomy and carotid-artery stenting.\nBACKGROUND: Evidence for the long-term safety and efficacy of carotid-artery stenting compared with endarterectomy is accumulating from randomized trials. However, comparative data on the long-term outcomes of carotid revascularization strategies in real world practice are lacking.\nMETHODS: We conducted a population-based, multicenter, observational cohort study using validated linked databases from Ontario, Canada. We identified all individuals treated with carotid endarterectomy and stenting (2002-2014), and followed them up to 2015. We compared long-term (up to 13 years) and 30-day outcomes of each strategy using multilevel multivariable Cox proportional-hazards models, and conducted confirmatory analyses using propensity-score matching methods.\nRESULTS: In all, 15,525 patients received carotid-artery revascularization. Rate of the primary composite outcome of 30-day death, stroke, or myocardial infarction plus any stroke during 13-year follow-up was higher with stenting (16.3%) compared with endarterectomy (9.7%) [adjusted hazard ratio (HR) 1.57, 95% confidence interval (CI) 1.43-1.73, P &lt; 0.001). The increased risk with stenting was observed regardless of age, sex, intervention year, carotid-artery symptoms, or diabetes. The primary outcome was driven by higher rates of 30-day stroke (adjusted HR 1.59, 95% CI 1.29-1.95), 30-day death (adjusted HR 2.62, 95% CI 2.20-3.13), and long-term stroke &gt;30 days after the procedure (adjusted HR 1.47, 95% CI 1.36-1.59) with stenting; 30-day myocardial infarction was lower with stenting (adjusted HR 0.70, 95% CI 0.57-0.86). These results were confirmed with 1:2 propensity-score matching (HR for primary composite outcome with stenting 1.55, 95% CI 1.31-1.83, P &lt; 0.001).\nCONCLUSIONS: Compared with carotid endarterectomy, stenting was associated with an early and sustained approximately 55% increased hazard for major adverse events over long-term follow-up. Although nonrandomized, these results raise potential concerns about the interchangeability of carotid endarterectomy and stenting in the context of actual clinical practice.","container-title":"Annals of Surgery","DOI":"10.1097/SLA.0000000000002301","ISSN":"1528-1140","issue":"2","journalAbbreviation":"Ann Surg","language":"eng","page":"364-373","PMID":"28498234","source":"PubMed","title":"Long-term Outcomes of Carotid Endarterectomy Versus Stenting in a Multicenter Population-based Canadian Study","volume":"268","author":[{"family":"Hussain","given":"Mohamad A."},{"family":"Mamdani","given":"Muhammad"},{"family":"Tu","given":"Jack V."},{"family":"Saposnik","given":"Gustavo"},{"family":"Aljabri","given":"Badr"},{"family":"Bhatt","given":"Deepak L."},{"family":"Verma","given":"Subodh"},{"family":"Al-Omran","given":"Mohammed"}],"issued":{"date-parts":[["2018",8]]}}},{"id":11017,"uris":["http://zotero.org/users/14458687/items/4AIDTHZT"],"itemData":{"id":11017,"type":"article-journal","abstract":"In the Stenting and Angioplasty with Protection in Patients at High Risk for Endarterectomy (SAPPHIRE) trial of 334 patients with carotid-artery disease, carotid-artery stenting was not inferior to endarterectomy at 30 days or at 1 year. Most patients were followed for an additional 2 years. There was no significant difference between the two groups in the composite end point of death, stroke, or myocardial infarction within 30 days or death or ipsilateral stroke between 31 days and 3 years. In the SAPPHIRE trial of patients with carotid-artery disease, carotid-artery stenting was not inferior to endarterectomy at 30 days or at 1 year. In this follow-up study, there was no significant difference between the two groups in the composite end point of death, stroke, or myocardial infarction within 30 days or death or ipsilateral stroke between 31 days and 3 years. There is a direct relationship between the degree of carotid artery stenosis and the risk of ipsilateral stroke.1,2 Carotid revascularization by means of carotid endarterectomy has proved highly successful in reducing the incidence of stroke among patients with moderate-to-severe symptomatic carotid stenosis1 as well as among those with severe asymptomatic carotid stenosis.3 Although carotid endarterectomy has been considered the gold standard for the treatment of carotid stenosis for decades, carotid artery stenting has emerged as an alternative type of treatment for this common disorder.4,5 The Stenting and Angioplasty with Protection in Patients at High Risk for Endarterectomy (SAPPHIRE) . . .","container-title":"New England Journal of Medicine","DOI":"10.1056/NEJMoa0708028","ISSN":"0028-4793","issue":"15","note":"_eprint: https://www.nejm.org/doi/pdf/10.1056/NEJMoa0708028","page":"1572-1579","publisher":"Massachusetts Medical Society","source":"Taylor and Francis+NEJM","title":"Long-Term Results of Carotid Stenting versus Endarterectomy in High-Risk Patients","volume":"358","author":[{"family":"Gurm","given":"Hitinder S."},{"family":"Yadav","given":"Jay S."},{"family":"Fayad","given":"Pierre"},{"family":"Katzen","given":"Barry T."},{"family":"Mishkel","given":"Gregory J."},{"family":"Bajwa","given":"Tanvir K."},{"family":"Ansel","given":"Gary"},{"family":"Strickman","given":"Neil E."},{"family":"Wang","given":"Hong"},{"family":"Cohen","given":"Sidney A."},{"family":"Massaro","given":"Joseph M."},{"family":"Cutlip","given":"Donald E."}],"issued":{"date-parts":[["2008",4,10]]}}}],"schema":"https://github.com/citation-style-language/schema/raw/master/csl-citation.json"} </w:instrText>
      </w:r>
      <w:r w:rsidRPr="0057434E">
        <w:rPr>
          <w:rFonts w:cs="Times New Roman"/>
        </w:rPr>
        <w:fldChar w:fldCharType="separate"/>
      </w:r>
      <w:r w:rsidR="00E2649B" w:rsidRPr="00E2649B">
        <w:rPr>
          <w:rFonts w:cs="Times New Roman"/>
          <w:kern w:val="0"/>
          <w:vertAlign w:val="superscript"/>
        </w:rPr>
        <w:t>4,21,23,24</w:t>
      </w:r>
      <w:r w:rsidRPr="0057434E">
        <w:rPr>
          <w:rFonts w:cs="Times New Roman"/>
        </w:rPr>
        <w:fldChar w:fldCharType="end"/>
      </w:r>
      <w:r w:rsidRPr="0057434E">
        <w:rPr>
          <w:rFonts w:cs="Times New Roman"/>
        </w:rPr>
        <w:t xml:space="preserve"> </w:t>
      </w:r>
      <w:r w:rsidR="00F07779" w:rsidRPr="00F07779">
        <w:rPr>
          <w:rFonts w:cs="Times New Roman"/>
        </w:rPr>
        <w:t xml:space="preserve">In our matched analysis, </w:t>
      </w:r>
      <w:r w:rsidR="00033DA6">
        <w:rPr>
          <w:rFonts w:cs="Times New Roman"/>
        </w:rPr>
        <w:t>GLP-1RA</w:t>
      </w:r>
      <w:r w:rsidR="00F07779" w:rsidRPr="00F07779">
        <w:rPr>
          <w:rFonts w:cs="Times New Roman"/>
        </w:rPr>
        <w:t xml:space="preserve"> exposure was associated with lower </w:t>
      </w:r>
      <w:r w:rsidR="006D13E5" w:rsidRPr="006D13E5">
        <w:rPr>
          <w:rFonts w:cs="Times New Roman"/>
        </w:rPr>
        <w:t xml:space="preserve">mortality hazard and lower Kaplan–Meier–estimated 5-year event probability </w:t>
      </w:r>
      <w:r w:rsidR="00F07779" w:rsidRPr="00F07779">
        <w:rPr>
          <w:rFonts w:cs="Times New Roman"/>
        </w:rPr>
        <w:t>after both procedures. Following CAS, crude mortality was 9.0% versus 19.0%, with Kaplan–Meier event probabilities of 18.65% versus 35.57% and an HR of 0.531 (95% CI, 0.364–0.776). Following CEA, crude mortality was 8.1% versus 18.8%, with event probabilities of 16.81% versus 26.43% and an HR of 0.569 (95% CI, 0.409–0.791). These estimates should be interpreted as associations rather than causal treatment effects, particularly given residual covariate imbalance, differences in follow-up duration, and the potential for unmeasured confounding.</w:t>
      </w:r>
    </w:p>
    <w:p w14:paraId="137FC99D" w14:textId="4D0A7C99" w:rsidR="000541A0" w:rsidRPr="0057434E" w:rsidRDefault="009F1638" w:rsidP="009F1629">
      <w:pPr>
        <w:spacing w:line="480" w:lineRule="auto"/>
        <w:ind w:firstLine="720"/>
        <w:rPr>
          <w:rFonts w:cs="Times New Roman"/>
        </w:rPr>
      </w:pPr>
      <w:r w:rsidRPr="0057434E">
        <w:rPr>
          <w:rFonts w:cs="Times New Roman"/>
        </w:rPr>
        <w:t xml:space="preserve">The association between </w:t>
      </w:r>
      <w:r w:rsidR="00033DA6">
        <w:rPr>
          <w:rFonts w:cs="Times New Roman"/>
        </w:rPr>
        <w:t>GLP-1RA</w:t>
      </w:r>
      <w:r w:rsidRPr="0057434E">
        <w:rPr>
          <w:rFonts w:cs="Times New Roman"/>
        </w:rPr>
        <w:t xml:space="preserve"> exposure and lower rates of stroke and mortality after CAS and CEA is biologically plausible given the broad cardiometabolic and neurovascular effects of these agents that extend beyond glucose lowering.</w:t>
      </w:r>
      <w:r w:rsidR="000541A0" w:rsidRPr="0057434E">
        <w:rPr>
          <w:rFonts w:cs="Times New Roman"/>
        </w:rPr>
        <w:fldChar w:fldCharType="begin"/>
      </w:r>
      <w:r w:rsidR="00E2649B">
        <w:rPr>
          <w:rFonts w:cs="Times New Roman"/>
        </w:rPr>
        <w:instrText xml:space="preserve"> ADDIN ZOTERO_ITEM CSL_CITATION {"citationID":"kQ6beP3k","properties":{"formattedCitation":"\\super 25\\nosupersub{}","plainCitation":"25","noteIndex":0},"citationItems":[{"id":10030,"uris":["http://zotero.org/users/14458687/items/WWIBECR9"],"itemData":{"id":10030,"type":"article-journal","abstract":"Background: Glucagon-like peptide-1 receptor agonists (GLP-1 RAs) have shown a reduction in major adverse cardiovascular events (MACE) among patients with type 2 diabetes mellitus (T2DM). However, its efficacy on cerebrovascular events is yet to be well established among diabetic and non diabetic patients.\nObjective: We sought to evaluate the efficacy of GLP-1 RAs on stroke risk among its different types in patients with and without Diabetes.\nMethods: We performed a systematic literature search on PubMed, EMBASE, and ClinicalTrials.gov for relevant randomized controlled trials (RCTs) from inspection until 15th July 2024, without any language restrictions. Odds ratios (OR) and 95 % confidence intervals (CI) were pooled using a random-effect model, and a p-value of &lt; 0.05 was considered statistically significant.\nResults: A total of 11 RCTs with 85,373 patients were included (43,339 in GLP-1 RA and 42,034 in the placebo group) in the analysis. The mean age of the patients in GLP-1 RAs and the placebo groups was 63.5 and 63.1 years, respectively. Pooled analysis of primary and secondary endpoints showed that GLP-1 RAs significantly reduced the risk of incidence of stroke by 15 % (OR, 0.85(95 %CI: 0.77–0.93), P &lt; 0.001) and nonfatal stroke by 13 % (OR, 0.87(95 %CI: 0.79–0.95), P &lt; 0.001) compared with placebo. However, the risk of fatal stroke (OR, 0.94(95 %CI: 0.75–1.17), P = 0.56) was comparable between both groups of patients. Similarly, the risk of serious adverse events such as cerebrovascular accident (OR, 0.75(95 %CI: 0.57–1.00), P = 0.05), hemorrhagic stroke (OR, 0.82(95 %CI: 0.42–1.60), P = 0.57, and ischemic stroke (OR, 0.85(95 %CI: 0.64–1.13), P = 0.26) was comparable between GLP-1RAs and placebo.\nConclusion: Treatment with GLP-1 receptor agonists has beneficial effects in reducing the risk of stroke, and nonfatal stroke in patients with and without diabetes. However, no such effect was observed for fatal stroke.","container-title":"IJC Heart &amp; Vasculature","DOI":"10.1016/j.ijcha.2025.101638","ISSN":"23529067","journalAbbreviation":"IJC Heart &amp; Vasculature","language":"en","page":"101638","source":"DOI.org (Crossref)","title":"Efficacy of glucagon-like peptide-1 receptor agonists for prevention of stroke among patients with and without diabetes: A meta-analysis with the SELECT and FLOW trails","title-short":"Efficacy of glucagon-like peptide-1 receptor agonists for prevention of stroke among patients with and without diabetes","volume":"57","author":[{"family":"Gera","given":"Asmita"},{"family":"Latif","given":"Fakhar"},{"family":"Borra","given":"Vamsikalyan"},{"family":"Naz","given":"Sidra"},{"family":"Mittal","given":"Vivek"},{"family":"Ayoobkhan","given":"Fathima Shehnaz"},{"family":"Kumar","given":"Tushar"},{"family":"Wajid","given":"Zarghoona"},{"family":"Deb","given":"Novonil"},{"family":"Prasad","given":"Tanisha"},{"family":"Mattumpuram","given":"Jishanth"},{"family":"Jaiswal","given":"Vikash"}],"issued":{"date-parts":[["2025",4]]}}}],"schema":"https://github.com/citation-style-language/schema/raw/master/csl-citation.json"} </w:instrText>
      </w:r>
      <w:r w:rsidR="000541A0" w:rsidRPr="0057434E">
        <w:rPr>
          <w:rFonts w:cs="Times New Roman"/>
        </w:rPr>
        <w:fldChar w:fldCharType="separate"/>
      </w:r>
      <w:r w:rsidR="00E2649B" w:rsidRPr="00E2649B">
        <w:rPr>
          <w:rFonts w:cs="Times New Roman"/>
          <w:kern w:val="0"/>
          <w:vertAlign w:val="superscript"/>
        </w:rPr>
        <w:t>25</w:t>
      </w:r>
      <w:r w:rsidR="000541A0" w:rsidRPr="0057434E">
        <w:rPr>
          <w:rFonts w:cs="Times New Roman"/>
        </w:rPr>
        <w:fldChar w:fldCharType="end"/>
      </w:r>
      <w:r w:rsidR="00A651DE" w:rsidRPr="00F96352">
        <w:rPr>
          <w:rFonts w:cs="Times New Roman"/>
          <w:vertAlign w:val="superscript"/>
        </w:rPr>
        <w:t>,</w:t>
      </w:r>
      <w:r w:rsidR="000541A0" w:rsidRPr="0057434E">
        <w:rPr>
          <w:rFonts w:cs="Times New Roman"/>
        </w:rPr>
        <w:fldChar w:fldCharType="begin"/>
      </w:r>
      <w:r w:rsidR="00E2649B">
        <w:rPr>
          <w:rFonts w:cs="Times New Roman"/>
        </w:rPr>
        <w:instrText xml:space="preserve"> ADDIN ZOTERO_ITEM CSL_CITATION {"citationID":"tHKCcTpe","properties":{"formattedCitation":"\\super 26,27\\nosupersub{}","plainCitation":"26,27","noteIndex":0},"citationItems":[{"id":10056,"uris":["http://zotero.org/users/14458687/items/5NNGGB3S"],"itemData":{"id":10056,"type":"article-journal","abstract":"Glucagon-like peptide-1 (GLP-1) receptor agonists are antidiabetic drugs that possess a suppressive effect on the progression of atherosclerosis, and it has been thought that their anti-inflammatory effect is involved in their effect, but the detailed mechanism was unknown. Recently, Ben Nasr and colleagues have proposed easily understood mechanism for the anti-inflammatory effect of GLP-1 receptor agonists. They discovered that some normal T cells express GLP-1 receptors on their cell membranes and showed that GLP-1 has an inhibitory effect on T-cell function.","container-title":"Journal of Diabetes Investigation","DOI":"10.1111/jdi.14346","ISSN":"2040-1124","issue":"2","license":"© 2024 The Author(s). Journal of Diabetes Investigation published by Asian Association for the Study of Diabetes (AASD) and John Wiley &amp; Sons Australia, Ltd.","note":"_eprint: https://onlinelibrary.wiley.com/doi/pdf/10.1111/jdi.14346","page":"180-182","source":"Wiley Online Library","title":"One step closer to solving the mystery of the anti-inflammatory effects of glucagon-like peptide-1 receptor agonists","volume":"16","author":[{"family":"Watada","given":"Hirotaka"}],"issued":{"date-parts":[["2025"]]}}},{"id":10025,"uris":["http://zotero.org/users/14458687/items/F7VIZM92"],"itemData":{"id":10025,"type":"article-journal","abstract":"Abstract\n            The glucagon-like peptide-1 (GLP-1) receptor, known as GLP-1R, is a vital component of the G protein-coupled receptor (GPCR) family and is found primarily on the surfaces of various cell types within the human body. This receptor specifically interacts with GLP-1, a key hormone that plays an integral role in regulating blood glucose levels, lipid metabolism, and several other crucial biological functions. In recent years, GLP-1 medications have become a focal point in the medical community due to their innovative treatment mechanisms, significant therapeutic efficacy, and broad development prospects. This article thoroughly traces the developmental milestones of GLP-1 drugs, from their initial discovery to their clinical application, detailing the evolution of diverse GLP-1 medications along with their distinct pharmacological properties. Additionally, this paper explores the potential applications of GLP-1 receptor agonists (GLP-1RAs) in fields such as neuroprotection, anti-infection measures, the reduction of various types of inflammation, and the enhancement of cardiovascular function. It provides an in-depth assessment of the effectiveness of GLP-1RAs across multiple body systems-including the nervous, cardiovascular, musculoskeletal, and digestive systems. This includes integrating the latest clinical trial data and delving into potential signaling pathways and pharmacological mechanisms. The primary goal of this article is to emphasize the extensive benefits of using GLP-1RAs in treating a broad spectrum of diseases, such as obesity, cardiovascular diseases, non-alcoholic fatty liver disease (NAFLD), neurodegenerative diseases, musculoskeletal inflammation, and various forms of cancer. The ongoing development of new indications for GLP-1 drugs offers promising prospects for further expanding therapeutic interventions, showcasing their significant potential in the medical field.","container-title":"Signal Transduction and Targeted Therapy","DOI":"10.1038/s41392-024-01931-z","ISSN":"2059-3635","issue":"1","journalAbbreviation":"Sig Transduct Target Ther","language":"en","page":"234","source":"DOI.org (Crossref)","title":"Glucagon-like peptide-1 receptor: mechanisms and advances in therapy","title-short":"Glucagon-like peptide-1 receptor","volume":"9","author":[{"family":"Zheng","given":"Zhikai"},{"family":"Zong","given":"Yao"},{"family":"Ma","given":"Yiyang"},{"family":"Tian","given":"Yucheng"},{"family":"Pang","given":"Yidan"},{"family":"Zhang","given":"Changqing"},{"family":"Gao","given":"Junjie"}],"issued":{"date-parts":[["2024",9,18]]}}}],"schema":"https://github.com/citation-style-language/schema/raw/master/csl-citation.json"} </w:instrText>
      </w:r>
      <w:r w:rsidR="000541A0" w:rsidRPr="0057434E">
        <w:rPr>
          <w:rFonts w:cs="Times New Roman"/>
        </w:rPr>
        <w:fldChar w:fldCharType="separate"/>
      </w:r>
      <w:r w:rsidR="00E2649B" w:rsidRPr="00E2649B">
        <w:rPr>
          <w:rFonts w:cs="Times New Roman"/>
          <w:kern w:val="0"/>
          <w:vertAlign w:val="superscript"/>
        </w:rPr>
        <w:t>26,27</w:t>
      </w:r>
      <w:r w:rsidR="000541A0" w:rsidRPr="0057434E">
        <w:rPr>
          <w:rFonts w:cs="Times New Roman"/>
        </w:rPr>
        <w:fldChar w:fldCharType="end"/>
      </w:r>
      <w:r w:rsidRPr="0057434E">
        <w:rPr>
          <w:rFonts w:cs="Times New Roman"/>
        </w:rPr>
        <w:t xml:space="preserve"> </w:t>
      </w:r>
      <w:r w:rsidR="00033DA6">
        <w:rPr>
          <w:rFonts w:cs="Times New Roman"/>
        </w:rPr>
        <w:t>GLP-1RA</w:t>
      </w:r>
      <w:r w:rsidR="000541A0" w:rsidRPr="0057434E">
        <w:rPr>
          <w:rFonts w:cs="Times New Roman"/>
        </w:rPr>
        <w:t xml:space="preserve">s </w:t>
      </w:r>
      <w:r w:rsidR="00A651DE">
        <w:rPr>
          <w:rFonts w:cs="Times New Roman"/>
        </w:rPr>
        <w:t xml:space="preserve">also </w:t>
      </w:r>
      <w:r w:rsidRPr="0057434E">
        <w:rPr>
          <w:rFonts w:cs="Times New Roman"/>
        </w:rPr>
        <w:t>exert neuroprotective effects—crossing the blood</w:t>
      </w:r>
      <w:r w:rsidR="00A80B84" w:rsidRPr="0057434E">
        <w:rPr>
          <w:rFonts w:cs="Times New Roman"/>
        </w:rPr>
        <w:t>-</w:t>
      </w:r>
      <w:r w:rsidRPr="0057434E">
        <w:rPr>
          <w:rFonts w:cs="Times New Roman"/>
        </w:rPr>
        <w:t>brain barrier, limiting apoptosis, and potentially reducing infarct volume—which could lessen the clinical impact of any ischemic event that does occur.</w:t>
      </w:r>
      <w:r w:rsidR="000541A0" w:rsidRPr="0057434E">
        <w:rPr>
          <w:rFonts w:cs="Times New Roman"/>
        </w:rPr>
        <w:fldChar w:fldCharType="begin"/>
      </w:r>
      <w:r w:rsidR="00E2649B">
        <w:rPr>
          <w:rFonts w:cs="Times New Roman"/>
        </w:rPr>
        <w:instrText xml:space="preserve"> ADDIN ZOTERO_ITEM CSL_CITATION {"citationID":"HHWLElT8","properties":{"formattedCitation":"\\super 28\\nosupersub{}","plainCitation":"28","noteIndex":0},"citationItems":[{"id":10737,"uris":["http://zotero.org/users/14458687/items/5P52EV4Z"],"itemData":{"id":10737,"type":"article-journal","abstract":"BACKGROUND: Hyperglycemia in acute ischemic stroke reduces the efficacy of stroke thrombolysis and thrombectomy, with worse clinical outcomes. Insulin-based therapies are difficult to implement and may cause hypoglycemia. We investigated whether exenatide, a GLP-1 (glucagon-like peptide-1) receptor agonist, would improve stroke outcomes, and control poststroke hyperglycemia with minimal hypoglycemia.\nMETHODS: The TEXAIS trial (Treatment With Exenatide in Acute Ischemic Stroke) was an international, multicenter, phase 2 prospective randomized clinical trial (PROBE [Prospective Randomized Open Blinded End-Point] design) enrolling adult patients with acute ischemic stroke ≤9 hours of stroke onset to receive exenatide (5 µg BID subcutaneous injection) or standard care for 5 days, or until hospital discharge (whichever sooner). The primary outcome (intention to treat) was the proportion of patients with ≥8-point improvement in National Institutes of Health Stroke Scale score (or National Institutes of Health Stroke Scale scores 0-1) at 7 days poststroke. Safety outcomes included death, episodes of hyperglycemia, hypoglycemia, and adverse event.\nRESULTS: From April 2016 to June 2021, 350 patients were randomized (exenatide, n=177, standard care, n=173). Median age, 71 years (interquartile range, 62-79), median National Institutes of Health Stroke Scale score, 4 (interquartile range, 2-8). Planned recruitment (n=528) was stopped early due to COVID-19 disruptions and funding constraints. The primary outcome was achieved in 97 of 171 (56.7%) in the standard care group versus 104 of 170 (61.2%) in the exenatide group (adjusted odds ratio, 1.22 [95% CI, 0.79-1.88]; P=0.38). No differences in secondary outcomes were observed. The per-patient mean daily frequency of hyperglycemia was significantly less in the exenatide group across all quartiles. No episodes of hypoglycemia were recorded over the treatment period. Adverse events of mild nausea and vomiting occurred in 6 (3.5%) exenatide patients versus 0 (0%) standard care with no withdrawal.\nCONCLUSIONS: Treatment with exenatide did not reduce neurological impairment at 7 days in patients with acute ischemic stroke. Exenatide did significantly reduce the frequency of hyperglycemic events, without hypoglycemia, and was safe to use. Larger acute stroke trials using GLP-1 agonists such as exenatide should be considered.\nREGISTRATION: URL: www.australianclinicaltrials.gov.au; Unique identifier: ACTRN12617000409370. URL: https://www.clinicaltrials.gov; Unique identifier: NCT03287076.","container-title":"Stroke","DOI":"10.1161/STROKEAHA.123.044568","ISSN":"1524-4628","issue":"12","journalAbbreviation":"Stroke","language":"eng","page":"2962-2971","PMID":"38011235","PMCID":"PMC10664794","source":"PubMed","title":"Management of Poststroke Hyperglycemia: Results of the TEXAIS Randomized Clinical Trial","title-short":"Management of Poststroke Hyperglycemia","volume":"54","author":[{"family":"Bladin","given":"Christopher F."},{"family":"Wah Cheung","given":"Ngai"},{"family":"Dewey","given":"Helen M."},{"family":"Churilov","given":"Leonid"},{"family":"Middleton","given":"Sandy"},{"family":"Thijs","given":"Vincent"},{"family":"Ekinci","given":"Elif"},{"family":"Levi","given":"Christopher R."},{"family":"Lindley","given":"Richard"},{"family":"Donnan","given":"Geoffrey A."},{"family":"Parsons","given":"Mark W."},{"family":"Meretoja","given":"Atte"},{"family":"Tiainen","given":"Marjaana"},{"family":"Choi","given":"Philip M. C."},{"family":"Cordato","given":"Dennis"},{"family":"Brown","given":"Helen"},{"family":"Campbell","given":"Bruce C. V."},{"family":"Davis","given":"Stephen M."},{"family":"Cloud","given":"Geoffrey"},{"family":"Grimley","given":"Rohan"},{"family":"Lee-Archer","given":"Matthew"},{"family":"Ghia","given":"Darshan"},{"family":"Sanders","given":"Lauren"},{"family":"Markus","given":"Romesh"},{"family":"Muller","given":"Claire"},{"family":"Salvaris","given":"Patrick"},{"family":"Wu","given":"Teddy"},{"family":"Fink","given":"John"},{"literal":"TEXAIS Investigators"}],"issued":{"date-parts":[["2023",12]]}}}],"schema":"https://github.com/citation-style-language/schema/raw/master/csl-citation.json"} </w:instrText>
      </w:r>
      <w:r w:rsidR="000541A0" w:rsidRPr="0057434E">
        <w:rPr>
          <w:rFonts w:cs="Times New Roman"/>
        </w:rPr>
        <w:fldChar w:fldCharType="separate"/>
      </w:r>
      <w:r w:rsidR="00E2649B" w:rsidRPr="00E2649B">
        <w:rPr>
          <w:rFonts w:cs="Times New Roman"/>
          <w:kern w:val="0"/>
          <w:vertAlign w:val="superscript"/>
        </w:rPr>
        <w:t>28</w:t>
      </w:r>
      <w:r w:rsidR="000541A0" w:rsidRPr="0057434E">
        <w:rPr>
          <w:rFonts w:cs="Times New Roman"/>
        </w:rPr>
        <w:fldChar w:fldCharType="end"/>
      </w:r>
      <w:r w:rsidRPr="0057434E">
        <w:rPr>
          <w:rFonts w:cs="Times New Roman"/>
        </w:rPr>
        <w:t xml:space="preserve"> Indirectly, improvements in metabolic health, including weight loss, better blood pressure control, and improved glycemic indices, as well as favorable effects on broader cardiovascular risk (such as heart failure and coronary disease), likely contribute to the lower </w:t>
      </w:r>
      <w:r w:rsidRPr="0057434E">
        <w:rPr>
          <w:rFonts w:cs="Times New Roman"/>
        </w:rPr>
        <w:lastRenderedPageBreak/>
        <w:t xml:space="preserve">composite burden of ischemic stroke and all-cause mortality observed in </w:t>
      </w:r>
      <w:r w:rsidR="006D13E5">
        <w:rPr>
          <w:rFonts w:cs="Times New Roman"/>
        </w:rPr>
        <w:t xml:space="preserve">the population exposed to </w:t>
      </w:r>
      <w:r w:rsidR="00033DA6">
        <w:rPr>
          <w:rFonts w:cs="Times New Roman"/>
        </w:rPr>
        <w:t>GLP-1RA</w:t>
      </w:r>
      <w:r w:rsidRPr="0057434E">
        <w:rPr>
          <w:rFonts w:cs="Times New Roman"/>
        </w:rPr>
        <w:t xml:space="preserve"> after carotid revascularization.</w:t>
      </w:r>
    </w:p>
    <w:p w14:paraId="28664C07" w14:textId="0C48681F" w:rsidR="000541A0" w:rsidRPr="0057434E" w:rsidRDefault="000541A0" w:rsidP="00B442B0">
      <w:pPr>
        <w:spacing w:line="480" w:lineRule="auto"/>
        <w:ind w:firstLine="720"/>
        <w:rPr>
          <w:rFonts w:cs="Times New Roman"/>
        </w:rPr>
      </w:pPr>
      <w:r w:rsidRPr="0057434E">
        <w:rPr>
          <w:rFonts w:cs="Times New Roman"/>
        </w:rPr>
        <w:t xml:space="preserve">This real-world, EHR-based analysis in adults undergoing carotid revascularization has several strengths. Leveraging a large multi-institutional U.S. network with well-balanced CAS and CEA cohorts </w:t>
      </w:r>
      <w:r w:rsidR="006D13E5">
        <w:rPr>
          <w:rFonts w:cs="Times New Roman"/>
        </w:rPr>
        <w:t xml:space="preserve">allowed for assessment of </w:t>
      </w:r>
      <w:r w:rsidR="00AD66C7" w:rsidRPr="0057434E">
        <w:rPr>
          <w:rFonts w:cs="Times New Roman"/>
        </w:rPr>
        <w:t xml:space="preserve">multiple important </w:t>
      </w:r>
      <w:r w:rsidRPr="0057434E">
        <w:rPr>
          <w:rFonts w:cs="Times New Roman"/>
        </w:rPr>
        <w:t xml:space="preserve">outcomes. Stratifying by revascularization strategy (CAS vs CEA) and examining parallel effects of </w:t>
      </w:r>
      <w:r w:rsidR="00033DA6">
        <w:rPr>
          <w:rFonts w:cs="Times New Roman"/>
        </w:rPr>
        <w:t>GLP-1RA</w:t>
      </w:r>
      <w:r w:rsidRPr="0057434E">
        <w:rPr>
          <w:rFonts w:cs="Times New Roman"/>
        </w:rPr>
        <w:t xml:space="preserve"> exposure across both procedures provides clinically relevant context. </w:t>
      </w:r>
      <w:r w:rsidR="00AD66C7" w:rsidRPr="0057434E">
        <w:rPr>
          <w:rFonts w:cs="Times New Roman"/>
        </w:rPr>
        <w:t xml:space="preserve">Several </w:t>
      </w:r>
      <w:r w:rsidRPr="0057434E">
        <w:rPr>
          <w:rFonts w:cs="Times New Roman"/>
        </w:rPr>
        <w:t>limitations</w:t>
      </w:r>
      <w:r w:rsidR="00AD66C7" w:rsidRPr="0057434E">
        <w:rPr>
          <w:rFonts w:cs="Times New Roman"/>
        </w:rPr>
        <w:t xml:space="preserve">, however, must be acknowledged, </w:t>
      </w:r>
      <w:r w:rsidRPr="0057434E">
        <w:rPr>
          <w:rFonts w:cs="Times New Roman"/>
        </w:rPr>
        <w:t>typical of retrospective EHR research. The observational design precludes causal inference</w:t>
      </w:r>
      <w:r w:rsidR="00C522F2">
        <w:rPr>
          <w:rFonts w:cs="Times New Roman"/>
        </w:rPr>
        <w:t xml:space="preserve"> and</w:t>
      </w:r>
      <w:r w:rsidRPr="0057434E">
        <w:rPr>
          <w:rFonts w:cs="Times New Roman"/>
        </w:rPr>
        <w:t xml:space="preserve"> </w:t>
      </w:r>
      <w:r w:rsidR="00C522F2">
        <w:rPr>
          <w:rFonts w:cs="Times New Roman"/>
        </w:rPr>
        <w:t>r</w:t>
      </w:r>
      <w:r w:rsidR="00C522F2" w:rsidRPr="00C522F2">
        <w:rPr>
          <w:rFonts w:cs="Times New Roman"/>
        </w:rPr>
        <w:t xml:space="preserve">esidual confounding </w:t>
      </w:r>
      <w:r w:rsidR="003060D5">
        <w:rPr>
          <w:rFonts w:cs="Times New Roman"/>
        </w:rPr>
        <w:t xml:space="preserve">and confounding by indication </w:t>
      </w:r>
      <w:r w:rsidR="00C522F2" w:rsidRPr="00C522F2">
        <w:rPr>
          <w:rFonts w:cs="Times New Roman"/>
        </w:rPr>
        <w:t xml:space="preserve">is an inherent limitation. Although </w:t>
      </w:r>
      <w:r w:rsidR="00490FDA">
        <w:rPr>
          <w:rFonts w:cs="Times New Roman"/>
        </w:rPr>
        <w:t>37</w:t>
      </w:r>
      <w:r w:rsidR="00C522F2" w:rsidRPr="00C522F2">
        <w:rPr>
          <w:rFonts w:cs="Times New Roman"/>
        </w:rPr>
        <w:t xml:space="preserve"> baseline characteristics were incorporated into </w:t>
      </w:r>
      <w:r w:rsidR="00D26637">
        <w:rPr>
          <w:rFonts w:cs="Times New Roman"/>
        </w:rPr>
        <w:t>PSM</w:t>
      </w:r>
      <w:r w:rsidR="00C522F2" w:rsidRPr="00C522F2">
        <w:rPr>
          <w:rFonts w:cs="Times New Roman"/>
        </w:rPr>
        <w:t xml:space="preserve">, several clinically important variables were unavailable within the </w:t>
      </w:r>
      <w:proofErr w:type="spellStart"/>
      <w:r w:rsidR="00C522F2" w:rsidRPr="00C522F2">
        <w:rPr>
          <w:rFonts w:cs="Times New Roman"/>
        </w:rPr>
        <w:t>TriNetX</w:t>
      </w:r>
      <w:proofErr w:type="spellEnd"/>
      <w:r w:rsidR="00C522F2" w:rsidRPr="00C522F2">
        <w:rPr>
          <w:rFonts w:cs="Times New Roman"/>
        </w:rPr>
        <w:t xml:space="preserve"> dataset, including symptomatic status at presentation, carotid stenosis severity, plaque morphology and vulnerability, lesion laterality, procedural indication, operator experience, technical success, peri-procedural complications, medication adherence, and detailed imaging findings. These unmeasured factors may influence both </w:t>
      </w:r>
      <w:r w:rsidR="00033DA6">
        <w:rPr>
          <w:rFonts w:cs="Times New Roman"/>
        </w:rPr>
        <w:t>GLP-1RA</w:t>
      </w:r>
      <w:r w:rsidR="00C522F2" w:rsidRPr="00C522F2">
        <w:rPr>
          <w:rFonts w:cs="Times New Roman"/>
        </w:rPr>
        <w:t xml:space="preserve"> prescribing patterns and long-term cerebrovascular outcomes. </w:t>
      </w:r>
      <w:r w:rsidR="002D507B">
        <w:rPr>
          <w:rFonts w:cs="Times New Roman"/>
        </w:rPr>
        <w:t xml:space="preserve">Formal proportional hazards assumption was unavailable within the </w:t>
      </w:r>
      <w:proofErr w:type="spellStart"/>
      <w:r w:rsidR="002D507B">
        <w:rPr>
          <w:rFonts w:cs="Times New Roman"/>
        </w:rPr>
        <w:t>TriNetX</w:t>
      </w:r>
      <w:proofErr w:type="spellEnd"/>
      <w:r w:rsidR="002D507B">
        <w:rPr>
          <w:rFonts w:cs="Times New Roman"/>
        </w:rPr>
        <w:t xml:space="preserve"> platform and thus could not be performed. </w:t>
      </w:r>
      <w:r w:rsidR="00033DA6">
        <w:rPr>
          <w:rFonts w:cs="Times New Roman"/>
        </w:rPr>
        <w:t>GLP-1RA</w:t>
      </w:r>
      <w:r w:rsidR="00DE57CE" w:rsidRPr="00DE57CE">
        <w:rPr>
          <w:rFonts w:cs="Times New Roman"/>
        </w:rPr>
        <w:t xml:space="preserve"> exposure was identified from structured medication records within the prespecified peri-procedural window. The database did not provide reliable information on prescription fulfillment, adherence, dose, treatment duration, persistence, discontinuation, or subsequent crossover between exposure groups. Some patients classified as exposed may therefore have discontinued therapy shortly after the index window, whereas some patients classified as non-exposed may have initiated treatment later during follow-up. This potential exposure misclassification would generally be expected to attenuate between-group differences, </w:t>
      </w:r>
      <w:r w:rsidR="00DE57CE" w:rsidRPr="00DE57CE">
        <w:rPr>
          <w:rFonts w:cs="Times New Roman"/>
        </w:rPr>
        <w:lastRenderedPageBreak/>
        <w:t>although the direction and magnitude of bias cannot be determined.</w:t>
      </w:r>
      <w:r w:rsidR="00DE57CE">
        <w:rPr>
          <w:rFonts w:cs="Times New Roman"/>
        </w:rPr>
        <w:t xml:space="preserve"> </w:t>
      </w:r>
      <w:r w:rsidR="00AD66C7" w:rsidRPr="0057434E">
        <w:rPr>
          <w:rFonts w:cs="Times New Roman"/>
        </w:rPr>
        <w:t>Ischemic s</w:t>
      </w:r>
      <w:r w:rsidRPr="0057434E">
        <w:rPr>
          <w:rFonts w:cs="Times New Roman"/>
        </w:rPr>
        <w:t>troke outcomes were identified using administrative codes rather than adjudicated imaging</w:t>
      </w:r>
      <w:r w:rsidR="00D61E2C" w:rsidRPr="0057434E">
        <w:rPr>
          <w:rFonts w:cs="Times New Roman"/>
        </w:rPr>
        <w:t>.</w:t>
      </w:r>
      <w:r w:rsidRPr="0057434E">
        <w:rPr>
          <w:rFonts w:cs="Times New Roman"/>
        </w:rPr>
        <w:t xml:space="preserve"> </w:t>
      </w:r>
      <w:r w:rsidR="00D61E2C" w:rsidRPr="0057434E">
        <w:rPr>
          <w:rFonts w:cs="Times New Roman"/>
        </w:rPr>
        <w:t>E</w:t>
      </w:r>
      <w:r w:rsidRPr="0057434E">
        <w:rPr>
          <w:rFonts w:cs="Times New Roman"/>
        </w:rPr>
        <w:t xml:space="preserve">vents occurring outside participating health systems may </w:t>
      </w:r>
      <w:r w:rsidR="00D61E2C" w:rsidRPr="0057434E">
        <w:rPr>
          <w:rFonts w:cs="Times New Roman"/>
        </w:rPr>
        <w:t xml:space="preserve">not be fully </w:t>
      </w:r>
      <w:r w:rsidRPr="0057434E">
        <w:rPr>
          <w:rFonts w:cs="Times New Roman"/>
        </w:rPr>
        <w:t>captured, and cause-specific mortality was not available. Carotid disease and procedural details</w:t>
      </w:r>
      <w:r w:rsidR="00035286" w:rsidRPr="0057434E">
        <w:rPr>
          <w:rFonts w:cs="Times New Roman"/>
        </w:rPr>
        <w:t xml:space="preserve"> (e</w:t>
      </w:r>
      <w:r w:rsidR="00033DA6">
        <w:rPr>
          <w:rFonts w:cs="Times New Roman"/>
        </w:rPr>
        <w:t>.</w:t>
      </w:r>
      <w:r w:rsidR="00035286" w:rsidRPr="0057434E">
        <w:rPr>
          <w:rFonts w:cs="Times New Roman"/>
        </w:rPr>
        <w:t>g.</w:t>
      </w:r>
      <w:r w:rsidR="00033DA6">
        <w:rPr>
          <w:rFonts w:cs="Times New Roman"/>
        </w:rPr>
        <w:t>,</w:t>
      </w:r>
      <w:r w:rsidR="00035286" w:rsidRPr="0057434E">
        <w:rPr>
          <w:rFonts w:cs="Times New Roman"/>
        </w:rPr>
        <w:t xml:space="preserve"> </w:t>
      </w:r>
      <w:r w:rsidRPr="0057434E">
        <w:rPr>
          <w:rFonts w:cs="Times New Roman"/>
        </w:rPr>
        <w:t>lesion morphology, degree of stenosis, stent type, use of trans</w:t>
      </w:r>
      <w:r w:rsidR="00D61E2C" w:rsidRPr="0057434E">
        <w:rPr>
          <w:rFonts w:cs="Times New Roman"/>
        </w:rPr>
        <w:t>-</w:t>
      </w:r>
      <w:r w:rsidRPr="0057434E">
        <w:rPr>
          <w:rFonts w:cs="Times New Roman"/>
        </w:rPr>
        <w:t>carotid versus transfemoral approaches, peri-procedural antithrombotic regimens, and operator/center volume</w:t>
      </w:r>
      <w:r w:rsidR="00035286" w:rsidRPr="0057434E">
        <w:rPr>
          <w:rFonts w:cs="Times New Roman"/>
        </w:rPr>
        <w:t xml:space="preserve">) </w:t>
      </w:r>
      <w:r w:rsidRPr="0057434E">
        <w:rPr>
          <w:rFonts w:cs="Times New Roman"/>
        </w:rPr>
        <w:t>were incompletely characterized, and follow-up duration differed across individuals, raising the possibility of ascertainment biases. Competing risks (e.g., nonvascular death) were not explicitly modeled.</w:t>
      </w:r>
      <w:r w:rsidR="009F2831" w:rsidRPr="0057434E">
        <w:rPr>
          <w:rFonts w:cs="Times New Roman"/>
        </w:rPr>
        <w:t xml:space="preserve"> The comparator group consisted of patients without </w:t>
      </w:r>
      <w:r w:rsidR="00033DA6">
        <w:rPr>
          <w:rFonts w:cs="Times New Roman"/>
        </w:rPr>
        <w:t>GLP-1RA</w:t>
      </w:r>
      <w:r w:rsidR="009F2831" w:rsidRPr="0057434E">
        <w:rPr>
          <w:rFonts w:cs="Times New Roman"/>
        </w:rPr>
        <w:t xml:space="preserve"> exposure rather than an active comparator group receiving an alternative glucose-lowering medication. Therefore, observed associations may partly reflect differences in care intensity, physician engagement, access to follow-up, medication adherence, or health-seeking behavior rather than a pharmacologic effect specific to </w:t>
      </w:r>
      <w:r w:rsidR="00033DA6">
        <w:rPr>
          <w:rFonts w:cs="Times New Roman"/>
        </w:rPr>
        <w:t>GLP-1RA</w:t>
      </w:r>
      <w:r w:rsidR="009F2831" w:rsidRPr="0057434E">
        <w:rPr>
          <w:rFonts w:cs="Times New Roman"/>
        </w:rPr>
        <w:t xml:space="preserve"> therapy. Although diabetes was balanced between groups, EHR-based diagnosis codes do not fully capture diabetes severity or management intensity. Variables such as baseline glycemic trajectory, medication adherence, insulin dose, and longitudinal treatment escalation may influence both </w:t>
      </w:r>
      <w:r w:rsidR="00033DA6">
        <w:rPr>
          <w:rFonts w:cs="Times New Roman"/>
        </w:rPr>
        <w:t>GLP-1RA</w:t>
      </w:r>
      <w:r w:rsidR="009F2831" w:rsidRPr="0057434E">
        <w:rPr>
          <w:rFonts w:cs="Times New Roman"/>
        </w:rPr>
        <w:t xml:space="preserve"> prescribing and vascular outcomes, and were not fully captured in this analysis. Lastly, follow-up duration differed between groups, which may influence crude cumulative event rates despite the use of time-to-event analyses.</w:t>
      </w:r>
      <w:r w:rsidRPr="0057434E">
        <w:rPr>
          <w:rFonts w:cs="Times New Roman"/>
        </w:rPr>
        <w:t xml:space="preserve"> These strengths and caveats suggest that our findings are best viewed as hypothesis-generating and underscore the need for prospective, ideally randomized or pragmatic, carotid-focused trials with standardized </w:t>
      </w:r>
      <w:r w:rsidR="00033DA6">
        <w:rPr>
          <w:rFonts w:cs="Times New Roman"/>
        </w:rPr>
        <w:t>GLP-1RA</w:t>
      </w:r>
      <w:r w:rsidRPr="0057434E">
        <w:rPr>
          <w:rFonts w:cs="Times New Roman"/>
        </w:rPr>
        <w:t xml:space="preserve"> exposure definitions, detailed procedural and imaging phenotyping, adjudicated cerebrovascular outcomes, and extended follow-up to confirm the durability and generalizability of the associations observed here.</w:t>
      </w:r>
    </w:p>
    <w:p w14:paraId="777F60A9" w14:textId="77777777" w:rsidR="000541A0" w:rsidRPr="0057434E" w:rsidRDefault="000541A0" w:rsidP="00B442B0">
      <w:pPr>
        <w:spacing w:line="480" w:lineRule="auto"/>
        <w:ind w:firstLine="720"/>
        <w:rPr>
          <w:rFonts w:cs="Times New Roman"/>
        </w:rPr>
      </w:pPr>
    </w:p>
    <w:p w14:paraId="258C2306" w14:textId="05338109" w:rsidR="00AD66C7" w:rsidRPr="0057434E" w:rsidRDefault="00AD66C7" w:rsidP="00B442B0">
      <w:pPr>
        <w:spacing w:line="480" w:lineRule="auto"/>
        <w:rPr>
          <w:rFonts w:cs="Times New Roman"/>
          <w:b/>
          <w:bCs/>
        </w:rPr>
      </w:pPr>
      <w:r w:rsidRPr="0057434E">
        <w:rPr>
          <w:rFonts w:cs="Times New Roman"/>
          <w:b/>
          <w:bCs/>
        </w:rPr>
        <w:lastRenderedPageBreak/>
        <w:t>Conclusion</w:t>
      </w:r>
    </w:p>
    <w:p w14:paraId="0C285C59" w14:textId="38F5D124" w:rsidR="00AD66C7" w:rsidRPr="0057434E" w:rsidRDefault="00A651DE" w:rsidP="00B442B0">
      <w:pPr>
        <w:spacing w:line="480" w:lineRule="auto"/>
        <w:ind w:firstLine="720"/>
        <w:rPr>
          <w:rFonts w:cs="Times New Roman"/>
        </w:rPr>
      </w:pPr>
      <w:r w:rsidRPr="00A651DE">
        <w:rPr>
          <w:rFonts w:cs="Times New Roman"/>
        </w:rPr>
        <w:t>In this retrospective analysis, peri-procedural GLP</w:t>
      </w:r>
      <w:r w:rsidR="000C0144">
        <w:rPr>
          <w:rFonts w:cs="Times New Roman"/>
        </w:rPr>
        <w:t>-</w:t>
      </w:r>
      <w:r w:rsidRPr="00A651DE">
        <w:rPr>
          <w:rFonts w:cs="Times New Roman"/>
        </w:rPr>
        <w:t>1</w:t>
      </w:r>
      <w:r w:rsidR="000C0144">
        <w:rPr>
          <w:rFonts w:cs="Times New Roman"/>
        </w:rPr>
        <w:t xml:space="preserve">RA </w:t>
      </w:r>
      <w:r w:rsidRPr="00A651DE">
        <w:rPr>
          <w:rFonts w:cs="Times New Roman"/>
        </w:rPr>
        <w:t xml:space="preserve">exposure was associated with lower long-term risks of ischemic stroke, all-cause mortality, and their composite after </w:t>
      </w:r>
      <w:r w:rsidR="000C0144">
        <w:rPr>
          <w:rFonts w:cs="Times New Roman"/>
        </w:rPr>
        <w:t xml:space="preserve">CAS </w:t>
      </w:r>
      <w:r w:rsidRPr="00A651DE">
        <w:rPr>
          <w:rFonts w:cs="Times New Roman"/>
        </w:rPr>
        <w:t xml:space="preserve">and </w:t>
      </w:r>
      <w:r w:rsidR="000C0144">
        <w:rPr>
          <w:rFonts w:cs="Times New Roman"/>
        </w:rPr>
        <w:t>CEA</w:t>
      </w:r>
      <w:r w:rsidRPr="00A651DE">
        <w:rPr>
          <w:rFonts w:cs="Times New Roman"/>
        </w:rPr>
        <w:t xml:space="preserve">. Because of the observational design and the potential for residual confounding and exposure misclassification, these findings should not be interpreted as evidence of causality. Rather, they </w:t>
      </w:r>
      <w:r>
        <w:rPr>
          <w:rFonts w:cs="Times New Roman"/>
        </w:rPr>
        <w:t xml:space="preserve">are hypothesis generating and </w:t>
      </w:r>
      <w:r w:rsidRPr="00A651DE">
        <w:rPr>
          <w:rFonts w:cs="Times New Roman"/>
        </w:rPr>
        <w:t xml:space="preserve">provide real-world evidence supporting further prospective randomized </w:t>
      </w:r>
      <w:r w:rsidR="000C0144">
        <w:rPr>
          <w:rFonts w:cs="Times New Roman"/>
        </w:rPr>
        <w:t xml:space="preserve">trials </w:t>
      </w:r>
      <w:r w:rsidRPr="00A651DE">
        <w:rPr>
          <w:rFonts w:cs="Times New Roman"/>
        </w:rPr>
        <w:t xml:space="preserve">to evaluate whether </w:t>
      </w:r>
      <w:r w:rsidR="00033DA6">
        <w:rPr>
          <w:rFonts w:cs="Times New Roman"/>
        </w:rPr>
        <w:t>GLP-1RA</w:t>
      </w:r>
      <w:r w:rsidR="000C0144">
        <w:rPr>
          <w:rFonts w:cs="Times New Roman"/>
        </w:rPr>
        <w:t>s</w:t>
      </w:r>
      <w:r w:rsidRPr="00A651DE">
        <w:rPr>
          <w:rFonts w:cs="Times New Roman"/>
        </w:rPr>
        <w:t xml:space="preserve"> improve long-term cerebrovascular outcomes after carotid revascularization</w:t>
      </w:r>
      <w:r w:rsidR="000C0144">
        <w:rPr>
          <w:rFonts w:cs="Times New Roman"/>
        </w:rPr>
        <w:t xml:space="preserve"> procedures</w:t>
      </w:r>
      <w:r w:rsidRPr="00A651DE">
        <w:rPr>
          <w:rFonts w:cs="Times New Roman"/>
        </w:rPr>
        <w:t>.</w:t>
      </w:r>
      <w:r>
        <w:rPr>
          <w:rFonts w:cs="Times New Roman"/>
        </w:rPr>
        <w:t xml:space="preserve"> </w:t>
      </w:r>
    </w:p>
    <w:p w14:paraId="036B7A88" w14:textId="77777777" w:rsidR="00FE3491" w:rsidRPr="0057434E" w:rsidRDefault="00FE3491" w:rsidP="00FE3491">
      <w:pPr>
        <w:rPr>
          <w:rFonts w:cs="Times New Roman"/>
        </w:rPr>
      </w:pPr>
    </w:p>
    <w:bookmarkEnd w:id="0"/>
    <w:bookmarkEnd w:id="1"/>
    <w:p w14:paraId="4D486FB9" w14:textId="77777777" w:rsidR="00FE3491" w:rsidRPr="0057434E" w:rsidRDefault="00FE3491">
      <w:pPr>
        <w:rPr>
          <w:rFonts w:cs="Times New Roman"/>
        </w:rPr>
      </w:pPr>
      <w:r w:rsidRPr="0057434E">
        <w:rPr>
          <w:rFonts w:cs="Times New Roman"/>
        </w:rPr>
        <w:br w:type="page"/>
      </w:r>
    </w:p>
    <w:p w14:paraId="6EF2EE83" w14:textId="77777777" w:rsidR="00FE3491" w:rsidRPr="0057434E" w:rsidRDefault="00FE3491" w:rsidP="00FE3491">
      <w:pPr>
        <w:rPr>
          <w:rFonts w:cs="Times New Roman"/>
          <w:b/>
          <w:bCs/>
        </w:rPr>
      </w:pPr>
      <w:r w:rsidRPr="0057434E">
        <w:rPr>
          <w:rFonts w:cs="Times New Roman"/>
          <w:b/>
          <w:bCs/>
        </w:rPr>
        <w:lastRenderedPageBreak/>
        <w:t>References</w:t>
      </w:r>
    </w:p>
    <w:p w14:paraId="78B4FD6A" w14:textId="77777777" w:rsidR="00FE3491" w:rsidRPr="0057434E" w:rsidRDefault="00FE3491" w:rsidP="00FE3491">
      <w:pPr>
        <w:rPr>
          <w:rFonts w:cs="Times New Roman"/>
          <w:b/>
          <w:bCs/>
        </w:rPr>
      </w:pPr>
    </w:p>
    <w:p w14:paraId="604B061E" w14:textId="77777777" w:rsidR="00E2649B" w:rsidRPr="00E2649B" w:rsidRDefault="00FE3491" w:rsidP="00E2649B">
      <w:pPr>
        <w:pStyle w:val="Bibliography"/>
        <w:rPr>
          <w:rFonts w:cs="Times New Roman"/>
        </w:rPr>
      </w:pPr>
      <w:r w:rsidRPr="0057434E">
        <w:fldChar w:fldCharType="begin"/>
      </w:r>
      <w:r w:rsidR="0080487C" w:rsidRPr="0057434E">
        <w:instrText xml:space="preserve"> ADDIN ZOTERO_BIBL {"uncited":[],"omitted":[],"custom":[]} CSL_BIBLIOGRAPHY </w:instrText>
      </w:r>
      <w:r w:rsidRPr="0057434E">
        <w:fldChar w:fldCharType="separate"/>
      </w:r>
      <w:r w:rsidR="00E2649B" w:rsidRPr="00E2649B">
        <w:rPr>
          <w:rFonts w:cs="Times New Roman"/>
        </w:rPr>
        <w:t>1.</w:t>
      </w:r>
      <w:r w:rsidR="00E2649B" w:rsidRPr="00E2649B">
        <w:rPr>
          <w:rFonts w:cs="Times New Roman"/>
        </w:rPr>
        <w:tab/>
        <w:t xml:space="preserve">Ezzeldin M, Hassan AE, Kerro A, et al. Carotid Artery Stenting Outcomes by Neurointerventional Surgeons (CASONI). </w:t>
      </w:r>
      <w:r w:rsidR="00E2649B" w:rsidRPr="00E2649B">
        <w:rPr>
          <w:rFonts w:cs="Times New Roman"/>
          <w:i/>
          <w:iCs/>
        </w:rPr>
        <w:t>Stroke Vasc Interv Neurol</w:t>
      </w:r>
      <w:r w:rsidR="00E2649B" w:rsidRPr="00E2649B">
        <w:rPr>
          <w:rFonts w:cs="Times New Roman"/>
        </w:rPr>
        <w:t>. 2025;5(1):e001459. doi:10.1161/SVIN.124.001459</w:t>
      </w:r>
    </w:p>
    <w:p w14:paraId="39369054" w14:textId="77777777" w:rsidR="00E2649B" w:rsidRPr="00E2649B" w:rsidRDefault="00E2649B" w:rsidP="00E2649B">
      <w:pPr>
        <w:pStyle w:val="Bibliography"/>
        <w:rPr>
          <w:rFonts w:cs="Times New Roman"/>
        </w:rPr>
      </w:pPr>
      <w:r w:rsidRPr="00E2649B">
        <w:rPr>
          <w:rFonts w:cs="Times New Roman"/>
        </w:rPr>
        <w:t>2.</w:t>
      </w:r>
      <w:r w:rsidRPr="00E2649B">
        <w:rPr>
          <w:rFonts w:cs="Times New Roman"/>
        </w:rPr>
        <w:tab/>
        <w:t xml:space="preserve">Rai P, Benson J, Ahmed S, et al. The 2026 AHA/ASA Guideline Updates to Management of Patients with Acute Ischemic Stroke: A Guide for Radiologists. </w:t>
      </w:r>
      <w:r w:rsidRPr="00E2649B">
        <w:rPr>
          <w:rFonts w:cs="Times New Roman"/>
          <w:i/>
          <w:iCs/>
        </w:rPr>
        <w:t>Am J Neuroradiol</w:t>
      </w:r>
      <w:r w:rsidRPr="00E2649B">
        <w:rPr>
          <w:rFonts w:cs="Times New Roman"/>
        </w:rPr>
        <w:t>. Published online June 4, 2026. doi:10.3174/ajnr.A9455</w:t>
      </w:r>
    </w:p>
    <w:p w14:paraId="7D4BC1C6" w14:textId="77777777" w:rsidR="00E2649B" w:rsidRPr="00E2649B" w:rsidRDefault="00E2649B" w:rsidP="00E2649B">
      <w:pPr>
        <w:pStyle w:val="Bibliography"/>
        <w:rPr>
          <w:rFonts w:cs="Times New Roman"/>
        </w:rPr>
      </w:pPr>
      <w:r w:rsidRPr="00E2649B">
        <w:rPr>
          <w:rFonts w:cs="Times New Roman"/>
        </w:rPr>
        <w:t>3.</w:t>
      </w:r>
      <w:r w:rsidRPr="00E2649B">
        <w:rPr>
          <w:rFonts w:cs="Times New Roman"/>
        </w:rPr>
        <w:tab/>
        <w:t xml:space="preserve">Bramucci A, Nerla R, Bianchini Massoni C, et al. Thirty-day outcomes of carotid endarterectomy versus carotid artery stenting in asymptomatic and symptomatic patients: a propensity score-matched analysis. </w:t>
      </w:r>
      <w:r w:rsidRPr="00E2649B">
        <w:rPr>
          <w:rFonts w:cs="Times New Roman"/>
          <w:i/>
          <w:iCs/>
        </w:rPr>
        <w:t>EuroIntervention</w:t>
      </w:r>
      <w:r w:rsidRPr="00E2649B">
        <w:rPr>
          <w:rFonts w:cs="Times New Roman"/>
        </w:rPr>
        <w:t>. 2024;20(7):e445-e452. doi:10.4244/EIJ-D-23-00624</w:t>
      </w:r>
    </w:p>
    <w:p w14:paraId="5E55D246" w14:textId="77777777" w:rsidR="00E2649B" w:rsidRPr="00E2649B" w:rsidRDefault="00E2649B" w:rsidP="00E2649B">
      <w:pPr>
        <w:pStyle w:val="Bibliography"/>
        <w:rPr>
          <w:rFonts w:cs="Times New Roman"/>
        </w:rPr>
      </w:pPr>
      <w:r w:rsidRPr="00E2649B">
        <w:rPr>
          <w:rFonts w:cs="Times New Roman"/>
        </w:rPr>
        <w:t>4.</w:t>
      </w:r>
      <w:r w:rsidRPr="00E2649B">
        <w:rPr>
          <w:rFonts w:cs="Times New Roman"/>
        </w:rPr>
        <w:tab/>
        <w:t xml:space="preserve">Yei KS, Janssen C, Elsayed N, Naazie I, Sedrakyan A, Malas MB. Long-term outcomes of carotid endarterectomy vs transfemoral carotid stenting in a Medicare-matched database. </w:t>
      </w:r>
      <w:r w:rsidRPr="00E2649B">
        <w:rPr>
          <w:rFonts w:cs="Times New Roman"/>
          <w:i/>
          <w:iCs/>
        </w:rPr>
        <w:t>J Vasc Surg</w:t>
      </w:r>
      <w:r w:rsidRPr="00E2649B">
        <w:rPr>
          <w:rFonts w:cs="Times New Roman"/>
        </w:rPr>
        <w:t>. 2024;79(4):826-834.e3. doi:10.1016/j.jvs.2023.08.118</w:t>
      </w:r>
    </w:p>
    <w:p w14:paraId="1D709F53" w14:textId="77777777" w:rsidR="00E2649B" w:rsidRPr="00E2649B" w:rsidRDefault="00E2649B" w:rsidP="00E2649B">
      <w:pPr>
        <w:pStyle w:val="Bibliography"/>
        <w:rPr>
          <w:rFonts w:cs="Times New Roman"/>
        </w:rPr>
      </w:pPr>
      <w:r w:rsidRPr="00E2649B">
        <w:rPr>
          <w:rFonts w:cs="Times New Roman"/>
        </w:rPr>
        <w:t>5.</w:t>
      </w:r>
      <w:r w:rsidRPr="00E2649B">
        <w:rPr>
          <w:rFonts w:cs="Times New Roman"/>
        </w:rPr>
        <w:tab/>
        <w:t xml:space="preserve">Rao V, Liang P, Swerdlow N, et al. Contemporary Outcomes Following Carotid Endarterectomy in High-Risk Anatomic and Physiologic Patients. </w:t>
      </w:r>
      <w:r w:rsidRPr="00E2649B">
        <w:rPr>
          <w:rFonts w:cs="Times New Roman"/>
          <w:i/>
          <w:iCs/>
        </w:rPr>
        <w:t>J Vasc Surg</w:t>
      </w:r>
      <w:r w:rsidRPr="00E2649B">
        <w:rPr>
          <w:rFonts w:cs="Times New Roman"/>
        </w:rPr>
        <w:t>. 2020;71(1):104-110. doi:10.1016/j.jvs.2019.05.041</w:t>
      </w:r>
    </w:p>
    <w:p w14:paraId="049CE91B" w14:textId="77777777" w:rsidR="00E2649B" w:rsidRPr="00E2649B" w:rsidRDefault="00E2649B" w:rsidP="00E2649B">
      <w:pPr>
        <w:pStyle w:val="Bibliography"/>
        <w:rPr>
          <w:rFonts w:cs="Times New Roman"/>
        </w:rPr>
      </w:pPr>
      <w:r w:rsidRPr="00E2649B">
        <w:rPr>
          <w:rFonts w:cs="Times New Roman"/>
        </w:rPr>
        <w:t>6.</w:t>
      </w:r>
      <w:r w:rsidRPr="00E2649B">
        <w:rPr>
          <w:rFonts w:cs="Times New Roman"/>
        </w:rPr>
        <w:tab/>
        <w:t xml:space="preserve">Brott TG, Hobson RW, Howard G, et al. Stenting versus Endarterectomy for Treatment of Carotid-Artery Stenosis. </w:t>
      </w:r>
      <w:r w:rsidRPr="00E2649B">
        <w:rPr>
          <w:rFonts w:cs="Times New Roman"/>
          <w:i/>
          <w:iCs/>
        </w:rPr>
        <w:t>N Engl J Med</w:t>
      </w:r>
      <w:r w:rsidRPr="00E2649B">
        <w:rPr>
          <w:rFonts w:cs="Times New Roman"/>
        </w:rPr>
        <w:t>. 2010;363(1):11-23. doi:10.1056/NEJMoa0912321</w:t>
      </w:r>
    </w:p>
    <w:p w14:paraId="12A75BE5" w14:textId="77777777" w:rsidR="00E2649B" w:rsidRPr="00E2649B" w:rsidRDefault="00E2649B" w:rsidP="00E2649B">
      <w:pPr>
        <w:pStyle w:val="Bibliography"/>
        <w:rPr>
          <w:rFonts w:cs="Times New Roman"/>
        </w:rPr>
      </w:pPr>
      <w:r w:rsidRPr="00E2649B">
        <w:rPr>
          <w:rFonts w:cs="Times New Roman"/>
        </w:rPr>
        <w:t>7.</w:t>
      </w:r>
      <w:r w:rsidRPr="00E2649B">
        <w:rPr>
          <w:rFonts w:cs="Times New Roman"/>
        </w:rPr>
        <w:tab/>
        <w:t xml:space="preserve">Heck D, Jost A. Carotid stenosis, stroke, and carotid artery revascularization. </w:t>
      </w:r>
      <w:r w:rsidRPr="00E2649B">
        <w:rPr>
          <w:rFonts w:cs="Times New Roman"/>
          <w:i/>
          <w:iCs/>
        </w:rPr>
        <w:t>Prog Cardiovasc Dis</w:t>
      </w:r>
      <w:r w:rsidRPr="00E2649B">
        <w:rPr>
          <w:rFonts w:cs="Times New Roman"/>
        </w:rPr>
        <w:t>. 2021;65:49-54. doi:10.1016/j.pcad.2021.03.005</w:t>
      </w:r>
    </w:p>
    <w:p w14:paraId="397D24AD" w14:textId="77777777" w:rsidR="00E2649B" w:rsidRPr="00E2649B" w:rsidRDefault="00E2649B" w:rsidP="00E2649B">
      <w:pPr>
        <w:pStyle w:val="Bibliography"/>
        <w:rPr>
          <w:rFonts w:cs="Times New Roman"/>
        </w:rPr>
      </w:pPr>
      <w:r w:rsidRPr="00E2649B">
        <w:rPr>
          <w:rFonts w:cs="Times New Roman"/>
        </w:rPr>
        <w:t>8.</w:t>
      </w:r>
      <w:r w:rsidRPr="00E2649B">
        <w:rPr>
          <w:rFonts w:cs="Times New Roman"/>
        </w:rPr>
        <w:tab/>
        <w:t xml:space="preserve">Myouchin K, Takayama K, Wada T, et al. Intraprocedural and Delayed Plaque Protrusion in Carotid Artery Stenting Using a Dual-Layer Metallic Stent. </w:t>
      </w:r>
      <w:r w:rsidRPr="00E2649B">
        <w:rPr>
          <w:rFonts w:cs="Times New Roman"/>
          <w:i/>
          <w:iCs/>
        </w:rPr>
        <w:t>J Soc Cardiovasc Angiogr Interv</w:t>
      </w:r>
      <w:r w:rsidRPr="00E2649B">
        <w:rPr>
          <w:rFonts w:cs="Times New Roman"/>
        </w:rPr>
        <w:t>. 2024;3(11). doi:10.1016/j.jscai.2024.102285</w:t>
      </w:r>
    </w:p>
    <w:p w14:paraId="10F4DB70" w14:textId="77777777" w:rsidR="00E2649B" w:rsidRPr="00E2649B" w:rsidRDefault="00E2649B" w:rsidP="00E2649B">
      <w:pPr>
        <w:pStyle w:val="Bibliography"/>
        <w:rPr>
          <w:rFonts w:cs="Times New Roman"/>
        </w:rPr>
      </w:pPr>
      <w:r w:rsidRPr="00E2649B">
        <w:rPr>
          <w:rFonts w:cs="Times New Roman"/>
        </w:rPr>
        <w:t>9.</w:t>
      </w:r>
      <w:r w:rsidRPr="00E2649B">
        <w:rPr>
          <w:rFonts w:cs="Times New Roman"/>
        </w:rPr>
        <w:tab/>
        <w:t xml:space="preserve">AbuRahma AF, Abu-Halimah S, Hass SM, et al. Carotid artery stenting outcomes are equivalent to carotid endarterectomy outcomes for patients with post-carotid endarterectomy stenosis. </w:t>
      </w:r>
      <w:r w:rsidRPr="00E2649B">
        <w:rPr>
          <w:rFonts w:cs="Times New Roman"/>
          <w:i/>
          <w:iCs/>
        </w:rPr>
        <w:t>J Vasc Surg</w:t>
      </w:r>
      <w:r w:rsidRPr="00E2649B">
        <w:rPr>
          <w:rFonts w:cs="Times New Roman"/>
        </w:rPr>
        <w:t>. 2010;52(5):1180-1187. doi:10.1016/j.jvs.2010.06.074</w:t>
      </w:r>
    </w:p>
    <w:p w14:paraId="1C932252" w14:textId="77777777" w:rsidR="00E2649B" w:rsidRPr="00E2649B" w:rsidRDefault="00E2649B" w:rsidP="00E2649B">
      <w:pPr>
        <w:pStyle w:val="Bibliography"/>
        <w:rPr>
          <w:rFonts w:cs="Times New Roman"/>
        </w:rPr>
      </w:pPr>
      <w:r w:rsidRPr="00E2649B">
        <w:rPr>
          <w:rFonts w:cs="Times New Roman"/>
        </w:rPr>
        <w:t>10.</w:t>
      </w:r>
      <w:r w:rsidRPr="00E2649B">
        <w:rPr>
          <w:rFonts w:cs="Times New Roman"/>
        </w:rPr>
        <w:tab/>
        <w:t xml:space="preserve">Brott TG, Howard G, Lal BK, et al. Medical Management and Revascularization for Asymptomatic Carotid Stenosis. </w:t>
      </w:r>
      <w:r w:rsidRPr="00E2649B">
        <w:rPr>
          <w:rFonts w:cs="Times New Roman"/>
          <w:i/>
          <w:iCs/>
        </w:rPr>
        <w:t>N Engl J Med</w:t>
      </w:r>
      <w:r w:rsidRPr="00E2649B">
        <w:rPr>
          <w:rFonts w:cs="Times New Roman"/>
        </w:rPr>
        <w:t>. Published online November 21, 2025:NEJMoa2508800. doi:10.1056/NEJMoa2508800</w:t>
      </w:r>
    </w:p>
    <w:p w14:paraId="539853F8" w14:textId="77777777" w:rsidR="00E2649B" w:rsidRPr="00E2649B" w:rsidRDefault="00E2649B" w:rsidP="00E2649B">
      <w:pPr>
        <w:pStyle w:val="Bibliography"/>
        <w:rPr>
          <w:rFonts w:cs="Times New Roman"/>
        </w:rPr>
      </w:pPr>
      <w:r w:rsidRPr="00E2649B">
        <w:rPr>
          <w:rFonts w:cs="Times New Roman"/>
        </w:rPr>
        <w:t>11.</w:t>
      </w:r>
      <w:r w:rsidRPr="00E2649B">
        <w:rPr>
          <w:rFonts w:cs="Times New Roman"/>
        </w:rPr>
        <w:tab/>
        <w:t xml:space="preserve">Alharbi SH. Anti-inflammatory role of glucagon-like peptide 1 receptor agonists and its clinical implications. </w:t>
      </w:r>
      <w:r w:rsidRPr="00E2649B">
        <w:rPr>
          <w:rFonts w:cs="Times New Roman"/>
          <w:i/>
          <w:iCs/>
        </w:rPr>
        <w:t>Ther Adv Endocrinol Metab</w:t>
      </w:r>
      <w:r w:rsidRPr="00E2649B">
        <w:rPr>
          <w:rFonts w:cs="Times New Roman"/>
        </w:rPr>
        <w:t>. 2024;15:20420188231222367. doi:10.1177/20420188231222367</w:t>
      </w:r>
    </w:p>
    <w:p w14:paraId="15DA2311" w14:textId="77777777" w:rsidR="00E2649B" w:rsidRPr="00E2649B" w:rsidRDefault="00E2649B" w:rsidP="00E2649B">
      <w:pPr>
        <w:pStyle w:val="Bibliography"/>
        <w:rPr>
          <w:rFonts w:cs="Times New Roman"/>
        </w:rPr>
      </w:pPr>
      <w:r w:rsidRPr="00E2649B">
        <w:rPr>
          <w:rFonts w:cs="Times New Roman"/>
        </w:rPr>
        <w:t>12.</w:t>
      </w:r>
      <w:r w:rsidRPr="00E2649B">
        <w:rPr>
          <w:rFonts w:cs="Times New Roman"/>
        </w:rPr>
        <w:tab/>
        <w:t xml:space="preserve">Adhikari R, Jha K, Dardari Z, et al. National Trends in Use of Sodium‐Glucose Cotransporter‐2 Inhibitors and Glucagon‐like Peptide‐1 Receptor Agonists by Cardiologists </w:t>
      </w:r>
      <w:r w:rsidRPr="00E2649B">
        <w:rPr>
          <w:rFonts w:cs="Times New Roman"/>
        </w:rPr>
        <w:lastRenderedPageBreak/>
        <w:t xml:space="preserve">and Other Specialties, 2015 to 2020. </w:t>
      </w:r>
      <w:r w:rsidRPr="00E2649B">
        <w:rPr>
          <w:rFonts w:cs="Times New Roman"/>
          <w:i/>
          <w:iCs/>
        </w:rPr>
        <w:t>J Am Heart Assoc</w:t>
      </w:r>
      <w:r w:rsidRPr="00E2649B">
        <w:rPr>
          <w:rFonts w:cs="Times New Roman"/>
        </w:rPr>
        <w:t>. 2022;11(9):e023811. doi:10.1161/JAHA.121.023811</w:t>
      </w:r>
    </w:p>
    <w:p w14:paraId="6C801213" w14:textId="77777777" w:rsidR="00E2649B" w:rsidRPr="00E2649B" w:rsidRDefault="00E2649B" w:rsidP="00E2649B">
      <w:pPr>
        <w:pStyle w:val="Bibliography"/>
        <w:rPr>
          <w:rFonts w:cs="Times New Roman"/>
        </w:rPr>
      </w:pPr>
      <w:r w:rsidRPr="00E2649B">
        <w:rPr>
          <w:rFonts w:cs="Times New Roman"/>
        </w:rPr>
        <w:t>13.</w:t>
      </w:r>
      <w:r w:rsidRPr="00E2649B">
        <w:rPr>
          <w:rFonts w:cs="Times New Roman"/>
        </w:rPr>
        <w:tab/>
        <w:t xml:space="preserve">Lin HT, Tsai YF, Liao PL, Wei JCC. Neurodegeneration and Stroke After Semaglutide and Tirzepatide in Patients With Diabetes and Obesity. </w:t>
      </w:r>
      <w:r w:rsidRPr="00E2649B">
        <w:rPr>
          <w:rFonts w:cs="Times New Roman"/>
          <w:i/>
          <w:iCs/>
        </w:rPr>
        <w:t>JAMA Netw Open</w:t>
      </w:r>
      <w:r w:rsidRPr="00E2649B">
        <w:rPr>
          <w:rFonts w:cs="Times New Roman"/>
        </w:rPr>
        <w:t>. 2025;8(7):e2521016. doi:10.1001/jamanetworkopen.2025.21016</w:t>
      </w:r>
    </w:p>
    <w:p w14:paraId="08424703" w14:textId="77777777" w:rsidR="00E2649B" w:rsidRPr="00E2649B" w:rsidRDefault="00E2649B" w:rsidP="00E2649B">
      <w:pPr>
        <w:pStyle w:val="Bibliography"/>
        <w:rPr>
          <w:rFonts w:cs="Times New Roman"/>
        </w:rPr>
      </w:pPr>
      <w:r w:rsidRPr="00E2649B">
        <w:rPr>
          <w:rFonts w:cs="Times New Roman"/>
        </w:rPr>
        <w:t>14.</w:t>
      </w:r>
      <w:r w:rsidRPr="00E2649B">
        <w:rPr>
          <w:rFonts w:cs="Times New Roman"/>
        </w:rPr>
        <w:tab/>
        <w:t xml:space="preserve">Rai P, Mandel D, Bathla G, et al. Association of Glucagon-like Peptide-1 Receptor Agonist Use with Stroke and Mortality Outcomes in Asymptomatic Intracranial Atherosclerotic Disease: Propensity Score-Matched Real-World Analysis. </w:t>
      </w:r>
      <w:r w:rsidRPr="00E2649B">
        <w:rPr>
          <w:rFonts w:cs="Times New Roman"/>
          <w:i/>
          <w:iCs/>
        </w:rPr>
        <w:t>Neurol Int</w:t>
      </w:r>
      <w:r w:rsidRPr="00E2649B">
        <w:rPr>
          <w:rFonts w:cs="Times New Roman"/>
        </w:rPr>
        <w:t>. 2026;18(5):98. doi:10.3390/neurolint18050098</w:t>
      </w:r>
    </w:p>
    <w:p w14:paraId="71AAE4FA" w14:textId="77777777" w:rsidR="00E2649B" w:rsidRPr="00E2649B" w:rsidRDefault="00E2649B" w:rsidP="00E2649B">
      <w:pPr>
        <w:pStyle w:val="Bibliography"/>
        <w:rPr>
          <w:rFonts w:cs="Times New Roman"/>
        </w:rPr>
      </w:pPr>
      <w:r w:rsidRPr="00E2649B">
        <w:rPr>
          <w:rFonts w:cs="Times New Roman"/>
        </w:rPr>
        <w:t>15.</w:t>
      </w:r>
      <w:r w:rsidRPr="00E2649B">
        <w:rPr>
          <w:rFonts w:cs="Times New Roman"/>
        </w:rPr>
        <w:tab/>
        <w:t xml:space="preserve">Rai P, Bathla G, Praveen N, et al. Outcomes of GLP-1 receptor agonist use following ischemic stroke: a propensity score-matched real-world analysis. </w:t>
      </w:r>
      <w:r w:rsidRPr="00E2649B">
        <w:rPr>
          <w:rFonts w:cs="Times New Roman"/>
          <w:i/>
          <w:iCs/>
        </w:rPr>
        <w:t>J Neurol</w:t>
      </w:r>
      <w:r w:rsidRPr="00E2649B">
        <w:rPr>
          <w:rFonts w:cs="Times New Roman"/>
        </w:rPr>
        <w:t>. 2025;272(11):716. doi:10.1007/s00415-025-13470-w</w:t>
      </w:r>
    </w:p>
    <w:p w14:paraId="441F2F13" w14:textId="77777777" w:rsidR="00E2649B" w:rsidRPr="00E2649B" w:rsidRDefault="00E2649B" w:rsidP="00E2649B">
      <w:pPr>
        <w:pStyle w:val="Bibliography"/>
        <w:rPr>
          <w:rFonts w:cs="Times New Roman"/>
        </w:rPr>
      </w:pPr>
      <w:r w:rsidRPr="00E2649B">
        <w:rPr>
          <w:rFonts w:cs="Times New Roman"/>
        </w:rPr>
        <w:t>16.</w:t>
      </w:r>
      <w:r w:rsidRPr="00E2649B">
        <w:rPr>
          <w:rFonts w:cs="Times New Roman"/>
        </w:rPr>
        <w:tab/>
        <w:t xml:space="preserve">Rai P, Bathla G, Aggarwal E, et al. Glucagon-Like Peptide-1 Receptor Agonist Exposure and Long-Term Outcomes in Patients with Asymptomatic Carotid Stenosis: A Propensity Score-Matched Real-World Analysis. </w:t>
      </w:r>
      <w:r w:rsidRPr="00E2649B">
        <w:rPr>
          <w:rFonts w:cs="Times New Roman"/>
          <w:i/>
          <w:iCs/>
        </w:rPr>
        <w:t>Am J Neuroradiol</w:t>
      </w:r>
      <w:r w:rsidRPr="00E2649B">
        <w:rPr>
          <w:rFonts w:cs="Times New Roman"/>
        </w:rPr>
        <w:t>. Published online June 2, 2026. doi:10.3174/ajnr.A9443</w:t>
      </w:r>
    </w:p>
    <w:p w14:paraId="7B5DC716" w14:textId="77777777" w:rsidR="00E2649B" w:rsidRPr="00E2649B" w:rsidRDefault="00E2649B" w:rsidP="00E2649B">
      <w:pPr>
        <w:pStyle w:val="Bibliography"/>
        <w:rPr>
          <w:rFonts w:cs="Times New Roman"/>
        </w:rPr>
      </w:pPr>
      <w:r w:rsidRPr="00E2649B">
        <w:rPr>
          <w:rFonts w:cs="Times New Roman"/>
        </w:rPr>
        <w:t>17.</w:t>
      </w:r>
      <w:r w:rsidRPr="00E2649B">
        <w:rPr>
          <w:rFonts w:cs="Times New Roman"/>
        </w:rPr>
        <w:tab/>
        <w:t xml:space="preserve">Chen H, Lakhani DA, Yaddanapudi SS, et al. Association between glucagon-like peptide-1 receptor agonist use and ischemic stroke severity. </w:t>
      </w:r>
      <w:r w:rsidRPr="00E2649B">
        <w:rPr>
          <w:rFonts w:cs="Times New Roman"/>
          <w:i/>
          <w:iCs/>
        </w:rPr>
        <w:t>J Neurol Sci</w:t>
      </w:r>
      <w:r w:rsidRPr="00E2649B">
        <w:rPr>
          <w:rFonts w:cs="Times New Roman"/>
        </w:rPr>
        <w:t>. 2026;489. doi:10.1016/j.jns.2026.126106</w:t>
      </w:r>
    </w:p>
    <w:p w14:paraId="57AB995E" w14:textId="77777777" w:rsidR="00E2649B" w:rsidRPr="00E2649B" w:rsidRDefault="00E2649B" w:rsidP="00E2649B">
      <w:pPr>
        <w:pStyle w:val="Bibliography"/>
        <w:rPr>
          <w:rFonts w:cs="Times New Roman"/>
        </w:rPr>
      </w:pPr>
      <w:r w:rsidRPr="00E2649B">
        <w:rPr>
          <w:rFonts w:cs="Times New Roman"/>
        </w:rPr>
        <w:t>18.</w:t>
      </w:r>
      <w:r w:rsidRPr="00E2649B">
        <w:rPr>
          <w:rFonts w:cs="Times New Roman"/>
        </w:rPr>
        <w:tab/>
        <w:t xml:space="preserve">Chen H, McIntyre MK, Kakadiya J, et al. GLP-1 Receptor Agonist Use Is Associated With Lower Risk of Intracranial Aneurysm Rupture and Rupture Severity. </w:t>
      </w:r>
      <w:r w:rsidRPr="00E2649B">
        <w:rPr>
          <w:rFonts w:cs="Times New Roman"/>
          <w:i/>
          <w:iCs/>
        </w:rPr>
        <w:t>Stroke</w:t>
      </w:r>
      <w:r w:rsidRPr="00E2649B">
        <w:rPr>
          <w:rFonts w:cs="Times New Roman"/>
        </w:rPr>
        <w:t>. 0(0). doi:10.1161/STROKEAHA.126.055692</w:t>
      </w:r>
    </w:p>
    <w:p w14:paraId="6D278715" w14:textId="77777777" w:rsidR="00E2649B" w:rsidRPr="00E2649B" w:rsidRDefault="00E2649B" w:rsidP="00E2649B">
      <w:pPr>
        <w:pStyle w:val="Bibliography"/>
        <w:rPr>
          <w:rFonts w:cs="Times New Roman"/>
        </w:rPr>
      </w:pPr>
      <w:r w:rsidRPr="00E2649B">
        <w:rPr>
          <w:rFonts w:cs="Times New Roman"/>
        </w:rPr>
        <w:t>19.</w:t>
      </w:r>
      <w:r w:rsidRPr="00E2649B">
        <w:rPr>
          <w:rFonts w:cs="Times New Roman"/>
        </w:rPr>
        <w:tab/>
        <w:t xml:space="preserve">He Y, Xu B, Zhang M, et al. Advances in GLP-1 receptor agonists for pain treatment and their future potential. </w:t>
      </w:r>
      <w:r w:rsidRPr="00E2649B">
        <w:rPr>
          <w:rFonts w:cs="Times New Roman"/>
          <w:i/>
          <w:iCs/>
        </w:rPr>
        <w:t>J Headache Pain</w:t>
      </w:r>
      <w:r w:rsidRPr="00E2649B">
        <w:rPr>
          <w:rFonts w:cs="Times New Roman"/>
        </w:rPr>
        <w:t>. 2025;26(1):46. doi:10.1186/s10194-025-01979-4</w:t>
      </w:r>
    </w:p>
    <w:p w14:paraId="20762BF7" w14:textId="77777777" w:rsidR="00E2649B" w:rsidRPr="00E2649B" w:rsidRDefault="00E2649B" w:rsidP="00E2649B">
      <w:pPr>
        <w:pStyle w:val="Bibliography"/>
        <w:rPr>
          <w:rFonts w:cs="Times New Roman"/>
        </w:rPr>
      </w:pPr>
      <w:r w:rsidRPr="00E2649B">
        <w:rPr>
          <w:rFonts w:cs="Times New Roman"/>
        </w:rPr>
        <w:t>20.</w:t>
      </w:r>
      <w:r w:rsidRPr="00E2649B">
        <w:rPr>
          <w:rFonts w:cs="Times New Roman"/>
        </w:rPr>
        <w:tab/>
        <w:t xml:space="preserve">De Giorgi R, Ghenciulescu A, Yotter C, Taquet M, Koychev I. Glucagon-like peptide-1 receptor agonists for major neurocognitive disorders. </w:t>
      </w:r>
      <w:r w:rsidRPr="00E2649B">
        <w:rPr>
          <w:rFonts w:cs="Times New Roman"/>
          <w:i/>
          <w:iCs/>
        </w:rPr>
        <w:t>J Neurol Neurosurg Psychiatry</w:t>
      </w:r>
      <w:r w:rsidRPr="00E2649B">
        <w:rPr>
          <w:rFonts w:cs="Times New Roman"/>
        </w:rPr>
        <w:t>. 2025;96(9):870-883. doi:10.1136/jnnp-2024-335593</w:t>
      </w:r>
    </w:p>
    <w:p w14:paraId="70815574" w14:textId="77777777" w:rsidR="00E2649B" w:rsidRPr="00E2649B" w:rsidRDefault="00E2649B" w:rsidP="00E2649B">
      <w:pPr>
        <w:pStyle w:val="Bibliography"/>
        <w:rPr>
          <w:rFonts w:cs="Times New Roman"/>
        </w:rPr>
      </w:pPr>
      <w:r w:rsidRPr="00E2649B">
        <w:rPr>
          <w:rFonts w:cs="Times New Roman"/>
        </w:rPr>
        <w:t>21.</w:t>
      </w:r>
      <w:r w:rsidRPr="00E2649B">
        <w:rPr>
          <w:rFonts w:cs="Times New Roman"/>
        </w:rPr>
        <w:tab/>
        <w:t xml:space="preserve">Hussain MA, Mamdani M, Tu JV, et al. Long-term Outcomes of Carotid Endarterectomy Versus Stenting in a Multicenter Population-based Canadian Study. </w:t>
      </w:r>
      <w:r w:rsidRPr="00E2649B">
        <w:rPr>
          <w:rFonts w:cs="Times New Roman"/>
          <w:i/>
          <w:iCs/>
        </w:rPr>
        <w:t>Ann Surg</w:t>
      </w:r>
      <w:r w:rsidRPr="00E2649B">
        <w:rPr>
          <w:rFonts w:cs="Times New Roman"/>
        </w:rPr>
        <w:t>. 2018;268(2):364-373. doi:10.1097/SLA.0000000000002301</w:t>
      </w:r>
    </w:p>
    <w:p w14:paraId="2CB84238" w14:textId="77777777" w:rsidR="00E2649B" w:rsidRPr="00E2649B" w:rsidRDefault="00E2649B" w:rsidP="00E2649B">
      <w:pPr>
        <w:pStyle w:val="Bibliography"/>
        <w:rPr>
          <w:rFonts w:cs="Times New Roman"/>
        </w:rPr>
      </w:pPr>
      <w:r w:rsidRPr="00E2649B">
        <w:rPr>
          <w:rFonts w:cs="Times New Roman"/>
        </w:rPr>
        <w:t>22.</w:t>
      </w:r>
      <w:r w:rsidRPr="00E2649B">
        <w:rPr>
          <w:rFonts w:cs="Times New Roman"/>
        </w:rPr>
        <w:tab/>
        <w:t xml:space="preserve">Sastry RA, Pertsch NJ, Sagaityte E, Poggi JA, Toms SA, Weil RJ. Early Outcomes After Carotid Endarterectomy and Carotid Artery Stenting: A Propensity-Matched Cohort Analysis. </w:t>
      </w:r>
      <w:r w:rsidRPr="00E2649B">
        <w:rPr>
          <w:rFonts w:cs="Times New Roman"/>
          <w:i/>
          <w:iCs/>
        </w:rPr>
        <w:t>Neurosurgery</w:t>
      </w:r>
      <w:r w:rsidRPr="00E2649B">
        <w:rPr>
          <w:rFonts w:cs="Times New Roman"/>
        </w:rPr>
        <w:t>. 2021;89(4):653-663. doi:10.1093/neuros/nyab250</w:t>
      </w:r>
    </w:p>
    <w:p w14:paraId="33D13A95" w14:textId="77777777" w:rsidR="00E2649B" w:rsidRPr="00E2649B" w:rsidRDefault="00E2649B" w:rsidP="00E2649B">
      <w:pPr>
        <w:pStyle w:val="Bibliography"/>
        <w:rPr>
          <w:rFonts w:cs="Times New Roman"/>
        </w:rPr>
      </w:pPr>
      <w:r w:rsidRPr="00E2649B">
        <w:rPr>
          <w:rFonts w:cs="Times New Roman"/>
        </w:rPr>
        <w:t>23.</w:t>
      </w:r>
      <w:r w:rsidRPr="00E2649B">
        <w:rPr>
          <w:rFonts w:cs="Times New Roman"/>
        </w:rPr>
        <w:tab/>
        <w:t xml:space="preserve">Brott TG, Calvet D, Howard G, et al. Long-term outcomes of stenting and endarterectomy for symptomatic carotid stenosis: a preplanned pooled analysis of individual patient data. </w:t>
      </w:r>
      <w:r w:rsidRPr="00E2649B">
        <w:rPr>
          <w:rFonts w:cs="Times New Roman"/>
          <w:i/>
          <w:iCs/>
        </w:rPr>
        <w:t>Lancet Neurol</w:t>
      </w:r>
      <w:r w:rsidRPr="00E2649B">
        <w:rPr>
          <w:rFonts w:cs="Times New Roman"/>
        </w:rPr>
        <w:t>. 2019;18(4):348-356. doi:10.1016/S1474-4422(19)30028-6</w:t>
      </w:r>
    </w:p>
    <w:p w14:paraId="7CC1309B" w14:textId="77777777" w:rsidR="00E2649B" w:rsidRPr="00E2649B" w:rsidRDefault="00E2649B" w:rsidP="00E2649B">
      <w:pPr>
        <w:pStyle w:val="Bibliography"/>
        <w:rPr>
          <w:rFonts w:cs="Times New Roman"/>
        </w:rPr>
      </w:pPr>
      <w:r w:rsidRPr="00E2649B">
        <w:rPr>
          <w:rFonts w:cs="Times New Roman"/>
        </w:rPr>
        <w:lastRenderedPageBreak/>
        <w:t>24.</w:t>
      </w:r>
      <w:r w:rsidRPr="00E2649B">
        <w:rPr>
          <w:rFonts w:cs="Times New Roman"/>
        </w:rPr>
        <w:tab/>
        <w:t xml:space="preserve">Gurm HS, Yadav JS, Fayad P, et al. Long-Term Results of Carotid Stenting versus Endarterectomy in High-Risk Patients. </w:t>
      </w:r>
      <w:r w:rsidRPr="00E2649B">
        <w:rPr>
          <w:rFonts w:cs="Times New Roman"/>
          <w:i/>
          <w:iCs/>
        </w:rPr>
        <w:t>N Engl J Med</w:t>
      </w:r>
      <w:r w:rsidRPr="00E2649B">
        <w:rPr>
          <w:rFonts w:cs="Times New Roman"/>
        </w:rPr>
        <w:t>. 2008;358(15):1572-1579. doi:10.1056/NEJMoa0708028</w:t>
      </w:r>
    </w:p>
    <w:p w14:paraId="1A729948" w14:textId="77777777" w:rsidR="00E2649B" w:rsidRPr="00E2649B" w:rsidRDefault="00E2649B" w:rsidP="00E2649B">
      <w:pPr>
        <w:pStyle w:val="Bibliography"/>
        <w:rPr>
          <w:rFonts w:cs="Times New Roman"/>
        </w:rPr>
      </w:pPr>
      <w:r w:rsidRPr="00E2649B">
        <w:rPr>
          <w:rFonts w:cs="Times New Roman"/>
        </w:rPr>
        <w:t>25.</w:t>
      </w:r>
      <w:r w:rsidRPr="00E2649B">
        <w:rPr>
          <w:rFonts w:cs="Times New Roman"/>
        </w:rPr>
        <w:tab/>
        <w:t xml:space="preserve">Gera A, Latif F, Borra V, et al. Efficacy of glucagon-like peptide-1 receptor agonists for prevention of stroke among patients with and without diabetes: A meta-analysis with the SELECT and FLOW trails. </w:t>
      </w:r>
      <w:r w:rsidRPr="00E2649B">
        <w:rPr>
          <w:rFonts w:cs="Times New Roman"/>
          <w:i/>
          <w:iCs/>
        </w:rPr>
        <w:t>IJC Heart Vasc</w:t>
      </w:r>
      <w:r w:rsidRPr="00E2649B">
        <w:rPr>
          <w:rFonts w:cs="Times New Roman"/>
        </w:rPr>
        <w:t>. 2025;57:101638. doi:10.1016/j.ijcha.2025.101638</w:t>
      </w:r>
    </w:p>
    <w:p w14:paraId="396F1315" w14:textId="77777777" w:rsidR="00E2649B" w:rsidRPr="00E2649B" w:rsidRDefault="00E2649B" w:rsidP="00E2649B">
      <w:pPr>
        <w:pStyle w:val="Bibliography"/>
        <w:rPr>
          <w:rFonts w:cs="Times New Roman"/>
        </w:rPr>
      </w:pPr>
      <w:r w:rsidRPr="00E2649B">
        <w:rPr>
          <w:rFonts w:cs="Times New Roman"/>
        </w:rPr>
        <w:t>26.</w:t>
      </w:r>
      <w:r w:rsidRPr="00E2649B">
        <w:rPr>
          <w:rFonts w:cs="Times New Roman"/>
        </w:rPr>
        <w:tab/>
        <w:t xml:space="preserve">Watada H. One step closer to solving the mystery of the anti-inflammatory effects of glucagon-like peptide-1 receptor agonists. </w:t>
      </w:r>
      <w:r w:rsidRPr="00E2649B">
        <w:rPr>
          <w:rFonts w:cs="Times New Roman"/>
          <w:i/>
          <w:iCs/>
        </w:rPr>
        <w:t>J Diabetes Investig</w:t>
      </w:r>
      <w:r w:rsidRPr="00E2649B">
        <w:rPr>
          <w:rFonts w:cs="Times New Roman"/>
        </w:rPr>
        <w:t>. 2025;16(2):180-182. doi:10.1111/jdi.14346</w:t>
      </w:r>
    </w:p>
    <w:p w14:paraId="753BE1BF" w14:textId="77777777" w:rsidR="00E2649B" w:rsidRPr="00E2649B" w:rsidRDefault="00E2649B" w:rsidP="00E2649B">
      <w:pPr>
        <w:pStyle w:val="Bibliography"/>
        <w:rPr>
          <w:rFonts w:cs="Times New Roman"/>
        </w:rPr>
      </w:pPr>
      <w:r w:rsidRPr="00E2649B">
        <w:rPr>
          <w:rFonts w:cs="Times New Roman"/>
        </w:rPr>
        <w:t>27.</w:t>
      </w:r>
      <w:r w:rsidRPr="00E2649B">
        <w:rPr>
          <w:rFonts w:cs="Times New Roman"/>
        </w:rPr>
        <w:tab/>
        <w:t xml:space="preserve">Zheng Z, Zong Y, Ma Y, et al. Glucagon-like peptide-1 receptor: mechanisms and advances in therapy. </w:t>
      </w:r>
      <w:r w:rsidRPr="00E2649B">
        <w:rPr>
          <w:rFonts w:cs="Times New Roman"/>
          <w:i/>
          <w:iCs/>
        </w:rPr>
        <w:t>Signal Transduct Target Ther</w:t>
      </w:r>
      <w:r w:rsidRPr="00E2649B">
        <w:rPr>
          <w:rFonts w:cs="Times New Roman"/>
        </w:rPr>
        <w:t>. 2024;9(1):234. doi:10.1038/s41392-024-01931-z</w:t>
      </w:r>
    </w:p>
    <w:p w14:paraId="1550436B" w14:textId="77777777" w:rsidR="00E2649B" w:rsidRPr="00E2649B" w:rsidRDefault="00E2649B" w:rsidP="00E2649B">
      <w:pPr>
        <w:pStyle w:val="Bibliography"/>
        <w:rPr>
          <w:rFonts w:cs="Times New Roman"/>
        </w:rPr>
      </w:pPr>
      <w:r w:rsidRPr="00E2649B">
        <w:rPr>
          <w:rFonts w:cs="Times New Roman"/>
        </w:rPr>
        <w:t>28.</w:t>
      </w:r>
      <w:r w:rsidRPr="00E2649B">
        <w:rPr>
          <w:rFonts w:cs="Times New Roman"/>
        </w:rPr>
        <w:tab/>
        <w:t xml:space="preserve">Bladin CF, Wah Cheung N, Dewey HM, et al. Management of Poststroke Hyperglycemia: Results of the TEXAIS Randomized Clinical Trial. </w:t>
      </w:r>
      <w:r w:rsidRPr="00E2649B">
        <w:rPr>
          <w:rFonts w:cs="Times New Roman"/>
          <w:i/>
          <w:iCs/>
        </w:rPr>
        <w:t>Stroke</w:t>
      </w:r>
      <w:r w:rsidRPr="00E2649B">
        <w:rPr>
          <w:rFonts w:cs="Times New Roman"/>
        </w:rPr>
        <w:t>. 2023;54(12):2962-2971. doi:10.1161/STROKEAHA.123.044568</w:t>
      </w:r>
    </w:p>
    <w:p w14:paraId="33BC531F" w14:textId="43370A0E" w:rsidR="00FE3491" w:rsidRPr="0057434E" w:rsidRDefault="00FE3491" w:rsidP="00E2649B">
      <w:pPr>
        <w:pStyle w:val="Bibliography"/>
        <w:rPr>
          <w:rFonts w:cs="Times New Roman"/>
        </w:rPr>
      </w:pPr>
      <w:r w:rsidRPr="0057434E">
        <w:rPr>
          <w:rFonts w:cs="Times New Roman"/>
        </w:rPr>
        <w:fldChar w:fldCharType="end"/>
      </w:r>
    </w:p>
    <w:p w14:paraId="5ACD96AA" w14:textId="7CD15872" w:rsidR="008B280C" w:rsidRPr="0057434E" w:rsidRDefault="008B280C" w:rsidP="00FE3491">
      <w:pPr>
        <w:rPr>
          <w:rFonts w:cs="Times New Roman"/>
        </w:rPr>
        <w:sectPr w:rsidR="008B280C" w:rsidRPr="0057434E">
          <w:pgSz w:w="12240" w:h="15840"/>
          <w:pgMar w:top="1440" w:right="1440" w:bottom="1440" w:left="1440" w:header="720" w:footer="720" w:gutter="0"/>
          <w:cols w:space="720"/>
          <w:docGrid w:linePitch="360"/>
        </w:sectPr>
      </w:pPr>
    </w:p>
    <w:p w14:paraId="0771E266" w14:textId="77777777" w:rsidR="008B280C" w:rsidRPr="0057434E" w:rsidRDefault="008B280C" w:rsidP="00FE3491">
      <w:pPr>
        <w:rPr>
          <w:rFonts w:cs="Times New Roman"/>
        </w:rPr>
      </w:pPr>
    </w:p>
    <w:tbl>
      <w:tblPr>
        <w:tblW w:w="13860" w:type="dxa"/>
        <w:tblCellMar>
          <w:left w:w="0" w:type="dxa"/>
          <w:right w:w="0" w:type="dxa"/>
        </w:tblCellMar>
        <w:tblLook w:val="04A0" w:firstRow="1" w:lastRow="0" w:firstColumn="1" w:lastColumn="0" w:noHBand="0" w:noVBand="1"/>
      </w:tblPr>
      <w:tblGrid>
        <w:gridCol w:w="2700"/>
        <w:gridCol w:w="1980"/>
        <w:gridCol w:w="1980"/>
        <w:gridCol w:w="1980"/>
        <w:gridCol w:w="2250"/>
        <w:gridCol w:w="990"/>
        <w:gridCol w:w="1980"/>
      </w:tblGrid>
      <w:tr w:rsidR="00FD4F03" w:rsidRPr="002E2865" w14:paraId="2C4F25E1" w14:textId="77777777" w:rsidTr="00FD4F03">
        <w:trPr>
          <w:trHeight w:val="318"/>
        </w:trPr>
        <w:tc>
          <w:tcPr>
            <w:tcW w:w="13860" w:type="dxa"/>
            <w:gridSpan w:val="7"/>
            <w:noWrap/>
            <w:tcMar>
              <w:top w:w="15" w:type="dxa"/>
              <w:left w:w="15" w:type="dxa"/>
              <w:bottom w:w="0" w:type="dxa"/>
              <w:right w:w="15" w:type="dxa"/>
            </w:tcMar>
            <w:hideMark/>
          </w:tcPr>
          <w:p w14:paraId="2E451BFB" w14:textId="5FCC7EAC" w:rsidR="00FD4F03" w:rsidRPr="00F96352" w:rsidRDefault="00FD4F03" w:rsidP="00FD4F03">
            <w:pPr>
              <w:rPr>
                <w:rFonts w:cs="Times New Roman"/>
                <w:b/>
                <w:bCs/>
                <w:sz w:val="22"/>
                <w:szCs w:val="22"/>
              </w:rPr>
            </w:pPr>
            <w:r w:rsidRPr="00F96352">
              <w:rPr>
                <w:rFonts w:cs="Times New Roman"/>
                <w:b/>
                <w:bCs/>
                <w:sz w:val="22"/>
                <w:szCs w:val="22"/>
              </w:rPr>
              <w:t>Table 1</w:t>
            </w:r>
            <w:r w:rsidRPr="00F96352">
              <w:rPr>
                <w:rFonts w:cs="Times New Roman"/>
                <w:sz w:val="22"/>
                <w:szCs w:val="22"/>
              </w:rPr>
              <w:t xml:space="preserve">: Study outcomes within 5 years of follow-up </w:t>
            </w:r>
            <w:r w:rsidRPr="00F96352">
              <w:rPr>
                <w:rFonts w:eastAsia="Times New Roman" w:cs="Times New Roman"/>
                <w:color w:val="000000"/>
                <w:kern w:val="0"/>
                <w:sz w:val="22"/>
                <w:szCs w:val="22"/>
                <w14:ligatures w14:val="none"/>
              </w:rPr>
              <w:t>for the Carotid Artery Stenting cohort</w:t>
            </w:r>
          </w:p>
        </w:tc>
      </w:tr>
      <w:tr w:rsidR="00FD4F03" w:rsidRPr="002E2865" w14:paraId="3F3FF576" w14:textId="77777777" w:rsidTr="00FD4F03">
        <w:trPr>
          <w:trHeight w:val="637"/>
        </w:trPr>
        <w:tc>
          <w:tcPr>
            <w:tcW w:w="2700" w:type="dxa"/>
            <w:tcBorders>
              <w:bottom w:val="single" w:sz="4" w:space="0" w:color="auto"/>
              <w:right w:val="single" w:sz="4" w:space="0" w:color="auto"/>
            </w:tcBorders>
            <w:tcMar>
              <w:top w:w="15" w:type="dxa"/>
              <w:left w:w="15" w:type="dxa"/>
              <w:bottom w:w="0" w:type="dxa"/>
              <w:right w:w="15" w:type="dxa"/>
            </w:tcMar>
            <w:hideMark/>
          </w:tcPr>
          <w:p w14:paraId="6D63C6ED" w14:textId="4790B793" w:rsidR="00FD4F03" w:rsidRPr="002E2865" w:rsidRDefault="00FD4F03" w:rsidP="00FD4F03">
            <w:pPr>
              <w:rPr>
                <w:rFonts w:cs="Times New Roman"/>
                <w:i/>
                <w:iCs/>
                <w:sz w:val="22"/>
                <w:szCs w:val="22"/>
              </w:rPr>
            </w:pPr>
            <w:r w:rsidRPr="002E2865">
              <w:rPr>
                <w:rFonts w:cs="Times New Roman"/>
                <w:i/>
                <w:iCs/>
                <w:sz w:val="22"/>
                <w:szCs w:val="22"/>
              </w:rPr>
              <w:t>Outcomes % (n)</w:t>
            </w:r>
          </w:p>
        </w:tc>
        <w:tc>
          <w:tcPr>
            <w:tcW w:w="1980" w:type="dxa"/>
            <w:tcBorders>
              <w:left w:val="single" w:sz="4" w:space="0" w:color="auto"/>
              <w:bottom w:val="single" w:sz="4" w:space="0" w:color="auto"/>
            </w:tcBorders>
            <w:tcMar>
              <w:top w:w="15" w:type="dxa"/>
              <w:left w:w="15" w:type="dxa"/>
              <w:bottom w:w="0" w:type="dxa"/>
              <w:right w:w="15" w:type="dxa"/>
            </w:tcMar>
            <w:hideMark/>
          </w:tcPr>
          <w:p w14:paraId="27D36DA8" w14:textId="4780FCFE" w:rsidR="00FD4F03" w:rsidRPr="002E2865" w:rsidRDefault="00033DA6" w:rsidP="00FD4F03">
            <w:pPr>
              <w:rPr>
                <w:rFonts w:cs="Times New Roman"/>
                <w:b/>
                <w:bCs/>
                <w:sz w:val="22"/>
                <w:szCs w:val="22"/>
              </w:rPr>
            </w:pPr>
            <w:r>
              <w:rPr>
                <w:rFonts w:cs="Times New Roman"/>
                <w:b/>
                <w:bCs/>
                <w:sz w:val="22"/>
                <w:szCs w:val="22"/>
              </w:rPr>
              <w:t>GLP-1RA</w:t>
            </w:r>
            <w:r w:rsidR="00FD4F03" w:rsidRPr="002E2865">
              <w:rPr>
                <w:rFonts w:cs="Times New Roman"/>
                <w:b/>
                <w:bCs/>
                <w:sz w:val="22"/>
                <w:szCs w:val="22"/>
              </w:rPr>
              <w:t xml:space="preserve"> (N=</w:t>
            </w:r>
            <w:r w:rsidR="00630C40">
              <w:rPr>
                <w:rFonts w:cs="Times New Roman"/>
                <w:b/>
                <w:bCs/>
                <w:sz w:val="22"/>
                <w:szCs w:val="22"/>
              </w:rPr>
              <w:t>443</w:t>
            </w:r>
            <w:r w:rsidR="00FD4F03" w:rsidRPr="002E2865">
              <w:rPr>
                <w:rFonts w:cs="Times New Roman"/>
                <w:b/>
                <w:bCs/>
                <w:sz w:val="22"/>
                <w:szCs w:val="22"/>
              </w:rPr>
              <w:t>)</w:t>
            </w:r>
          </w:p>
        </w:tc>
        <w:tc>
          <w:tcPr>
            <w:tcW w:w="1980" w:type="dxa"/>
            <w:tcBorders>
              <w:bottom w:val="single" w:sz="4" w:space="0" w:color="auto"/>
            </w:tcBorders>
            <w:tcMar>
              <w:top w:w="15" w:type="dxa"/>
              <w:left w:w="15" w:type="dxa"/>
              <w:bottom w:w="0" w:type="dxa"/>
              <w:right w:w="15" w:type="dxa"/>
            </w:tcMar>
            <w:hideMark/>
          </w:tcPr>
          <w:p w14:paraId="75228DBC" w14:textId="6FDCEE57" w:rsidR="00FD4F03" w:rsidRPr="002E2865" w:rsidRDefault="00FD4F03" w:rsidP="00FD4F03">
            <w:pPr>
              <w:rPr>
                <w:rFonts w:cs="Times New Roman"/>
                <w:b/>
                <w:bCs/>
                <w:sz w:val="22"/>
                <w:szCs w:val="22"/>
              </w:rPr>
            </w:pPr>
            <w:r w:rsidRPr="002E2865">
              <w:rPr>
                <w:rFonts w:cs="Times New Roman"/>
                <w:b/>
                <w:bCs/>
                <w:sz w:val="22"/>
                <w:szCs w:val="22"/>
              </w:rPr>
              <w:t xml:space="preserve">No </w:t>
            </w:r>
            <w:r w:rsidR="00033DA6">
              <w:rPr>
                <w:rFonts w:cs="Times New Roman"/>
                <w:b/>
                <w:bCs/>
                <w:sz w:val="22"/>
                <w:szCs w:val="22"/>
              </w:rPr>
              <w:t>GLP-1RA</w:t>
            </w:r>
            <w:r w:rsidRPr="002E2865">
              <w:rPr>
                <w:rFonts w:cs="Times New Roman"/>
                <w:b/>
                <w:bCs/>
                <w:sz w:val="22"/>
                <w:szCs w:val="22"/>
              </w:rPr>
              <w:t xml:space="preserve"> (N=</w:t>
            </w:r>
            <w:r w:rsidR="00630C40">
              <w:rPr>
                <w:rFonts w:cs="Times New Roman"/>
                <w:b/>
                <w:bCs/>
                <w:sz w:val="22"/>
                <w:szCs w:val="22"/>
              </w:rPr>
              <w:t>443</w:t>
            </w:r>
            <w:r w:rsidRPr="002E2865">
              <w:rPr>
                <w:rFonts w:cs="Times New Roman"/>
                <w:b/>
                <w:bCs/>
                <w:sz w:val="22"/>
                <w:szCs w:val="22"/>
              </w:rPr>
              <w:t>)</w:t>
            </w:r>
          </w:p>
        </w:tc>
        <w:tc>
          <w:tcPr>
            <w:tcW w:w="1980" w:type="dxa"/>
            <w:tcBorders>
              <w:bottom w:val="single" w:sz="4" w:space="0" w:color="auto"/>
            </w:tcBorders>
            <w:tcMar>
              <w:top w:w="15" w:type="dxa"/>
              <w:left w:w="15" w:type="dxa"/>
              <w:bottom w:w="0" w:type="dxa"/>
              <w:right w:w="15" w:type="dxa"/>
            </w:tcMar>
            <w:hideMark/>
          </w:tcPr>
          <w:p w14:paraId="49A45EFB" w14:textId="09B06CC8" w:rsidR="00FD4F03" w:rsidRPr="002E2865" w:rsidRDefault="00FD4F03" w:rsidP="00FD4F03">
            <w:pPr>
              <w:rPr>
                <w:rFonts w:cs="Times New Roman"/>
                <w:b/>
                <w:bCs/>
                <w:sz w:val="22"/>
                <w:szCs w:val="22"/>
              </w:rPr>
            </w:pPr>
            <w:r w:rsidRPr="002E2865">
              <w:rPr>
                <w:rFonts w:cs="Times New Roman"/>
                <w:b/>
                <w:bCs/>
                <w:sz w:val="22"/>
                <w:szCs w:val="22"/>
              </w:rPr>
              <w:t xml:space="preserve">Event probability rate </w:t>
            </w:r>
            <w:r w:rsidR="00033DA6">
              <w:rPr>
                <w:rFonts w:cs="Times New Roman"/>
                <w:b/>
                <w:bCs/>
                <w:sz w:val="22"/>
                <w:szCs w:val="22"/>
              </w:rPr>
              <w:t>GLP-1RA</w:t>
            </w:r>
            <w:r w:rsidRPr="002E2865">
              <w:rPr>
                <w:rFonts w:cs="Times New Roman"/>
                <w:b/>
                <w:bCs/>
                <w:sz w:val="22"/>
                <w:szCs w:val="22"/>
              </w:rPr>
              <w:t xml:space="preserve"> </w:t>
            </w:r>
          </w:p>
        </w:tc>
        <w:tc>
          <w:tcPr>
            <w:tcW w:w="2250" w:type="dxa"/>
            <w:tcBorders>
              <w:bottom w:val="single" w:sz="4" w:space="0" w:color="auto"/>
            </w:tcBorders>
          </w:tcPr>
          <w:p w14:paraId="1CFAD29B" w14:textId="5049DACB" w:rsidR="00FD4F03" w:rsidRPr="002E2865" w:rsidRDefault="00FD4F03" w:rsidP="00FD4F03">
            <w:pPr>
              <w:rPr>
                <w:rFonts w:cs="Times New Roman"/>
                <w:b/>
                <w:bCs/>
                <w:sz w:val="22"/>
                <w:szCs w:val="22"/>
              </w:rPr>
            </w:pPr>
            <w:r w:rsidRPr="002E2865">
              <w:rPr>
                <w:rFonts w:cs="Times New Roman"/>
                <w:b/>
                <w:bCs/>
                <w:sz w:val="22"/>
                <w:szCs w:val="22"/>
              </w:rPr>
              <w:t xml:space="preserve">Event probability </w:t>
            </w:r>
            <w:proofErr w:type="gramStart"/>
            <w:r w:rsidRPr="002E2865">
              <w:rPr>
                <w:rFonts w:cs="Times New Roman"/>
                <w:b/>
                <w:bCs/>
                <w:sz w:val="22"/>
                <w:szCs w:val="22"/>
              </w:rPr>
              <w:t>rate</w:t>
            </w:r>
            <w:proofErr w:type="gramEnd"/>
            <w:r w:rsidRPr="002E2865">
              <w:rPr>
                <w:rFonts w:cs="Times New Roman"/>
                <w:b/>
                <w:bCs/>
                <w:sz w:val="22"/>
                <w:szCs w:val="22"/>
              </w:rPr>
              <w:t xml:space="preserve"> No </w:t>
            </w:r>
            <w:r w:rsidR="00033DA6">
              <w:rPr>
                <w:rFonts w:cs="Times New Roman"/>
                <w:b/>
                <w:bCs/>
                <w:sz w:val="22"/>
                <w:szCs w:val="22"/>
              </w:rPr>
              <w:t>GLP-1RA</w:t>
            </w:r>
          </w:p>
        </w:tc>
        <w:tc>
          <w:tcPr>
            <w:tcW w:w="990" w:type="dxa"/>
            <w:tcBorders>
              <w:bottom w:val="single" w:sz="4" w:space="0" w:color="auto"/>
            </w:tcBorders>
            <w:tcMar>
              <w:top w:w="15" w:type="dxa"/>
              <w:left w:w="15" w:type="dxa"/>
              <w:bottom w:w="0" w:type="dxa"/>
              <w:right w:w="15" w:type="dxa"/>
            </w:tcMar>
            <w:hideMark/>
          </w:tcPr>
          <w:p w14:paraId="41DC9C6C" w14:textId="6681CF4E" w:rsidR="00FD4F03" w:rsidRPr="002E2865" w:rsidRDefault="00FD4F03" w:rsidP="00FD4F03">
            <w:pPr>
              <w:rPr>
                <w:rFonts w:cs="Times New Roman"/>
                <w:b/>
                <w:bCs/>
                <w:sz w:val="22"/>
                <w:szCs w:val="22"/>
              </w:rPr>
            </w:pPr>
            <w:r w:rsidRPr="002E2865">
              <w:rPr>
                <w:rFonts w:cs="Times New Roman"/>
                <w:b/>
                <w:bCs/>
                <w:sz w:val="22"/>
                <w:szCs w:val="22"/>
              </w:rPr>
              <w:t>p-value </w:t>
            </w:r>
          </w:p>
        </w:tc>
        <w:tc>
          <w:tcPr>
            <w:tcW w:w="1980" w:type="dxa"/>
            <w:tcBorders>
              <w:bottom w:val="single" w:sz="4" w:space="0" w:color="auto"/>
            </w:tcBorders>
            <w:tcMar>
              <w:top w:w="15" w:type="dxa"/>
              <w:left w:w="15" w:type="dxa"/>
              <w:bottom w:w="0" w:type="dxa"/>
              <w:right w:w="15" w:type="dxa"/>
            </w:tcMar>
            <w:hideMark/>
          </w:tcPr>
          <w:p w14:paraId="4769C1E3" w14:textId="5A033CC4" w:rsidR="00FD4F03" w:rsidRPr="002E2865" w:rsidRDefault="00FD4F03" w:rsidP="00FD4F03">
            <w:pPr>
              <w:rPr>
                <w:rFonts w:cs="Times New Roman"/>
                <w:b/>
                <w:bCs/>
                <w:sz w:val="22"/>
                <w:szCs w:val="22"/>
              </w:rPr>
            </w:pPr>
            <w:r w:rsidRPr="002E2865">
              <w:rPr>
                <w:rFonts w:cs="Times New Roman"/>
                <w:b/>
                <w:bCs/>
                <w:sz w:val="22"/>
                <w:szCs w:val="22"/>
              </w:rPr>
              <w:t>HR [95%CI] </w:t>
            </w:r>
          </w:p>
        </w:tc>
      </w:tr>
      <w:tr w:rsidR="00FD4F03" w:rsidRPr="002E2865" w14:paraId="5478D3C3" w14:textId="77777777" w:rsidTr="00FD4F03">
        <w:trPr>
          <w:trHeight w:val="637"/>
        </w:trPr>
        <w:tc>
          <w:tcPr>
            <w:tcW w:w="2700" w:type="dxa"/>
            <w:tcBorders>
              <w:bottom w:val="single" w:sz="4" w:space="0" w:color="auto"/>
              <w:right w:val="single" w:sz="4" w:space="0" w:color="auto"/>
            </w:tcBorders>
            <w:tcMar>
              <w:top w:w="15" w:type="dxa"/>
              <w:left w:w="15" w:type="dxa"/>
              <w:bottom w:w="0" w:type="dxa"/>
              <w:right w:w="15" w:type="dxa"/>
            </w:tcMar>
            <w:hideMark/>
          </w:tcPr>
          <w:p w14:paraId="59A22891" w14:textId="37995502" w:rsidR="00FD4F03" w:rsidRPr="002E2865" w:rsidRDefault="00FD4F03" w:rsidP="00FD4F03">
            <w:pPr>
              <w:rPr>
                <w:rFonts w:cs="Times New Roman"/>
                <w:sz w:val="22"/>
                <w:szCs w:val="22"/>
              </w:rPr>
            </w:pPr>
            <w:r w:rsidRPr="002E2865">
              <w:rPr>
                <w:rFonts w:cs="Times New Roman"/>
                <w:sz w:val="22"/>
                <w:szCs w:val="22"/>
              </w:rPr>
              <w:t>All-cause mortality</w:t>
            </w:r>
          </w:p>
        </w:tc>
        <w:tc>
          <w:tcPr>
            <w:tcW w:w="1980" w:type="dxa"/>
            <w:tcBorders>
              <w:left w:val="single" w:sz="4" w:space="0" w:color="auto"/>
              <w:bottom w:val="single" w:sz="4" w:space="0" w:color="auto"/>
            </w:tcBorders>
            <w:tcMar>
              <w:top w:w="15" w:type="dxa"/>
              <w:left w:w="15" w:type="dxa"/>
              <w:bottom w:w="0" w:type="dxa"/>
              <w:right w:w="15" w:type="dxa"/>
            </w:tcMar>
            <w:hideMark/>
          </w:tcPr>
          <w:p w14:paraId="35F980DE" w14:textId="02F9C3E7" w:rsidR="005A0B45" w:rsidRPr="005A0B45" w:rsidRDefault="005A0B45" w:rsidP="005A0B45">
            <w:pPr>
              <w:rPr>
                <w:rFonts w:cs="Times New Roman"/>
                <w:sz w:val="22"/>
                <w:szCs w:val="22"/>
              </w:rPr>
            </w:pPr>
            <w:r w:rsidRPr="005A0B45">
              <w:rPr>
                <w:rFonts w:cs="Times New Roman"/>
                <w:sz w:val="22"/>
                <w:szCs w:val="22"/>
              </w:rPr>
              <w:t>40 (9.0%)</w:t>
            </w:r>
          </w:p>
          <w:p w14:paraId="3CFB1DCA" w14:textId="3C5B890B" w:rsidR="00FD4F03" w:rsidRPr="002E2865" w:rsidRDefault="00FD4F03" w:rsidP="005A0B45">
            <w:pPr>
              <w:rPr>
                <w:rFonts w:cs="Times New Roman"/>
                <w:sz w:val="22"/>
                <w:szCs w:val="22"/>
              </w:rPr>
            </w:pPr>
          </w:p>
        </w:tc>
        <w:tc>
          <w:tcPr>
            <w:tcW w:w="1980" w:type="dxa"/>
            <w:tcBorders>
              <w:bottom w:val="single" w:sz="4" w:space="0" w:color="auto"/>
            </w:tcBorders>
            <w:tcMar>
              <w:top w:w="15" w:type="dxa"/>
              <w:left w:w="15" w:type="dxa"/>
              <w:bottom w:w="0" w:type="dxa"/>
              <w:right w:w="15" w:type="dxa"/>
            </w:tcMar>
            <w:hideMark/>
          </w:tcPr>
          <w:p w14:paraId="08B2A36E" w14:textId="1EA54909" w:rsidR="00FD4F03" w:rsidRPr="002E2865" w:rsidRDefault="005A0B45" w:rsidP="00FD4F03">
            <w:pPr>
              <w:rPr>
                <w:rFonts w:cs="Times New Roman"/>
                <w:sz w:val="22"/>
                <w:szCs w:val="22"/>
              </w:rPr>
            </w:pPr>
            <w:r w:rsidRPr="005A0B45">
              <w:rPr>
                <w:rFonts w:cs="Times New Roman"/>
                <w:sz w:val="22"/>
                <w:szCs w:val="22"/>
              </w:rPr>
              <w:t>84 (19.0%)</w:t>
            </w:r>
          </w:p>
        </w:tc>
        <w:tc>
          <w:tcPr>
            <w:tcW w:w="1980" w:type="dxa"/>
            <w:tcBorders>
              <w:bottom w:val="single" w:sz="4" w:space="0" w:color="auto"/>
            </w:tcBorders>
            <w:tcMar>
              <w:top w:w="15" w:type="dxa"/>
              <w:left w:w="15" w:type="dxa"/>
              <w:bottom w:w="0" w:type="dxa"/>
              <w:right w:w="15" w:type="dxa"/>
            </w:tcMar>
            <w:hideMark/>
          </w:tcPr>
          <w:p w14:paraId="48346CA8" w14:textId="77777777" w:rsidR="00FD4F03" w:rsidRPr="002E2865" w:rsidRDefault="00FD4F03" w:rsidP="00FD4F03">
            <w:pPr>
              <w:rPr>
                <w:rFonts w:cs="Times New Roman"/>
                <w:sz w:val="22"/>
                <w:szCs w:val="22"/>
              </w:rPr>
            </w:pPr>
            <w:r w:rsidRPr="002E2865">
              <w:rPr>
                <w:rFonts w:cs="Times New Roman"/>
                <w:sz w:val="22"/>
                <w:szCs w:val="22"/>
              </w:rPr>
              <w:t>18.65%</w:t>
            </w:r>
          </w:p>
        </w:tc>
        <w:tc>
          <w:tcPr>
            <w:tcW w:w="2250" w:type="dxa"/>
            <w:tcBorders>
              <w:bottom w:val="single" w:sz="4" w:space="0" w:color="auto"/>
            </w:tcBorders>
          </w:tcPr>
          <w:p w14:paraId="1E393DA1" w14:textId="77777777" w:rsidR="00FD4F03" w:rsidRPr="002E2865" w:rsidRDefault="00FD4F03" w:rsidP="00FD4F03">
            <w:pPr>
              <w:rPr>
                <w:rFonts w:cs="Times New Roman"/>
                <w:sz w:val="22"/>
                <w:szCs w:val="22"/>
              </w:rPr>
            </w:pPr>
            <w:r w:rsidRPr="002E2865">
              <w:rPr>
                <w:rFonts w:cs="Times New Roman"/>
                <w:sz w:val="22"/>
                <w:szCs w:val="22"/>
              </w:rPr>
              <w:t>35.57%</w:t>
            </w:r>
          </w:p>
        </w:tc>
        <w:tc>
          <w:tcPr>
            <w:tcW w:w="990" w:type="dxa"/>
            <w:tcBorders>
              <w:bottom w:val="single" w:sz="4" w:space="0" w:color="auto"/>
            </w:tcBorders>
            <w:tcMar>
              <w:top w:w="15" w:type="dxa"/>
              <w:left w:w="15" w:type="dxa"/>
              <w:bottom w:w="0" w:type="dxa"/>
              <w:right w:w="15" w:type="dxa"/>
            </w:tcMar>
            <w:hideMark/>
          </w:tcPr>
          <w:p w14:paraId="14FDFFBD" w14:textId="77777777" w:rsidR="00FD4F03" w:rsidRPr="002E2865" w:rsidRDefault="00FD4F03" w:rsidP="00FD4F03">
            <w:pPr>
              <w:rPr>
                <w:rFonts w:cs="Times New Roman"/>
                <w:sz w:val="22"/>
                <w:szCs w:val="22"/>
              </w:rPr>
            </w:pPr>
            <w:r w:rsidRPr="002E2865">
              <w:rPr>
                <w:rFonts w:cs="Times New Roman"/>
                <w:sz w:val="22"/>
                <w:szCs w:val="22"/>
              </w:rPr>
              <w:t>0.001</w:t>
            </w:r>
          </w:p>
        </w:tc>
        <w:tc>
          <w:tcPr>
            <w:tcW w:w="1980" w:type="dxa"/>
            <w:tcBorders>
              <w:bottom w:val="single" w:sz="4" w:space="0" w:color="auto"/>
            </w:tcBorders>
            <w:tcMar>
              <w:top w:w="15" w:type="dxa"/>
              <w:left w:w="15" w:type="dxa"/>
              <w:bottom w:w="0" w:type="dxa"/>
              <w:right w:w="15" w:type="dxa"/>
            </w:tcMar>
            <w:hideMark/>
          </w:tcPr>
          <w:p w14:paraId="6F48BC9D" w14:textId="77777777" w:rsidR="00FD4F03" w:rsidRPr="002E2865" w:rsidRDefault="00FD4F03" w:rsidP="00FD4F03">
            <w:pPr>
              <w:rPr>
                <w:rFonts w:cs="Times New Roman"/>
                <w:sz w:val="22"/>
                <w:szCs w:val="22"/>
              </w:rPr>
            </w:pPr>
            <w:r w:rsidRPr="002E2865">
              <w:rPr>
                <w:rFonts w:cs="Times New Roman"/>
                <w:sz w:val="22"/>
                <w:szCs w:val="22"/>
              </w:rPr>
              <w:t>0.531 (0.364–0.776)</w:t>
            </w:r>
          </w:p>
        </w:tc>
      </w:tr>
      <w:tr w:rsidR="00FD4F03" w:rsidRPr="002E2865" w14:paraId="7E025E5E" w14:textId="77777777" w:rsidTr="00FD4F03">
        <w:trPr>
          <w:trHeight w:val="637"/>
        </w:trPr>
        <w:tc>
          <w:tcPr>
            <w:tcW w:w="2700" w:type="dxa"/>
            <w:tcBorders>
              <w:bottom w:val="single" w:sz="4" w:space="0" w:color="auto"/>
              <w:right w:val="single" w:sz="4" w:space="0" w:color="auto"/>
            </w:tcBorders>
            <w:tcMar>
              <w:top w:w="15" w:type="dxa"/>
              <w:left w:w="15" w:type="dxa"/>
              <w:bottom w:w="0" w:type="dxa"/>
              <w:right w:w="15" w:type="dxa"/>
            </w:tcMar>
            <w:hideMark/>
          </w:tcPr>
          <w:p w14:paraId="3A60BBED" w14:textId="77777777" w:rsidR="00FD4F03" w:rsidRPr="002E2865" w:rsidRDefault="00FD4F03" w:rsidP="00FD4F03">
            <w:pPr>
              <w:rPr>
                <w:rFonts w:cs="Times New Roman"/>
                <w:sz w:val="22"/>
                <w:szCs w:val="22"/>
              </w:rPr>
            </w:pPr>
            <w:r w:rsidRPr="002E2865">
              <w:rPr>
                <w:rFonts w:cs="Times New Roman"/>
                <w:sz w:val="22"/>
                <w:szCs w:val="22"/>
              </w:rPr>
              <w:t>Ischemic stroke</w:t>
            </w:r>
          </w:p>
        </w:tc>
        <w:tc>
          <w:tcPr>
            <w:tcW w:w="1980" w:type="dxa"/>
            <w:tcBorders>
              <w:left w:val="single" w:sz="4" w:space="0" w:color="auto"/>
              <w:bottom w:val="single" w:sz="4" w:space="0" w:color="auto"/>
            </w:tcBorders>
            <w:tcMar>
              <w:top w:w="15" w:type="dxa"/>
              <w:left w:w="15" w:type="dxa"/>
              <w:bottom w:w="0" w:type="dxa"/>
              <w:right w:w="15" w:type="dxa"/>
            </w:tcMar>
            <w:hideMark/>
          </w:tcPr>
          <w:p w14:paraId="2C165601" w14:textId="45EF902C" w:rsidR="00FD4F03" w:rsidRPr="00F96352" w:rsidRDefault="005A0B45" w:rsidP="00F96352">
            <w:pPr>
              <w:pStyle w:val="p1"/>
            </w:pPr>
            <w:r>
              <w:t>13 (2.9%)</w:t>
            </w:r>
          </w:p>
        </w:tc>
        <w:tc>
          <w:tcPr>
            <w:tcW w:w="1980" w:type="dxa"/>
            <w:tcBorders>
              <w:bottom w:val="single" w:sz="4" w:space="0" w:color="auto"/>
            </w:tcBorders>
            <w:tcMar>
              <w:top w:w="15" w:type="dxa"/>
              <w:left w:w="15" w:type="dxa"/>
              <w:bottom w:w="0" w:type="dxa"/>
              <w:right w:w="15" w:type="dxa"/>
            </w:tcMar>
            <w:hideMark/>
          </w:tcPr>
          <w:p w14:paraId="6FEE3535" w14:textId="127AC0C7" w:rsidR="00FD4F03" w:rsidRPr="002E2865" w:rsidRDefault="005A0B45" w:rsidP="00FD4F03">
            <w:pPr>
              <w:rPr>
                <w:rFonts w:cs="Times New Roman"/>
                <w:sz w:val="22"/>
                <w:szCs w:val="22"/>
              </w:rPr>
            </w:pPr>
            <w:r w:rsidRPr="005A0B45">
              <w:rPr>
                <w:rFonts w:cs="Times New Roman"/>
                <w:sz w:val="22"/>
                <w:szCs w:val="22"/>
              </w:rPr>
              <w:t>26 (5.9%)</w:t>
            </w:r>
          </w:p>
        </w:tc>
        <w:tc>
          <w:tcPr>
            <w:tcW w:w="1980" w:type="dxa"/>
            <w:tcBorders>
              <w:bottom w:val="single" w:sz="4" w:space="0" w:color="auto"/>
            </w:tcBorders>
            <w:tcMar>
              <w:top w:w="15" w:type="dxa"/>
              <w:left w:w="15" w:type="dxa"/>
              <w:bottom w:w="0" w:type="dxa"/>
              <w:right w:w="15" w:type="dxa"/>
            </w:tcMar>
            <w:hideMark/>
          </w:tcPr>
          <w:p w14:paraId="207C3215" w14:textId="77777777" w:rsidR="00FD4F03" w:rsidRPr="002E2865" w:rsidRDefault="00FD4F03" w:rsidP="00FD4F03">
            <w:pPr>
              <w:rPr>
                <w:rFonts w:cs="Times New Roman"/>
                <w:sz w:val="22"/>
                <w:szCs w:val="22"/>
              </w:rPr>
            </w:pPr>
            <w:r w:rsidRPr="002E2865">
              <w:rPr>
                <w:rFonts w:cs="Times New Roman"/>
                <w:sz w:val="22"/>
                <w:szCs w:val="22"/>
              </w:rPr>
              <w:t>21.30%</w:t>
            </w:r>
          </w:p>
        </w:tc>
        <w:tc>
          <w:tcPr>
            <w:tcW w:w="2250" w:type="dxa"/>
            <w:tcBorders>
              <w:bottom w:val="single" w:sz="4" w:space="0" w:color="auto"/>
            </w:tcBorders>
          </w:tcPr>
          <w:p w14:paraId="579A24D2" w14:textId="77777777" w:rsidR="00FD4F03" w:rsidRPr="002E2865" w:rsidRDefault="00FD4F03" w:rsidP="00FD4F03">
            <w:pPr>
              <w:rPr>
                <w:rFonts w:cs="Times New Roman"/>
                <w:sz w:val="22"/>
                <w:szCs w:val="22"/>
              </w:rPr>
            </w:pPr>
            <w:r w:rsidRPr="002E2865">
              <w:rPr>
                <w:rFonts w:cs="Times New Roman"/>
                <w:sz w:val="22"/>
                <w:szCs w:val="22"/>
              </w:rPr>
              <w:t>28.14%</w:t>
            </w:r>
          </w:p>
        </w:tc>
        <w:tc>
          <w:tcPr>
            <w:tcW w:w="990" w:type="dxa"/>
            <w:tcBorders>
              <w:bottom w:val="single" w:sz="4" w:space="0" w:color="auto"/>
            </w:tcBorders>
            <w:tcMar>
              <w:top w:w="15" w:type="dxa"/>
              <w:left w:w="15" w:type="dxa"/>
              <w:bottom w:w="0" w:type="dxa"/>
              <w:right w:w="15" w:type="dxa"/>
            </w:tcMar>
            <w:hideMark/>
          </w:tcPr>
          <w:p w14:paraId="4F837A48" w14:textId="0A424F23" w:rsidR="00FD4F03" w:rsidRPr="002E2865" w:rsidRDefault="00FD4F03" w:rsidP="00FD4F03">
            <w:pPr>
              <w:rPr>
                <w:rFonts w:cs="Times New Roman"/>
                <w:sz w:val="22"/>
                <w:szCs w:val="22"/>
              </w:rPr>
            </w:pPr>
            <w:r w:rsidRPr="002E2865">
              <w:rPr>
                <w:rFonts w:cs="Times New Roman"/>
                <w:sz w:val="22"/>
                <w:szCs w:val="22"/>
              </w:rPr>
              <w:t>0.01</w:t>
            </w:r>
          </w:p>
        </w:tc>
        <w:tc>
          <w:tcPr>
            <w:tcW w:w="1980" w:type="dxa"/>
            <w:tcBorders>
              <w:bottom w:val="single" w:sz="4" w:space="0" w:color="auto"/>
            </w:tcBorders>
            <w:tcMar>
              <w:top w:w="15" w:type="dxa"/>
              <w:left w:w="15" w:type="dxa"/>
              <w:bottom w:w="0" w:type="dxa"/>
              <w:right w:w="15" w:type="dxa"/>
            </w:tcMar>
            <w:hideMark/>
          </w:tcPr>
          <w:p w14:paraId="01F70EE0" w14:textId="77777777" w:rsidR="00FD4F03" w:rsidRPr="002E2865" w:rsidRDefault="00FD4F03" w:rsidP="00FD4F03">
            <w:pPr>
              <w:rPr>
                <w:rFonts w:cs="Times New Roman"/>
                <w:sz w:val="22"/>
                <w:szCs w:val="22"/>
              </w:rPr>
            </w:pPr>
            <w:r w:rsidRPr="002E2865">
              <w:rPr>
                <w:rFonts w:cs="Times New Roman"/>
                <w:sz w:val="22"/>
                <w:szCs w:val="22"/>
              </w:rPr>
              <w:t>0.436 (0.224–0.851)</w:t>
            </w:r>
          </w:p>
        </w:tc>
      </w:tr>
      <w:tr w:rsidR="00FD4F03" w:rsidRPr="002E2865" w14:paraId="38E87771" w14:textId="77777777" w:rsidTr="00FD4F03">
        <w:trPr>
          <w:trHeight w:val="637"/>
        </w:trPr>
        <w:tc>
          <w:tcPr>
            <w:tcW w:w="2700" w:type="dxa"/>
            <w:tcBorders>
              <w:bottom w:val="single" w:sz="4" w:space="0" w:color="auto"/>
              <w:right w:val="single" w:sz="4" w:space="0" w:color="auto"/>
            </w:tcBorders>
            <w:tcMar>
              <w:top w:w="15" w:type="dxa"/>
              <w:left w:w="15" w:type="dxa"/>
              <w:bottom w:w="0" w:type="dxa"/>
              <w:right w:w="15" w:type="dxa"/>
            </w:tcMar>
            <w:hideMark/>
          </w:tcPr>
          <w:p w14:paraId="3BEB48CB" w14:textId="77777777" w:rsidR="00FD4F03" w:rsidRPr="002E2865" w:rsidRDefault="00FD4F03" w:rsidP="00FD4F03">
            <w:pPr>
              <w:rPr>
                <w:rFonts w:cs="Times New Roman"/>
                <w:sz w:val="22"/>
                <w:szCs w:val="22"/>
              </w:rPr>
            </w:pPr>
            <w:r w:rsidRPr="002E2865">
              <w:rPr>
                <w:rFonts w:cs="Times New Roman"/>
                <w:sz w:val="22"/>
                <w:szCs w:val="22"/>
              </w:rPr>
              <w:t>Composite of ischemic stroke or mortality</w:t>
            </w:r>
          </w:p>
        </w:tc>
        <w:tc>
          <w:tcPr>
            <w:tcW w:w="1980" w:type="dxa"/>
            <w:tcBorders>
              <w:left w:val="single" w:sz="4" w:space="0" w:color="auto"/>
              <w:bottom w:val="single" w:sz="4" w:space="0" w:color="auto"/>
            </w:tcBorders>
            <w:tcMar>
              <w:top w:w="15" w:type="dxa"/>
              <w:left w:w="15" w:type="dxa"/>
              <w:bottom w:w="0" w:type="dxa"/>
              <w:right w:w="15" w:type="dxa"/>
            </w:tcMar>
            <w:hideMark/>
          </w:tcPr>
          <w:p w14:paraId="4C545BE7" w14:textId="2CE2B813" w:rsidR="00FD4F03" w:rsidRPr="002E2865" w:rsidRDefault="005A0B45" w:rsidP="00FD4F03">
            <w:pPr>
              <w:rPr>
                <w:rFonts w:cs="Times New Roman"/>
                <w:sz w:val="22"/>
                <w:szCs w:val="22"/>
              </w:rPr>
            </w:pPr>
            <w:r w:rsidRPr="005A0B45">
              <w:rPr>
                <w:rFonts w:cs="Times New Roman"/>
                <w:sz w:val="22"/>
                <w:szCs w:val="22"/>
              </w:rPr>
              <w:t>29 (6.5%)</w:t>
            </w:r>
          </w:p>
        </w:tc>
        <w:tc>
          <w:tcPr>
            <w:tcW w:w="1980" w:type="dxa"/>
            <w:tcBorders>
              <w:bottom w:val="single" w:sz="4" w:space="0" w:color="auto"/>
            </w:tcBorders>
            <w:tcMar>
              <w:top w:w="15" w:type="dxa"/>
              <w:left w:w="15" w:type="dxa"/>
              <w:bottom w:w="0" w:type="dxa"/>
              <w:right w:w="15" w:type="dxa"/>
            </w:tcMar>
            <w:hideMark/>
          </w:tcPr>
          <w:p w14:paraId="5B5683AF" w14:textId="10BC79E3" w:rsidR="00FD4F03" w:rsidRPr="002E2865" w:rsidRDefault="005A0B45" w:rsidP="00FD4F03">
            <w:pPr>
              <w:rPr>
                <w:rFonts w:cs="Times New Roman"/>
                <w:sz w:val="22"/>
                <w:szCs w:val="22"/>
              </w:rPr>
            </w:pPr>
            <w:r w:rsidRPr="005A0B45">
              <w:rPr>
                <w:rFonts w:cs="Times New Roman"/>
                <w:sz w:val="22"/>
                <w:szCs w:val="22"/>
              </w:rPr>
              <w:t>47 (10.6%)</w:t>
            </w:r>
          </w:p>
        </w:tc>
        <w:tc>
          <w:tcPr>
            <w:tcW w:w="1980" w:type="dxa"/>
            <w:tcBorders>
              <w:bottom w:val="single" w:sz="4" w:space="0" w:color="auto"/>
            </w:tcBorders>
            <w:tcMar>
              <w:top w:w="15" w:type="dxa"/>
              <w:left w:w="15" w:type="dxa"/>
              <w:bottom w:w="0" w:type="dxa"/>
              <w:right w:w="15" w:type="dxa"/>
            </w:tcMar>
            <w:hideMark/>
          </w:tcPr>
          <w:p w14:paraId="2106B774" w14:textId="77777777" w:rsidR="00FD4F03" w:rsidRPr="002E2865" w:rsidRDefault="00FD4F03" w:rsidP="00FD4F03">
            <w:pPr>
              <w:rPr>
                <w:rFonts w:cs="Times New Roman"/>
                <w:sz w:val="22"/>
                <w:szCs w:val="22"/>
              </w:rPr>
            </w:pPr>
            <w:r w:rsidRPr="002E2865">
              <w:rPr>
                <w:rFonts w:cs="Times New Roman"/>
                <w:sz w:val="22"/>
                <w:szCs w:val="22"/>
              </w:rPr>
              <w:t>37.61%</w:t>
            </w:r>
          </w:p>
        </w:tc>
        <w:tc>
          <w:tcPr>
            <w:tcW w:w="2250" w:type="dxa"/>
            <w:tcBorders>
              <w:bottom w:val="single" w:sz="4" w:space="0" w:color="auto"/>
            </w:tcBorders>
          </w:tcPr>
          <w:p w14:paraId="19B89FAE" w14:textId="77777777" w:rsidR="00FD4F03" w:rsidRPr="002E2865" w:rsidRDefault="00FD4F03" w:rsidP="00FD4F03">
            <w:pPr>
              <w:rPr>
                <w:rFonts w:cs="Times New Roman"/>
                <w:sz w:val="22"/>
                <w:szCs w:val="22"/>
              </w:rPr>
            </w:pPr>
            <w:r w:rsidRPr="002E2865">
              <w:rPr>
                <w:rFonts w:cs="Times New Roman"/>
                <w:sz w:val="22"/>
                <w:szCs w:val="22"/>
              </w:rPr>
              <w:t>54.30%</w:t>
            </w:r>
          </w:p>
        </w:tc>
        <w:tc>
          <w:tcPr>
            <w:tcW w:w="990" w:type="dxa"/>
            <w:tcBorders>
              <w:bottom w:val="single" w:sz="4" w:space="0" w:color="auto"/>
            </w:tcBorders>
            <w:tcMar>
              <w:top w:w="15" w:type="dxa"/>
              <w:left w:w="15" w:type="dxa"/>
              <w:bottom w:w="0" w:type="dxa"/>
              <w:right w:w="15" w:type="dxa"/>
            </w:tcMar>
            <w:hideMark/>
          </w:tcPr>
          <w:p w14:paraId="5AD29513" w14:textId="77777777" w:rsidR="00FD4F03" w:rsidRPr="002E2865" w:rsidRDefault="00FD4F03" w:rsidP="00FD4F03">
            <w:pPr>
              <w:rPr>
                <w:rFonts w:cs="Times New Roman"/>
                <w:sz w:val="22"/>
                <w:szCs w:val="22"/>
              </w:rPr>
            </w:pPr>
            <w:r w:rsidRPr="002E2865">
              <w:rPr>
                <w:rFonts w:cs="Times New Roman"/>
                <w:sz w:val="22"/>
                <w:szCs w:val="22"/>
              </w:rPr>
              <w:t>0.009</w:t>
            </w:r>
          </w:p>
        </w:tc>
        <w:tc>
          <w:tcPr>
            <w:tcW w:w="1980" w:type="dxa"/>
            <w:tcBorders>
              <w:bottom w:val="single" w:sz="4" w:space="0" w:color="auto"/>
            </w:tcBorders>
            <w:tcMar>
              <w:top w:w="15" w:type="dxa"/>
              <w:left w:w="15" w:type="dxa"/>
              <w:bottom w:w="0" w:type="dxa"/>
              <w:right w:w="15" w:type="dxa"/>
            </w:tcMar>
            <w:hideMark/>
          </w:tcPr>
          <w:p w14:paraId="5BADE2F3" w14:textId="77777777" w:rsidR="00FD4F03" w:rsidRPr="002E2865" w:rsidRDefault="00FD4F03" w:rsidP="00FD4F03">
            <w:pPr>
              <w:rPr>
                <w:rFonts w:cs="Times New Roman"/>
                <w:sz w:val="22"/>
                <w:szCs w:val="22"/>
              </w:rPr>
            </w:pPr>
            <w:r w:rsidRPr="002E2865">
              <w:rPr>
                <w:rFonts w:cs="Times New Roman"/>
                <w:sz w:val="22"/>
                <w:szCs w:val="22"/>
              </w:rPr>
              <w:t>0.546 (0.343–0.868)</w:t>
            </w:r>
          </w:p>
        </w:tc>
      </w:tr>
    </w:tbl>
    <w:p w14:paraId="00ED464E" w14:textId="77777777" w:rsidR="00490FDA" w:rsidRPr="004804ED" w:rsidRDefault="00490FDA" w:rsidP="00490FDA">
      <w:pPr>
        <w:rPr>
          <w:rFonts w:cs="Times New Roman"/>
          <w:sz w:val="21"/>
          <w:szCs w:val="21"/>
        </w:rPr>
      </w:pPr>
      <w:r w:rsidRPr="004804ED">
        <w:rPr>
          <w:rFonts w:cs="Times New Roman"/>
          <w:sz w:val="21"/>
          <w:szCs w:val="21"/>
        </w:rPr>
        <w:t>*Denominators vary by outcome because patients who experienced the respective outcome before the 3-month landmark were excluded from that outcome-specific analysis. Mortality analyses included patients alive at the landmark.</w:t>
      </w:r>
    </w:p>
    <w:p w14:paraId="783832EB" w14:textId="77777777" w:rsidR="00664EEF" w:rsidRDefault="00664EEF" w:rsidP="00FE3491">
      <w:pPr>
        <w:rPr>
          <w:rFonts w:cs="Times New Roman"/>
        </w:rPr>
      </w:pPr>
    </w:p>
    <w:p w14:paraId="50369477" w14:textId="76A558E7" w:rsidR="00FD4F03" w:rsidRDefault="00FD4F03">
      <w:pPr>
        <w:rPr>
          <w:rFonts w:cs="Times New Roman"/>
        </w:rPr>
      </w:pPr>
      <w:r>
        <w:rPr>
          <w:rFonts w:cs="Times New Roman"/>
        </w:rPr>
        <w:br w:type="page"/>
      </w:r>
    </w:p>
    <w:p w14:paraId="40508017" w14:textId="77777777" w:rsidR="000B473E" w:rsidRPr="00F96352" w:rsidRDefault="000B473E" w:rsidP="00FE3491">
      <w:pPr>
        <w:rPr>
          <w:rFonts w:cs="Times New Roman"/>
          <w:sz w:val="22"/>
          <w:szCs w:val="22"/>
        </w:rPr>
      </w:pPr>
    </w:p>
    <w:tbl>
      <w:tblPr>
        <w:tblW w:w="13865" w:type="dxa"/>
        <w:tblLook w:val="04A0" w:firstRow="1" w:lastRow="0" w:firstColumn="1" w:lastColumn="0" w:noHBand="0" w:noVBand="1"/>
      </w:tblPr>
      <w:tblGrid>
        <w:gridCol w:w="2700"/>
        <w:gridCol w:w="1980"/>
        <w:gridCol w:w="2070"/>
        <w:gridCol w:w="1890"/>
        <w:gridCol w:w="2250"/>
        <w:gridCol w:w="990"/>
        <w:gridCol w:w="1985"/>
      </w:tblGrid>
      <w:tr w:rsidR="00FD4F03" w:rsidRPr="002E2865" w14:paraId="72AD989E" w14:textId="77777777" w:rsidTr="00FD4F03">
        <w:trPr>
          <w:trHeight w:val="608"/>
        </w:trPr>
        <w:tc>
          <w:tcPr>
            <w:tcW w:w="13865" w:type="dxa"/>
            <w:gridSpan w:val="7"/>
            <w:noWrap/>
            <w:hideMark/>
          </w:tcPr>
          <w:p w14:paraId="19371F04" w14:textId="406C8EC2" w:rsidR="00FD4F03" w:rsidRPr="00F96352" w:rsidRDefault="00FD4F03" w:rsidP="00FD4F03">
            <w:pPr>
              <w:rPr>
                <w:rFonts w:eastAsia="Times New Roman" w:cs="Times New Roman"/>
                <w:b/>
                <w:bCs/>
                <w:kern w:val="0"/>
                <w:sz w:val="22"/>
                <w:szCs w:val="22"/>
                <w14:ligatures w14:val="none"/>
              </w:rPr>
            </w:pPr>
            <w:r w:rsidRPr="00F96352">
              <w:rPr>
                <w:rFonts w:eastAsia="Times New Roman" w:cs="Times New Roman"/>
                <w:b/>
                <w:bCs/>
                <w:kern w:val="0"/>
                <w:sz w:val="22"/>
                <w:szCs w:val="22"/>
                <w14:ligatures w14:val="none"/>
              </w:rPr>
              <w:t xml:space="preserve">Table 2: </w:t>
            </w:r>
            <w:r w:rsidRPr="00F96352">
              <w:rPr>
                <w:rFonts w:eastAsia="Times New Roman" w:cs="Times New Roman"/>
                <w:color w:val="000000"/>
                <w:kern w:val="0"/>
                <w:sz w:val="22"/>
                <w:szCs w:val="22"/>
                <w14:ligatures w14:val="none"/>
              </w:rPr>
              <w:t>Study outcomes within 5 years of follow-up for the Carotid Endarterectomy cohort</w:t>
            </w:r>
          </w:p>
        </w:tc>
      </w:tr>
      <w:tr w:rsidR="00FD4F03" w:rsidRPr="002E2865" w14:paraId="247C02EC" w14:textId="77777777" w:rsidTr="00FD4F03">
        <w:trPr>
          <w:trHeight w:val="468"/>
        </w:trPr>
        <w:tc>
          <w:tcPr>
            <w:tcW w:w="2700" w:type="dxa"/>
            <w:tcBorders>
              <w:bottom w:val="single" w:sz="4" w:space="0" w:color="auto"/>
              <w:right w:val="single" w:sz="4" w:space="0" w:color="auto"/>
            </w:tcBorders>
            <w:hideMark/>
          </w:tcPr>
          <w:p w14:paraId="67C589DA" w14:textId="4B71BD47" w:rsidR="00FD4F03" w:rsidRPr="00F96352" w:rsidRDefault="00FD4F03" w:rsidP="00FD4F03">
            <w:pPr>
              <w:rPr>
                <w:rFonts w:eastAsia="Times New Roman" w:cs="Times New Roman"/>
                <w:b/>
                <w:bCs/>
                <w:i/>
                <w:iCs/>
                <w:kern w:val="0"/>
                <w:sz w:val="22"/>
                <w:szCs w:val="22"/>
                <w14:ligatures w14:val="none"/>
              </w:rPr>
            </w:pPr>
            <w:r w:rsidRPr="002E2865">
              <w:rPr>
                <w:rFonts w:cs="Times New Roman"/>
                <w:i/>
                <w:iCs/>
                <w:sz w:val="22"/>
                <w:szCs w:val="22"/>
              </w:rPr>
              <w:t>Outcomes % (n)</w:t>
            </w:r>
          </w:p>
        </w:tc>
        <w:tc>
          <w:tcPr>
            <w:tcW w:w="1980" w:type="dxa"/>
            <w:tcBorders>
              <w:left w:val="single" w:sz="4" w:space="0" w:color="auto"/>
              <w:bottom w:val="single" w:sz="4" w:space="0" w:color="auto"/>
            </w:tcBorders>
            <w:hideMark/>
          </w:tcPr>
          <w:p w14:paraId="20466A68" w14:textId="7A2AB0A7" w:rsidR="00FD4F03" w:rsidRPr="00F96352" w:rsidRDefault="00033DA6" w:rsidP="00FD4F03">
            <w:pPr>
              <w:rPr>
                <w:rFonts w:eastAsia="Times New Roman" w:cs="Times New Roman"/>
                <w:b/>
                <w:bCs/>
                <w:i/>
                <w:iCs/>
                <w:kern w:val="0"/>
                <w:sz w:val="22"/>
                <w:szCs w:val="22"/>
                <w14:ligatures w14:val="none"/>
              </w:rPr>
            </w:pPr>
            <w:r>
              <w:rPr>
                <w:rFonts w:cs="Times New Roman"/>
                <w:b/>
                <w:bCs/>
                <w:sz w:val="22"/>
                <w:szCs w:val="22"/>
              </w:rPr>
              <w:t>GLP-1RA</w:t>
            </w:r>
            <w:r w:rsidR="00FD4F03" w:rsidRPr="002E2865">
              <w:rPr>
                <w:rFonts w:cs="Times New Roman"/>
                <w:b/>
                <w:bCs/>
                <w:sz w:val="22"/>
                <w:szCs w:val="22"/>
              </w:rPr>
              <w:t xml:space="preserve"> (N=</w:t>
            </w:r>
            <w:r w:rsidR="00630C40">
              <w:rPr>
                <w:rFonts w:cs="Times New Roman"/>
                <w:b/>
                <w:bCs/>
                <w:sz w:val="22"/>
                <w:szCs w:val="22"/>
              </w:rPr>
              <w:t>633</w:t>
            </w:r>
            <w:r w:rsidR="00FD4F03" w:rsidRPr="002E2865">
              <w:rPr>
                <w:rFonts w:cs="Times New Roman"/>
                <w:b/>
                <w:bCs/>
                <w:sz w:val="22"/>
                <w:szCs w:val="22"/>
              </w:rPr>
              <w:t>)</w:t>
            </w:r>
          </w:p>
        </w:tc>
        <w:tc>
          <w:tcPr>
            <w:tcW w:w="2070" w:type="dxa"/>
            <w:tcBorders>
              <w:bottom w:val="single" w:sz="4" w:space="0" w:color="auto"/>
            </w:tcBorders>
            <w:hideMark/>
          </w:tcPr>
          <w:p w14:paraId="486CD513" w14:textId="5976BBDD" w:rsidR="00FD4F03" w:rsidRPr="00F96352" w:rsidRDefault="00FD4F03" w:rsidP="00FD4F03">
            <w:pPr>
              <w:rPr>
                <w:rFonts w:eastAsia="Times New Roman" w:cs="Times New Roman"/>
                <w:b/>
                <w:bCs/>
                <w:i/>
                <w:iCs/>
                <w:kern w:val="0"/>
                <w:sz w:val="22"/>
                <w:szCs w:val="22"/>
                <w14:ligatures w14:val="none"/>
              </w:rPr>
            </w:pPr>
            <w:r w:rsidRPr="002E2865">
              <w:rPr>
                <w:rFonts w:cs="Times New Roman"/>
                <w:b/>
                <w:bCs/>
                <w:sz w:val="22"/>
                <w:szCs w:val="22"/>
              </w:rPr>
              <w:t xml:space="preserve">No </w:t>
            </w:r>
            <w:r w:rsidR="00033DA6">
              <w:rPr>
                <w:rFonts w:cs="Times New Roman"/>
                <w:b/>
                <w:bCs/>
                <w:sz w:val="22"/>
                <w:szCs w:val="22"/>
              </w:rPr>
              <w:t>GLP-1RA</w:t>
            </w:r>
            <w:r w:rsidRPr="002E2865">
              <w:rPr>
                <w:rFonts w:cs="Times New Roman"/>
                <w:b/>
                <w:bCs/>
                <w:sz w:val="22"/>
                <w:szCs w:val="22"/>
              </w:rPr>
              <w:t xml:space="preserve"> (N=</w:t>
            </w:r>
            <w:r w:rsidR="00630C40">
              <w:rPr>
                <w:rFonts w:cs="Times New Roman"/>
                <w:b/>
                <w:bCs/>
                <w:sz w:val="22"/>
                <w:szCs w:val="22"/>
              </w:rPr>
              <w:t>633</w:t>
            </w:r>
            <w:r w:rsidRPr="002E2865">
              <w:rPr>
                <w:rFonts w:cs="Times New Roman"/>
                <w:b/>
                <w:bCs/>
                <w:sz w:val="22"/>
                <w:szCs w:val="22"/>
              </w:rPr>
              <w:t>)</w:t>
            </w:r>
          </w:p>
        </w:tc>
        <w:tc>
          <w:tcPr>
            <w:tcW w:w="1890" w:type="dxa"/>
            <w:tcBorders>
              <w:bottom w:val="single" w:sz="4" w:space="0" w:color="auto"/>
            </w:tcBorders>
            <w:hideMark/>
          </w:tcPr>
          <w:p w14:paraId="123703B6" w14:textId="3B1200D3" w:rsidR="00FD4F03" w:rsidRPr="00F96352" w:rsidRDefault="00FD4F03" w:rsidP="00FD4F03">
            <w:pPr>
              <w:rPr>
                <w:rFonts w:eastAsia="Times New Roman" w:cs="Times New Roman"/>
                <w:b/>
                <w:bCs/>
                <w:i/>
                <w:iCs/>
                <w:kern w:val="0"/>
                <w:sz w:val="22"/>
                <w:szCs w:val="22"/>
                <w14:ligatures w14:val="none"/>
              </w:rPr>
            </w:pPr>
            <w:r w:rsidRPr="002E2865">
              <w:rPr>
                <w:rFonts w:cs="Times New Roman"/>
                <w:b/>
                <w:bCs/>
                <w:sz w:val="22"/>
                <w:szCs w:val="22"/>
              </w:rPr>
              <w:t xml:space="preserve">Event probability rate </w:t>
            </w:r>
            <w:r w:rsidR="00033DA6">
              <w:rPr>
                <w:rFonts w:cs="Times New Roman"/>
                <w:b/>
                <w:bCs/>
                <w:sz w:val="22"/>
                <w:szCs w:val="22"/>
              </w:rPr>
              <w:t>GLP-1RA</w:t>
            </w:r>
            <w:r w:rsidRPr="002E2865">
              <w:rPr>
                <w:rFonts w:cs="Times New Roman"/>
                <w:b/>
                <w:bCs/>
                <w:sz w:val="22"/>
                <w:szCs w:val="22"/>
              </w:rPr>
              <w:t xml:space="preserve"> </w:t>
            </w:r>
          </w:p>
        </w:tc>
        <w:tc>
          <w:tcPr>
            <w:tcW w:w="2250" w:type="dxa"/>
            <w:tcBorders>
              <w:bottom w:val="single" w:sz="4" w:space="0" w:color="auto"/>
            </w:tcBorders>
          </w:tcPr>
          <w:p w14:paraId="07EF1306" w14:textId="3CB67BF0" w:rsidR="00FD4F03" w:rsidRPr="00F96352" w:rsidRDefault="00FD4F03" w:rsidP="00FD4F03">
            <w:pPr>
              <w:rPr>
                <w:rFonts w:cs="Times New Roman"/>
                <w:b/>
                <w:bCs/>
                <w:sz w:val="22"/>
                <w:szCs w:val="22"/>
              </w:rPr>
            </w:pPr>
            <w:r w:rsidRPr="002E2865">
              <w:rPr>
                <w:rFonts w:cs="Times New Roman"/>
                <w:b/>
                <w:bCs/>
                <w:sz w:val="22"/>
                <w:szCs w:val="22"/>
              </w:rPr>
              <w:t xml:space="preserve">Event probability </w:t>
            </w:r>
            <w:proofErr w:type="gramStart"/>
            <w:r w:rsidRPr="002E2865">
              <w:rPr>
                <w:rFonts w:cs="Times New Roman"/>
                <w:b/>
                <w:bCs/>
                <w:sz w:val="22"/>
                <w:szCs w:val="22"/>
              </w:rPr>
              <w:t>rate</w:t>
            </w:r>
            <w:proofErr w:type="gramEnd"/>
            <w:r w:rsidRPr="002E2865">
              <w:rPr>
                <w:rFonts w:cs="Times New Roman"/>
                <w:b/>
                <w:bCs/>
                <w:sz w:val="22"/>
                <w:szCs w:val="22"/>
              </w:rPr>
              <w:t xml:space="preserve"> No </w:t>
            </w:r>
            <w:r w:rsidR="00033DA6">
              <w:rPr>
                <w:rFonts w:cs="Times New Roman"/>
                <w:b/>
                <w:bCs/>
                <w:sz w:val="22"/>
                <w:szCs w:val="22"/>
              </w:rPr>
              <w:t>GLP-1RA</w:t>
            </w:r>
          </w:p>
        </w:tc>
        <w:tc>
          <w:tcPr>
            <w:tcW w:w="990" w:type="dxa"/>
            <w:tcBorders>
              <w:bottom w:val="single" w:sz="4" w:space="0" w:color="auto"/>
            </w:tcBorders>
            <w:hideMark/>
          </w:tcPr>
          <w:p w14:paraId="63960D5F" w14:textId="3753AF92" w:rsidR="00FD4F03" w:rsidRPr="00F96352" w:rsidRDefault="00FD4F03" w:rsidP="00FD4F03">
            <w:pPr>
              <w:rPr>
                <w:rFonts w:eastAsia="Times New Roman" w:cs="Times New Roman"/>
                <w:b/>
                <w:bCs/>
                <w:i/>
                <w:iCs/>
                <w:kern w:val="0"/>
                <w:sz w:val="22"/>
                <w:szCs w:val="22"/>
                <w14:ligatures w14:val="none"/>
              </w:rPr>
            </w:pPr>
            <w:r w:rsidRPr="002E2865">
              <w:rPr>
                <w:rFonts w:cs="Times New Roman"/>
                <w:b/>
                <w:bCs/>
                <w:sz w:val="22"/>
                <w:szCs w:val="22"/>
              </w:rPr>
              <w:t>p-value </w:t>
            </w:r>
          </w:p>
        </w:tc>
        <w:tc>
          <w:tcPr>
            <w:tcW w:w="1980" w:type="dxa"/>
            <w:tcBorders>
              <w:bottom w:val="single" w:sz="4" w:space="0" w:color="auto"/>
            </w:tcBorders>
            <w:hideMark/>
          </w:tcPr>
          <w:p w14:paraId="0E8BCE74" w14:textId="66CCE3D7" w:rsidR="00FD4F03" w:rsidRPr="00F96352" w:rsidRDefault="00FD4F03" w:rsidP="00FD4F03">
            <w:pPr>
              <w:rPr>
                <w:rFonts w:eastAsia="Times New Roman" w:cs="Times New Roman"/>
                <w:b/>
                <w:bCs/>
                <w:i/>
                <w:iCs/>
                <w:kern w:val="0"/>
                <w:sz w:val="22"/>
                <w:szCs w:val="22"/>
                <w14:ligatures w14:val="none"/>
              </w:rPr>
            </w:pPr>
            <w:r w:rsidRPr="002E2865">
              <w:rPr>
                <w:rFonts w:cs="Times New Roman"/>
                <w:b/>
                <w:bCs/>
                <w:sz w:val="22"/>
                <w:szCs w:val="22"/>
              </w:rPr>
              <w:t>HR [95%CI] </w:t>
            </w:r>
          </w:p>
        </w:tc>
      </w:tr>
      <w:tr w:rsidR="00FD4F03" w:rsidRPr="002E2865" w14:paraId="7800DAFC" w14:textId="77777777" w:rsidTr="00FD4F03">
        <w:trPr>
          <w:trHeight w:val="467"/>
        </w:trPr>
        <w:tc>
          <w:tcPr>
            <w:tcW w:w="2700" w:type="dxa"/>
            <w:tcBorders>
              <w:top w:val="single" w:sz="4" w:space="0" w:color="auto"/>
              <w:right w:val="single" w:sz="4" w:space="0" w:color="auto"/>
            </w:tcBorders>
            <w:hideMark/>
          </w:tcPr>
          <w:p w14:paraId="7060C6C9" w14:textId="3B901E08" w:rsidR="00FD4F03" w:rsidRPr="00F96352" w:rsidRDefault="00FD4F03" w:rsidP="00FD4F03">
            <w:pPr>
              <w:rPr>
                <w:rFonts w:eastAsia="Times New Roman" w:cs="Times New Roman"/>
                <w:kern w:val="0"/>
                <w:sz w:val="22"/>
                <w:szCs w:val="22"/>
                <w14:ligatures w14:val="none"/>
              </w:rPr>
            </w:pPr>
            <w:r w:rsidRPr="00F96352">
              <w:rPr>
                <w:sz w:val="22"/>
                <w:szCs w:val="22"/>
              </w:rPr>
              <w:t>All-cause mortality</w:t>
            </w:r>
          </w:p>
        </w:tc>
        <w:tc>
          <w:tcPr>
            <w:tcW w:w="1980" w:type="dxa"/>
            <w:tcBorders>
              <w:top w:val="single" w:sz="4" w:space="0" w:color="auto"/>
              <w:left w:val="single" w:sz="4" w:space="0" w:color="auto"/>
            </w:tcBorders>
            <w:hideMark/>
          </w:tcPr>
          <w:p w14:paraId="4BB6FFBC" w14:textId="3FBD857F" w:rsidR="00FD4F03" w:rsidRPr="00F96352" w:rsidRDefault="00FD4F03" w:rsidP="00FD4F03">
            <w:pPr>
              <w:rPr>
                <w:rFonts w:eastAsia="Times New Roman" w:cs="Times New Roman"/>
                <w:kern w:val="0"/>
                <w:sz w:val="22"/>
                <w:szCs w:val="22"/>
                <w14:ligatures w14:val="none"/>
              </w:rPr>
            </w:pPr>
            <w:r w:rsidRPr="00F96352">
              <w:rPr>
                <w:sz w:val="22"/>
                <w:szCs w:val="22"/>
              </w:rPr>
              <w:t>51 (8.1%)</w:t>
            </w:r>
          </w:p>
        </w:tc>
        <w:tc>
          <w:tcPr>
            <w:tcW w:w="2070" w:type="dxa"/>
            <w:tcBorders>
              <w:top w:val="single" w:sz="4" w:space="0" w:color="auto"/>
            </w:tcBorders>
            <w:hideMark/>
          </w:tcPr>
          <w:p w14:paraId="467DACBB" w14:textId="64B734C6" w:rsidR="00FD4F03" w:rsidRPr="00F96352" w:rsidRDefault="00FD4F03" w:rsidP="00FD4F03">
            <w:pPr>
              <w:rPr>
                <w:rFonts w:eastAsia="Times New Roman" w:cs="Times New Roman"/>
                <w:kern w:val="0"/>
                <w:sz w:val="22"/>
                <w:szCs w:val="22"/>
                <w14:ligatures w14:val="none"/>
              </w:rPr>
            </w:pPr>
            <w:r w:rsidRPr="00F96352">
              <w:rPr>
                <w:sz w:val="22"/>
                <w:szCs w:val="22"/>
              </w:rPr>
              <w:t>119 (18.8%)</w:t>
            </w:r>
          </w:p>
        </w:tc>
        <w:tc>
          <w:tcPr>
            <w:tcW w:w="1890" w:type="dxa"/>
            <w:tcBorders>
              <w:top w:val="single" w:sz="4" w:space="0" w:color="auto"/>
            </w:tcBorders>
            <w:hideMark/>
          </w:tcPr>
          <w:p w14:paraId="5E586F2D" w14:textId="6E232DB9" w:rsidR="00FD4F03" w:rsidRPr="00F96352" w:rsidRDefault="00FD4F03" w:rsidP="00FD4F03">
            <w:pPr>
              <w:rPr>
                <w:rFonts w:eastAsia="Times New Roman" w:cs="Times New Roman"/>
                <w:kern w:val="0"/>
                <w:sz w:val="22"/>
                <w:szCs w:val="22"/>
                <w14:ligatures w14:val="none"/>
              </w:rPr>
            </w:pPr>
            <w:r w:rsidRPr="00F96352">
              <w:rPr>
                <w:sz w:val="22"/>
                <w:szCs w:val="22"/>
              </w:rPr>
              <w:t>16.81%</w:t>
            </w:r>
          </w:p>
        </w:tc>
        <w:tc>
          <w:tcPr>
            <w:tcW w:w="2250" w:type="dxa"/>
            <w:tcBorders>
              <w:top w:val="single" w:sz="4" w:space="0" w:color="auto"/>
            </w:tcBorders>
          </w:tcPr>
          <w:p w14:paraId="5E1BEC99" w14:textId="569DFD94" w:rsidR="00FD4F03" w:rsidRPr="00F96352" w:rsidRDefault="00FD4F03" w:rsidP="00FD4F03">
            <w:pPr>
              <w:rPr>
                <w:rFonts w:eastAsia="Times New Roman" w:cs="Times New Roman"/>
                <w:kern w:val="0"/>
                <w:sz w:val="22"/>
                <w:szCs w:val="22"/>
                <w14:ligatures w14:val="none"/>
              </w:rPr>
            </w:pPr>
            <w:r w:rsidRPr="00F96352">
              <w:rPr>
                <w:sz w:val="22"/>
                <w:szCs w:val="22"/>
              </w:rPr>
              <w:t>26.43%</w:t>
            </w:r>
          </w:p>
        </w:tc>
        <w:tc>
          <w:tcPr>
            <w:tcW w:w="990" w:type="dxa"/>
            <w:tcBorders>
              <w:top w:val="single" w:sz="4" w:space="0" w:color="auto"/>
            </w:tcBorders>
            <w:hideMark/>
          </w:tcPr>
          <w:p w14:paraId="01AE0B1C" w14:textId="146B6896" w:rsidR="00FD4F03" w:rsidRPr="00F96352" w:rsidRDefault="00FD4F03" w:rsidP="00FD4F03">
            <w:pPr>
              <w:rPr>
                <w:rFonts w:eastAsia="Times New Roman" w:cs="Times New Roman"/>
                <w:kern w:val="0"/>
                <w:sz w:val="22"/>
                <w:szCs w:val="22"/>
                <w14:ligatures w14:val="none"/>
              </w:rPr>
            </w:pPr>
            <w:r w:rsidRPr="00F96352">
              <w:rPr>
                <w:sz w:val="22"/>
                <w:szCs w:val="22"/>
              </w:rPr>
              <w:t>0.001</w:t>
            </w:r>
          </w:p>
        </w:tc>
        <w:tc>
          <w:tcPr>
            <w:tcW w:w="1980" w:type="dxa"/>
            <w:tcBorders>
              <w:top w:val="single" w:sz="4" w:space="0" w:color="auto"/>
            </w:tcBorders>
            <w:hideMark/>
          </w:tcPr>
          <w:p w14:paraId="0CECEB05" w14:textId="1B0C050C" w:rsidR="00FD4F03" w:rsidRPr="00F96352" w:rsidRDefault="00FD4F03" w:rsidP="00FD4F03">
            <w:pPr>
              <w:rPr>
                <w:rFonts w:eastAsia="Times New Roman" w:cs="Times New Roman"/>
                <w:kern w:val="0"/>
                <w:sz w:val="22"/>
                <w:szCs w:val="22"/>
                <w14:ligatures w14:val="none"/>
              </w:rPr>
            </w:pPr>
            <w:r w:rsidRPr="00F96352">
              <w:rPr>
                <w:sz w:val="22"/>
                <w:szCs w:val="22"/>
              </w:rPr>
              <w:t>0.569 (0.409–0.791)</w:t>
            </w:r>
          </w:p>
        </w:tc>
      </w:tr>
      <w:tr w:rsidR="00FD4F03" w:rsidRPr="002E2865" w14:paraId="629CCE44" w14:textId="77777777" w:rsidTr="00FD4F03">
        <w:trPr>
          <w:trHeight w:val="468"/>
        </w:trPr>
        <w:tc>
          <w:tcPr>
            <w:tcW w:w="2700" w:type="dxa"/>
            <w:tcBorders>
              <w:right w:val="single" w:sz="4" w:space="0" w:color="auto"/>
            </w:tcBorders>
            <w:hideMark/>
          </w:tcPr>
          <w:p w14:paraId="095F3395" w14:textId="6CA2BC77" w:rsidR="00FD4F03" w:rsidRPr="00F96352" w:rsidRDefault="00FD4F03" w:rsidP="00FD4F03">
            <w:pPr>
              <w:rPr>
                <w:rFonts w:eastAsia="Times New Roman" w:cs="Times New Roman"/>
                <w:kern w:val="0"/>
                <w:sz w:val="22"/>
                <w:szCs w:val="22"/>
                <w14:ligatures w14:val="none"/>
              </w:rPr>
            </w:pPr>
            <w:r w:rsidRPr="00F96352">
              <w:rPr>
                <w:sz w:val="22"/>
                <w:szCs w:val="22"/>
              </w:rPr>
              <w:t>Ischemic stroke</w:t>
            </w:r>
          </w:p>
        </w:tc>
        <w:tc>
          <w:tcPr>
            <w:tcW w:w="1980" w:type="dxa"/>
            <w:tcBorders>
              <w:left w:val="single" w:sz="4" w:space="0" w:color="auto"/>
            </w:tcBorders>
            <w:hideMark/>
          </w:tcPr>
          <w:p w14:paraId="244A9533" w14:textId="63706F63" w:rsidR="00FD4F03" w:rsidRPr="00F96352" w:rsidRDefault="005A0B45" w:rsidP="00FD4F03">
            <w:pPr>
              <w:rPr>
                <w:rFonts w:eastAsia="Times New Roman" w:cs="Times New Roman"/>
                <w:kern w:val="0"/>
                <w:sz w:val="22"/>
                <w:szCs w:val="22"/>
                <w14:ligatures w14:val="none"/>
              </w:rPr>
            </w:pPr>
            <w:r w:rsidRPr="005A0B45">
              <w:rPr>
                <w:sz w:val="22"/>
                <w:szCs w:val="22"/>
              </w:rPr>
              <w:t>30 (4.7%)</w:t>
            </w:r>
          </w:p>
        </w:tc>
        <w:tc>
          <w:tcPr>
            <w:tcW w:w="2070" w:type="dxa"/>
            <w:hideMark/>
          </w:tcPr>
          <w:p w14:paraId="5C4A9699" w14:textId="6B6E1289" w:rsidR="00FD4F03" w:rsidRPr="00F96352" w:rsidRDefault="005A0B45" w:rsidP="00FD4F03">
            <w:pPr>
              <w:rPr>
                <w:rFonts w:eastAsia="Times New Roman" w:cs="Times New Roman"/>
                <w:kern w:val="0"/>
                <w:sz w:val="22"/>
                <w:szCs w:val="22"/>
                <w14:ligatures w14:val="none"/>
              </w:rPr>
            </w:pPr>
            <w:r w:rsidRPr="005A0B45">
              <w:rPr>
                <w:sz w:val="22"/>
                <w:szCs w:val="22"/>
              </w:rPr>
              <w:t>62 (9.8%)</w:t>
            </w:r>
          </w:p>
        </w:tc>
        <w:tc>
          <w:tcPr>
            <w:tcW w:w="1890" w:type="dxa"/>
            <w:hideMark/>
          </w:tcPr>
          <w:p w14:paraId="348059F4" w14:textId="20B547A9" w:rsidR="00FD4F03" w:rsidRPr="00F96352" w:rsidRDefault="00FD4F03" w:rsidP="00FD4F03">
            <w:pPr>
              <w:rPr>
                <w:rFonts w:eastAsia="Times New Roman" w:cs="Times New Roman"/>
                <w:kern w:val="0"/>
                <w:sz w:val="22"/>
                <w:szCs w:val="22"/>
                <w14:ligatures w14:val="none"/>
              </w:rPr>
            </w:pPr>
            <w:r w:rsidRPr="00F96352">
              <w:rPr>
                <w:sz w:val="22"/>
                <w:szCs w:val="22"/>
              </w:rPr>
              <w:t>15.64%</w:t>
            </w:r>
          </w:p>
        </w:tc>
        <w:tc>
          <w:tcPr>
            <w:tcW w:w="2250" w:type="dxa"/>
          </w:tcPr>
          <w:p w14:paraId="5B83DB44" w14:textId="658AE1D4" w:rsidR="00FD4F03" w:rsidRPr="00F96352" w:rsidRDefault="00FD4F03" w:rsidP="00FD4F03">
            <w:pPr>
              <w:rPr>
                <w:rFonts w:eastAsia="Times New Roman" w:cs="Times New Roman"/>
                <w:kern w:val="0"/>
                <w:sz w:val="22"/>
                <w:szCs w:val="22"/>
                <w14:ligatures w14:val="none"/>
              </w:rPr>
            </w:pPr>
            <w:r w:rsidRPr="00F96352">
              <w:rPr>
                <w:sz w:val="22"/>
                <w:szCs w:val="22"/>
              </w:rPr>
              <w:t>21.21%</w:t>
            </w:r>
          </w:p>
        </w:tc>
        <w:tc>
          <w:tcPr>
            <w:tcW w:w="990" w:type="dxa"/>
            <w:hideMark/>
          </w:tcPr>
          <w:p w14:paraId="3B07AE79" w14:textId="3DBC12AD" w:rsidR="00FD4F03" w:rsidRPr="00F96352" w:rsidRDefault="00FD4F03" w:rsidP="00FD4F03">
            <w:pPr>
              <w:rPr>
                <w:rFonts w:eastAsia="Times New Roman" w:cs="Times New Roman"/>
                <w:kern w:val="0"/>
                <w:sz w:val="22"/>
                <w:szCs w:val="22"/>
                <w14:ligatures w14:val="none"/>
              </w:rPr>
            </w:pPr>
            <w:r w:rsidRPr="00F96352">
              <w:rPr>
                <w:sz w:val="22"/>
                <w:szCs w:val="22"/>
              </w:rPr>
              <w:t>0.004</w:t>
            </w:r>
          </w:p>
        </w:tc>
        <w:tc>
          <w:tcPr>
            <w:tcW w:w="1980" w:type="dxa"/>
            <w:hideMark/>
          </w:tcPr>
          <w:p w14:paraId="30BD20B7" w14:textId="784D9059" w:rsidR="00FD4F03" w:rsidRPr="00F96352" w:rsidRDefault="00FD4F03" w:rsidP="00FD4F03">
            <w:pPr>
              <w:rPr>
                <w:rFonts w:eastAsia="Times New Roman" w:cs="Times New Roman"/>
                <w:kern w:val="0"/>
                <w:sz w:val="22"/>
                <w:szCs w:val="22"/>
                <w14:ligatures w14:val="none"/>
              </w:rPr>
            </w:pPr>
            <w:r w:rsidRPr="00F96352">
              <w:rPr>
                <w:sz w:val="22"/>
                <w:szCs w:val="22"/>
              </w:rPr>
              <w:t>0.533 (0.344–0.825)</w:t>
            </w:r>
          </w:p>
        </w:tc>
      </w:tr>
      <w:tr w:rsidR="00FD4F03" w:rsidRPr="002E2865" w14:paraId="614492CA" w14:textId="77777777" w:rsidTr="00FD4F03">
        <w:trPr>
          <w:trHeight w:val="90"/>
        </w:trPr>
        <w:tc>
          <w:tcPr>
            <w:tcW w:w="2700" w:type="dxa"/>
            <w:tcBorders>
              <w:right w:val="single" w:sz="4" w:space="0" w:color="auto"/>
            </w:tcBorders>
            <w:hideMark/>
          </w:tcPr>
          <w:p w14:paraId="5E534CB2" w14:textId="06059800" w:rsidR="00FD4F03" w:rsidRPr="00F96352" w:rsidRDefault="00FD4F03" w:rsidP="00FD4F03">
            <w:pPr>
              <w:rPr>
                <w:rFonts w:eastAsia="Times New Roman" w:cs="Times New Roman"/>
                <w:kern w:val="0"/>
                <w:sz w:val="22"/>
                <w:szCs w:val="22"/>
                <w14:ligatures w14:val="none"/>
              </w:rPr>
            </w:pPr>
            <w:r w:rsidRPr="00F96352">
              <w:rPr>
                <w:sz w:val="22"/>
                <w:szCs w:val="22"/>
              </w:rPr>
              <w:t>Composite of ischemic stroke or mortality</w:t>
            </w:r>
          </w:p>
        </w:tc>
        <w:tc>
          <w:tcPr>
            <w:tcW w:w="1980" w:type="dxa"/>
            <w:tcBorders>
              <w:left w:val="single" w:sz="4" w:space="0" w:color="auto"/>
            </w:tcBorders>
            <w:hideMark/>
          </w:tcPr>
          <w:p w14:paraId="3CB24173" w14:textId="78CA0F59" w:rsidR="00FD4F03" w:rsidRPr="00F96352" w:rsidRDefault="005A0B45" w:rsidP="00FD4F03">
            <w:pPr>
              <w:rPr>
                <w:rFonts w:eastAsia="Times New Roman" w:cs="Times New Roman"/>
                <w:kern w:val="0"/>
                <w:sz w:val="22"/>
                <w:szCs w:val="22"/>
                <w14:ligatures w14:val="none"/>
              </w:rPr>
            </w:pPr>
            <w:r w:rsidRPr="005A0B45">
              <w:rPr>
                <w:sz w:val="22"/>
                <w:szCs w:val="22"/>
              </w:rPr>
              <w:t>53 (8.4%)</w:t>
            </w:r>
          </w:p>
        </w:tc>
        <w:tc>
          <w:tcPr>
            <w:tcW w:w="2070" w:type="dxa"/>
            <w:hideMark/>
          </w:tcPr>
          <w:p w14:paraId="1D85AB20" w14:textId="7ABBB3A7" w:rsidR="00FD4F03" w:rsidRPr="00F96352" w:rsidRDefault="005A0B45" w:rsidP="00FD4F03">
            <w:pPr>
              <w:rPr>
                <w:rFonts w:eastAsia="Times New Roman" w:cs="Times New Roman"/>
                <w:kern w:val="0"/>
                <w:sz w:val="22"/>
                <w:szCs w:val="22"/>
                <w14:ligatures w14:val="none"/>
              </w:rPr>
            </w:pPr>
            <w:r w:rsidRPr="005A0B45">
              <w:rPr>
                <w:sz w:val="22"/>
                <w:szCs w:val="22"/>
              </w:rPr>
              <w:t>118 (18.6%)</w:t>
            </w:r>
          </w:p>
        </w:tc>
        <w:tc>
          <w:tcPr>
            <w:tcW w:w="1890" w:type="dxa"/>
            <w:hideMark/>
          </w:tcPr>
          <w:p w14:paraId="2C02B601" w14:textId="3E02EC92" w:rsidR="00FD4F03" w:rsidRPr="00F96352" w:rsidRDefault="00FD4F03" w:rsidP="00FD4F03">
            <w:pPr>
              <w:rPr>
                <w:rFonts w:eastAsia="Times New Roman" w:cs="Times New Roman"/>
                <w:kern w:val="0"/>
                <w:sz w:val="22"/>
                <w:szCs w:val="22"/>
                <w14:ligatures w14:val="none"/>
              </w:rPr>
            </w:pPr>
            <w:r w:rsidRPr="00F96352">
              <w:rPr>
                <w:sz w:val="22"/>
                <w:szCs w:val="22"/>
              </w:rPr>
              <w:t>27.71%</w:t>
            </w:r>
          </w:p>
        </w:tc>
        <w:tc>
          <w:tcPr>
            <w:tcW w:w="2250" w:type="dxa"/>
          </w:tcPr>
          <w:p w14:paraId="7AB0076F" w14:textId="113A7D40" w:rsidR="00FD4F03" w:rsidRPr="00F96352" w:rsidRDefault="00FD4F03" w:rsidP="00FD4F03">
            <w:pPr>
              <w:rPr>
                <w:rFonts w:eastAsia="Times New Roman" w:cs="Times New Roman"/>
                <w:kern w:val="0"/>
                <w:sz w:val="22"/>
                <w:szCs w:val="22"/>
                <w14:ligatures w14:val="none"/>
              </w:rPr>
            </w:pPr>
            <w:r w:rsidRPr="00F96352">
              <w:rPr>
                <w:sz w:val="22"/>
                <w:szCs w:val="22"/>
              </w:rPr>
              <w:t>41.76%</w:t>
            </w:r>
          </w:p>
        </w:tc>
        <w:tc>
          <w:tcPr>
            <w:tcW w:w="990" w:type="dxa"/>
            <w:hideMark/>
          </w:tcPr>
          <w:p w14:paraId="7F0D13DC" w14:textId="3AC0293E" w:rsidR="00FD4F03" w:rsidRPr="00F96352" w:rsidRDefault="00FD4F03" w:rsidP="00FD4F03">
            <w:pPr>
              <w:rPr>
                <w:rFonts w:eastAsia="Times New Roman" w:cs="Times New Roman"/>
                <w:kern w:val="0"/>
                <w:sz w:val="22"/>
                <w:szCs w:val="22"/>
                <w14:ligatures w14:val="none"/>
              </w:rPr>
            </w:pPr>
            <w:r w:rsidRPr="00F96352">
              <w:rPr>
                <w:sz w:val="22"/>
                <w:szCs w:val="22"/>
              </w:rPr>
              <w:t>&lt;0.001</w:t>
            </w:r>
          </w:p>
        </w:tc>
        <w:tc>
          <w:tcPr>
            <w:tcW w:w="1980" w:type="dxa"/>
            <w:hideMark/>
          </w:tcPr>
          <w:p w14:paraId="33BFD469" w14:textId="4EEB65C1" w:rsidR="00FD4F03" w:rsidRPr="00F96352" w:rsidRDefault="00FD4F03" w:rsidP="00FD4F03">
            <w:pPr>
              <w:rPr>
                <w:rFonts w:eastAsia="Times New Roman" w:cs="Times New Roman"/>
                <w:kern w:val="0"/>
                <w:sz w:val="22"/>
                <w:szCs w:val="22"/>
                <w14:ligatures w14:val="none"/>
              </w:rPr>
            </w:pPr>
            <w:r w:rsidRPr="00F96352">
              <w:rPr>
                <w:sz w:val="22"/>
                <w:szCs w:val="22"/>
              </w:rPr>
              <w:t>0.509 (0.367–0.704)</w:t>
            </w:r>
          </w:p>
        </w:tc>
      </w:tr>
    </w:tbl>
    <w:p w14:paraId="3B160D59" w14:textId="446B9EB1" w:rsidR="000B473E" w:rsidRPr="00F96352" w:rsidRDefault="00490FDA" w:rsidP="00FE3491">
      <w:pPr>
        <w:rPr>
          <w:rFonts w:cs="Times New Roman"/>
          <w:sz w:val="21"/>
          <w:szCs w:val="21"/>
        </w:rPr>
      </w:pPr>
      <w:r w:rsidRPr="00F96352">
        <w:rPr>
          <w:rFonts w:cs="Times New Roman"/>
          <w:sz w:val="21"/>
          <w:szCs w:val="21"/>
        </w:rPr>
        <w:t>*Denominators vary by outcome because patients who experienced the respective outcome before the 3-month landmark were excluded from that outcome-specific analysis. Mortality analyses included patients alive at the landmark.</w:t>
      </w:r>
    </w:p>
    <w:p w14:paraId="795ADB75" w14:textId="77777777" w:rsidR="00490FDA" w:rsidRPr="00490FDA" w:rsidRDefault="00490FDA" w:rsidP="00490FDA">
      <w:pPr>
        <w:rPr>
          <w:rFonts w:cs="Times New Roman"/>
        </w:rPr>
        <w:sectPr w:rsidR="00490FDA" w:rsidRPr="00490FDA" w:rsidSect="008B280C">
          <w:pgSz w:w="15840" w:h="12240" w:orient="landscape"/>
          <w:pgMar w:top="1440" w:right="1440" w:bottom="1440" w:left="1440" w:header="720" w:footer="720" w:gutter="0"/>
          <w:cols w:space="720"/>
          <w:docGrid w:linePitch="360"/>
        </w:sectPr>
      </w:pPr>
    </w:p>
    <w:p w14:paraId="2DA2172F" w14:textId="77777777" w:rsidR="008B280C" w:rsidRPr="0057434E" w:rsidRDefault="00664EEF" w:rsidP="00FE3491">
      <w:pPr>
        <w:rPr>
          <w:rFonts w:cs="Times New Roman"/>
          <w:b/>
          <w:bCs/>
        </w:rPr>
      </w:pPr>
      <w:r w:rsidRPr="0057434E">
        <w:rPr>
          <w:rFonts w:cs="Times New Roman"/>
          <w:b/>
          <w:bCs/>
        </w:rPr>
        <w:lastRenderedPageBreak/>
        <w:t>Figures:</w:t>
      </w:r>
    </w:p>
    <w:p w14:paraId="0AB7E5C2" w14:textId="307FC614" w:rsidR="001D30FC" w:rsidRPr="0057434E" w:rsidRDefault="001D30FC" w:rsidP="00664EEF">
      <w:pPr>
        <w:spacing w:line="480" w:lineRule="auto"/>
        <w:rPr>
          <w:rFonts w:cs="Times New Roman"/>
        </w:rPr>
      </w:pPr>
      <w:bookmarkStart w:id="13" w:name="OLE_LINK56"/>
      <w:bookmarkStart w:id="14" w:name="OLE_LINK61"/>
    </w:p>
    <w:p w14:paraId="5C73FA51" w14:textId="247401D5" w:rsidR="00D530BC" w:rsidRPr="0057434E" w:rsidRDefault="00664EEF" w:rsidP="00D530BC">
      <w:pPr>
        <w:spacing w:line="480" w:lineRule="auto"/>
        <w:rPr>
          <w:rFonts w:cs="Times New Roman"/>
        </w:rPr>
      </w:pPr>
      <w:r w:rsidRPr="0032187B">
        <w:rPr>
          <w:rFonts w:cs="Times New Roman"/>
          <w:b/>
          <w:bCs/>
        </w:rPr>
        <w:t>Figure 1:</w:t>
      </w:r>
      <w:r w:rsidRPr="0057434E">
        <w:rPr>
          <w:rFonts w:cs="Times New Roman"/>
        </w:rPr>
        <w:t xml:space="preserve"> </w:t>
      </w:r>
      <w:bookmarkStart w:id="15" w:name="OLE_LINK19"/>
      <w:bookmarkStart w:id="16" w:name="OLE_LINK20"/>
      <w:r w:rsidRPr="0057434E">
        <w:rPr>
          <w:rFonts w:cs="Times New Roman"/>
        </w:rPr>
        <w:t xml:space="preserve">Flow diagram illustrating the identification, inclusion, and exclusion of patients with carotid stenosis in the analytic cohort. </w:t>
      </w:r>
      <w:r w:rsidR="009C6699" w:rsidRPr="009C6699">
        <w:rPr>
          <w:rFonts w:cs="Times New Roman"/>
        </w:rPr>
        <w:t xml:space="preserve">Patients were stratified by revascularization procedure and </w:t>
      </w:r>
      <w:r w:rsidR="00033DA6">
        <w:rPr>
          <w:rFonts w:cs="Times New Roman"/>
        </w:rPr>
        <w:t>GLP-1RA</w:t>
      </w:r>
      <w:r w:rsidR="009C6699" w:rsidRPr="009C6699">
        <w:rPr>
          <w:rFonts w:cs="Times New Roman"/>
        </w:rPr>
        <w:t xml:space="preserve"> exposure, with separate 1:1 propensity score matching of exposed and non-exposed patients within the </w:t>
      </w:r>
      <w:r w:rsidR="009C6699">
        <w:rPr>
          <w:rFonts w:cs="Times New Roman"/>
        </w:rPr>
        <w:t xml:space="preserve">carotid artery stenting </w:t>
      </w:r>
      <w:r w:rsidR="009C6699" w:rsidRPr="009C6699">
        <w:rPr>
          <w:rFonts w:cs="Times New Roman"/>
        </w:rPr>
        <w:t xml:space="preserve">and </w:t>
      </w:r>
      <w:r w:rsidR="009C6699">
        <w:rPr>
          <w:rFonts w:cs="Times New Roman"/>
        </w:rPr>
        <w:t xml:space="preserve">carotid endarterectomy </w:t>
      </w:r>
      <w:r w:rsidR="009C6699" w:rsidRPr="009C6699">
        <w:rPr>
          <w:rFonts w:cs="Times New Roman"/>
        </w:rPr>
        <w:t>cohorts</w:t>
      </w:r>
      <w:r w:rsidRPr="0057434E">
        <w:rPr>
          <w:rFonts w:cs="Times New Roman"/>
        </w:rPr>
        <w:t>.</w:t>
      </w:r>
      <w:bookmarkStart w:id="17" w:name="OLE_LINK11"/>
      <w:bookmarkStart w:id="18" w:name="OLE_LINK25"/>
      <w:bookmarkEnd w:id="13"/>
      <w:bookmarkEnd w:id="14"/>
      <w:bookmarkEnd w:id="15"/>
      <w:bookmarkEnd w:id="16"/>
    </w:p>
    <w:p w14:paraId="33CEDB57" w14:textId="77777777" w:rsidR="000B473E" w:rsidRDefault="000B473E" w:rsidP="00D530BC">
      <w:pPr>
        <w:spacing w:line="480" w:lineRule="auto"/>
        <w:rPr>
          <w:rFonts w:cs="Times New Roman"/>
        </w:rPr>
      </w:pPr>
    </w:p>
    <w:p w14:paraId="0C98AA70" w14:textId="1E9CFBBB" w:rsidR="00DD7A73" w:rsidRDefault="00664EEF" w:rsidP="00D530BC">
      <w:pPr>
        <w:spacing w:line="480" w:lineRule="auto"/>
        <w:rPr>
          <w:rFonts w:cs="Times New Roman"/>
        </w:rPr>
      </w:pPr>
      <w:r w:rsidRPr="0032187B">
        <w:rPr>
          <w:rFonts w:cs="Times New Roman"/>
          <w:b/>
          <w:bCs/>
        </w:rPr>
        <w:t>Figure 2:</w:t>
      </w:r>
      <w:r w:rsidRPr="0057434E">
        <w:rPr>
          <w:rFonts w:cs="Times New Roman"/>
        </w:rPr>
        <w:t xml:space="preserve"> Forest plot of hazard ratios for clinical outcomes with G</w:t>
      </w:r>
      <w:r w:rsidR="008849FC" w:rsidRPr="0057434E">
        <w:rPr>
          <w:rFonts w:cs="Times New Roman"/>
        </w:rPr>
        <w:t xml:space="preserve">lucagon </w:t>
      </w:r>
      <w:r w:rsidRPr="0057434E">
        <w:rPr>
          <w:rFonts w:cs="Times New Roman"/>
        </w:rPr>
        <w:t>L</w:t>
      </w:r>
      <w:r w:rsidR="008849FC" w:rsidRPr="0057434E">
        <w:rPr>
          <w:rFonts w:cs="Times New Roman"/>
        </w:rPr>
        <w:t xml:space="preserve">ike </w:t>
      </w:r>
      <w:r w:rsidRPr="0057434E">
        <w:rPr>
          <w:rFonts w:cs="Times New Roman"/>
        </w:rPr>
        <w:t>P</w:t>
      </w:r>
      <w:r w:rsidR="008849FC" w:rsidRPr="0057434E">
        <w:rPr>
          <w:rFonts w:cs="Times New Roman"/>
        </w:rPr>
        <w:t>eptide</w:t>
      </w:r>
      <w:r w:rsidRPr="0057434E">
        <w:rPr>
          <w:rFonts w:cs="Times New Roman"/>
        </w:rPr>
        <w:t>-1</w:t>
      </w:r>
      <w:r w:rsidR="008849FC" w:rsidRPr="0057434E">
        <w:rPr>
          <w:rFonts w:cs="Times New Roman"/>
        </w:rPr>
        <w:t xml:space="preserve"> Receptor </w:t>
      </w:r>
      <w:r w:rsidRPr="0057434E">
        <w:rPr>
          <w:rFonts w:cs="Times New Roman"/>
        </w:rPr>
        <w:t>A</w:t>
      </w:r>
      <w:r w:rsidR="008849FC" w:rsidRPr="0057434E">
        <w:rPr>
          <w:rFonts w:cs="Times New Roman"/>
        </w:rPr>
        <w:t>gonists (</w:t>
      </w:r>
      <w:r w:rsidR="00033DA6">
        <w:rPr>
          <w:rFonts w:cs="Times New Roman"/>
        </w:rPr>
        <w:t>GLP-1RA</w:t>
      </w:r>
      <w:r w:rsidR="008849FC" w:rsidRPr="0057434E">
        <w:rPr>
          <w:rFonts w:cs="Times New Roman"/>
        </w:rPr>
        <w:t>)</w:t>
      </w:r>
      <w:r w:rsidRPr="0057434E">
        <w:rPr>
          <w:rFonts w:cs="Times New Roman"/>
        </w:rPr>
        <w:t xml:space="preserve"> in patients </w:t>
      </w:r>
      <w:bookmarkStart w:id="19" w:name="OLE_LINK48"/>
      <w:bookmarkStart w:id="20" w:name="OLE_LINK49"/>
      <w:r w:rsidRPr="0057434E">
        <w:rPr>
          <w:rFonts w:cs="Times New Roman"/>
        </w:rPr>
        <w:t>undergoing carotid stenting or endarterectomy</w:t>
      </w:r>
      <w:bookmarkEnd w:id="19"/>
      <w:bookmarkEnd w:id="20"/>
      <w:r w:rsidRPr="0057434E">
        <w:rPr>
          <w:rFonts w:cs="Times New Roman"/>
        </w:rPr>
        <w:t>.</w:t>
      </w:r>
    </w:p>
    <w:p w14:paraId="71A51E89" w14:textId="77777777" w:rsidR="000B473E" w:rsidRPr="0057434E" w:rsidRDefault="000B473E" w:rsidP="00D530BC">
      <w:pPr>
        <w:spacing w:line="480" w:lineRule="auto"/>
        <w:rPr>
          <w:rFonts w:cs="Times New Roman"/>
        </w:rPr>
      </w:pPr>
    </w:p>
    <w:p w14:paraId="2254CD2B" w14:textId="33CF5155" w:rsidR="008849FC" w:rsidRPr="0057434E" w:rsidRDefault="00664EEF" w:rsidP="008849FC">
      <w:pPr>
        <w:spacing w:line="480" w:lineRule="auto"/>
        <w:rPr>
          <w:rFonts w:cs="Times New Roman"/>
        </w:rPr>
      </w:pPr>
      <w:bookmarkStart w:id="21" w:name="OLE_LINK27"/>
      <w:bookmarkEnd w:id="17"/>
      <w:bookmarkEnd w:id="18"/>
      <w:r w:rsidRPr="0032187B">
        <w:rPr>
          <w:rFonts w:cs="Times New Roman"/>
          <w:b/>
          <w:bCs/>
        </w:rPr>
        <w:t>Figure 3:</w:t>
      </w:r>
      <w:r w:rsidRPr="0057434E">
        <w:rPr>
          <w:rFonts w:cs="Times New Roman"/>
        </w:rPr>
        <w:t xml:space="preserve"> </w:t>
      </w:r>
      <w:r w:rsidR="009C6699" w:rsidRPr="009C6699">
        <w:rPr>
          <w:rFonts w:cs="Times New Roman"/>
        </w:rPr>
        <w:t>Observed Clinical Outcome Incidence in the Propensity Score–Matched Cohorts</w:t>
      </w:r>
      <w:r w:rsidR="009C6699" w:rsidRPr="009C6699" w:rsidDel="009C6699">
        <w:rPr>
          <w:rFonts w:cs="Times New Roman"/>
        </w:rPr>
        <w:t xml:space="preserve"> </w:t>
      </w:r>
      <w:r w:rsidR="008849FC" w:rsidRPr="0057434E">
        <w:rPr>
          <w:rFonts w:cs="Times New Roman"/>
        </w:rPr>
        <w:t>(CAS: Carotid Artery Stenting, CEA: Carotid Artery Endarterectomy)</w:t>
      </w:r>
      <w:r w:rsidRPr="0057434E">
        <w:rPr>
          <w:rFonts w:cs="Times New Roman"/>
        </w:rPr>
        <w:t>.</w:t>
      </w:r>
      <w:bookmarkEnd w:id="21"/>
      <w:r w:rsidR="009C6699">
        <w:rPr>
          <w:rFonts w:cs="Times New Roman"/>
        </w:rPr>
        <w:t xml:space="preserve"> </w:t>
      </w:r>
    </w:p>
    <w:sectPr w:rsidR="008849FC" w:rsidRPr="0057434E" w:rsidSect="00664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9E05BA"/>
    <w:multiLevelType w:val="hybridMultilevel"/>
    <w:tmpl w:val="2EAAB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93025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39"/>
    <w:rsid w:val="00023566"/>
    <w:rsid w:val="00033DA6"/>
    <w:rsid w:val="00035286"/>
    <w:rsid w:val="00043D01"/>
    <w:rsid w:val="000541A0"/>
    <w:rsid w:val="00093DD1"/>
    <w:rsid w:val="000B473E"/>
    <w:rsid w:val="000C0144"/>
    <w:rsid w:val="0015050A"/>
    <w:rsid w:val="00152E3B"/>
    <w:rsid w:val="0016321E"/>
    <w:rsid w:val="00167B00"/>
    <w:rsid w:val="0017613C"/>
    <w:rsid w:val="00180D70"/>
    <w:rsid w:val="001C58D6"/>
    <w:rsid w:val="001D30FC"/>
    <w:rsid w:val="001F35E7"/>
    <w:rsid w:val="00205B47"/>
    <w:rsid w:val="00240D89"/>
    <w:rsid w:val="00244CC8"/>
    <w:rsid w:val="00247D68"/>
    <w:rsid w:val="00274BF4"/>
    <w:rsid w:val="00284E8C"/>
    <w:rsid w:val="002B45F7"/>
    <w:rsid w:val="002C2A95"/>
    <w:rsid w:val="002D507B"/>
    <w:rsid w:val="002E2865"/>
    <w:rsid w:val="002E51EF"/>
    <w:rsid w:val="002E69B8"/>
    <w:rsid w:val="003060D5"/>
    <w:rsid w:val="0032187B"/>
    <w:rsid w:val="003649A0"/>
    <w:rsid w:val="003B72D1"/>
    <w:rsid w:val="003C6DAA"/>
    <w:rsid w:val="004063E6"/>
    <w:rsid w:val="00465CFA"/>
    <w:rsid w:val="00490FDA"/>
    <w:rsid w:val="00496E44"/>
    <w:rsid w:val="0057434E"/>
    <w:rsid w:val="005A0B45"/>
    <w:rsid w:val="005D3805"/>
    <w:rsid w:val="00630C40"/>
    <w:rsid w:val="00664B30"/>
    <w:rsid w:val="00664EEF"/>
    <w:rsid w:val="00686855"/>
    <w:rsid w:val="00697431"/>
    <w:rsid w:val="006B0A45"/>
    <w:rsid w:val="006B7142"/>
    <w:rsid w:val="006C5B92"/>
    <w:rsid w:val="006D13E5"/>
    <w:rsid w:val="00710533"/>
    <w:rsid w:val="00724DF1"/>
    <w:rsid w:val="00742F56"/>
    <w:rsid w:val="007A5185"/>
    <w:rsid w:val="0080487C"/>
    <w:rsid w:val="0082141B"/>
    <w:rsid w:val="00882D20"/>
    <w:rsid w:val="008849FC"/>
    <w:rsid w:val="00884B49"/>
    <w:rsid w:val="008A7B39"/>
    <w:rsid w:val="008B280C"/>
    <w:rsid w:val="008D35D4"/>
    <w:rsid w:val="008D6BEB"/>
    <w:rsid w:val="008E2843"/>
    <w:rsid w:val="008E41EB"/>
    <w:rsid w:val="00926848"/>
    <w:rsid w:val="009420A2"/>
    <w:rsid w:val="009A1F56"/>
    <w:rsid w:val="009C6699"/>
    <w:rsid w:val="009D1CEA"/>
    <w:rsid w:val="009D48DD"/>
    <w:rsid w:val="009E209A"/>
    <w:rsid w:val="009F1629"/>
    <w:rsid w:val="009F1638"/>
    <w:rsid w:val="009F2831"/>
    <w:rsid w:val="00A122F1"/>
    <w:rsid w:val="00A42478"/>
    <w:rsid w:val="00A651DE"/>
    <w:rsid w:val="00A80B84"/>
    <w:rsid w:val="00A8348E"/>
    <w:rsid w:val="00A9041F"/>
    <w:rsid w:val="00AD66C7"/>
    <w:rsid w:val="00AE3982"/>
    <w:rsid w:val="00AF4085"/>
    <w:rsid w:val="00B2376B"/>
    <w:rsid w:val="00B33BFB"/>
    <w:rsid w:val="00B442B0"/>
    <w:rsid w:val="00B55ADA"/>
    <w:rsid w:val="00BD5934"/>
    <w:rsid w:val="00C07C0A"/>
    <w:rsid w:val="00C11919"/>
    <w:rsid w:val="00C25D25"/>
    <w:rsid w:val="00C522F2"/>
    <w:rsid w:val="00C65469"/>
    <w:rsid w:val="00C81E07"/>
    <w:rsid w:val="00CE55A8"/>
    <w:rsid w:val="00CF4428"/>
    <w:rsid w:val="00D0613E"/>
    <w:rsid w:val="00D16646"/>
    <w:rsid w:val="00D26637"/>
    <w:rsid w:val="00D530BC"/>
    <w:rsid w:val="00D61E2C"/>
    <w:rsid w:val="00D8175C"/>
    <w:rsid w:val="00DD7A73"/>
    <w:rsid w:val="00DE57CE"/>
    <w:rsid w:val="00DF60CA"/>
    <w:rsid w:val="00E21F4B"/>
    <w:rsid w:val="00E2649B"/>
    <w:rsid w:val="00E50B24"/>
    <w:rsid w:val="00E9190A"/>
    <w:rsid w:val="00E94B0B"/>
    <w:rsid w:val="00EC0EAC"/>
    <w:rsid w:val="00EF0B6C"/>
    <w:rsid w:val="00EF681E"/>
    <w:rsid w:val="00F07779"/>
    <w:rsid w:val="00F35820"/>
    <w:rsid w:val="00F96352"/>
    <w:rsid w:val="00FB48D8"/>
    <w:rsid w:val="00FB67DA"/>
    <w:rsid w:val="00FD4F03"/>
    <w:rsid w:val="00FE3491"/>
    <w:rsid w:val="00FF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0A1C"/>
  <w15:chartTrackingRefBased/>
  <w15:docId w15:val="{D64859B0-A713-FB4E-B7EE-99C0B869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7C"/>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FE3491"/>
    <w:pPr>
      <w:tabs>
        <w:tab w:val="left" w:pos="380"/>
      </w:tabs>
      <w:spacing w:after="240"/>
      <w:ind w:left="384" w:hanging="384"/>
    </w:pPr>
  </w:style>
  <w:style w:type="paragraph" w:customStyle="1" w:styleId="p1">
    <w:name w:val="p1"/>
    <w:basedOn w:val="Normal"/>
    <w:rsid w:val="008B280C"/>
    <w:pPr>
      <w:spacing w:before="100" w:beforeAutospacing="1" w:after="100" w:afterAutospacing="1"/>
    </w:pPr>
    <w:rPr>
      <w:rFonts w:eastAsia="Times New Roman" w:cs="Times New Roman"/>
      <w:kern w:val="0"/>
      <w14:ligatures w14:val="none"/>
    </w:rPr>
  </w:style>
  <w:style w:type="paragraph" w:customStyle="1" w:styleId="p2">
    <w:name w:val="p2"/>
    <w:basedOn w:val="Normal"/>
    <w:rsid w:val="00A80B84"/>
    <w:pPr>
      <w:spacing w:before="100" w:beforeAutospacing="1" w:after="100" w:afterAutospacing="1"/>
    </w:pPr>
    <w:rPr>
      <w:rFonts w:eastAsia="Times New Roman" w:cs="Times New Roman"/>
      <w:kern w:val="0"/>
      <w14:ligatures w14:val="none"/>
    </w:rPr>
  </w:style>
  <w:style w:type="paragraph" w:customStyle="1" w:styleId="p3">
    <w:name w:val="p3"/>
    <w:basedOn w:val="Normal"/>
    <w:rsid w:val="00A80B84"/>
    <w:pPr>
      <w:spacing w:before="100" w:beforeAutospacing="1" w:after="100" w:afterAutospacing="1"/>
    </w:pPr>
    <w:rPr>
      <w:rFonts w:eastAsia="Times New Roman" w:cs="Times New Roman"/>
      <w:kern w:val="0"/>
      <w14:ligatures w14:val="none"/>
    </w:rPr>
  </w:style>
  <w:style w:type="paragraph" w:styleId="Revision">
    <w:name w:val="Revision"/>
    <w:hidden/>
    <w:uiPriority w:val="99"/>
    <w:semiHidden/>
    <w:rsid w:val="00C11919"/>
    <w:rPr>
      <w:rFonts w:ascii="Times New Roman" w:hAnsi="Times New Roman"/>
    </w:rPr>
  </w:style>
  <w:style w:type="character" w:styleId="CommentReference">
    <w:name w:val="annotation reference"/>
    <w:basedOn w:val="DefaultParagraphFont"/>
    <w:uiPriority w:val="99"/>
    <w:semiHidden/>
    <w:unhideWhenUsed/>
    <w:rsid w:val="007A5185"/>
    <w:rPr>
      <w:sz w:val="16"/>
      <w:szCs w:val="16"/>
    </w:rPr>
  </w:style>
  <w:style w:type="paragraph" w:styleId="CommentText">
    <w:name w:val="annotation text"/>
    <w:basedOn w:val="Normal"/>
    <w:link w:val="CommentTextChar"/>
    <w:uiPriority w:val="99"/>
    <w:unhideWhenUsed/>
    <w:rsid w:val="007A5185"/>
    <w:rPr>
      <w:sz w:val="20"/>
      <w:szCs w:val="20"/>
    </w:rPr>
  </w:style>
  <w:style w:type="character" w:customStyle="1" w:styleId="CommentTextChar">
    <w:name w:val="Comment Text Char"/>
    <w:basedOn w:val="DefaultParagraphFont"/>
    <w:link w:val="CommentText"/>
    <w:uiPriority w:val="99"/>
    <w:rsid w:val="007A518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A5185"/>
    <w:rPr>
      <w:b/>
      <w:bCs/>
    </w:rPr>
  </w:style>
  <w:style w:type="character" w:customStyle="1" w:styleId="CommentSubjectChar">
    <w:name w:val="Comment Subject Char"/>
    <w:basedOn w:val="CommentTextChar"/>
    <w:link w:val="CommentSubject"/>
    <w:uiPriority w:val="99"/>
    <w:semiHidden/>
    <w:rsid w:val="007A5185"/>
    <w:rPr>
      <w:rFonts w:ascii="Times New Roman" w:hAnsi="Times New Roman"/>
      <w:b/>
      <w:bCs/>
      <w:sz w:val="20"/>
      <w:szCs w:val="20"/>
    </w:rPr>
  </w:style>
  <w:style w:type="table" w:styleId="TableGrid">
    <w:name w:val="Table Grid"/>
    <w:basedOn w:val="TableNormal"/>
    <w:uiPriority w:val="59"/>
    <w:rsid w:val="00CE55A8"/>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0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49716">
      <w:bodyDiv w:val="1"/>
      <w:marLeft w:val="0"/>
      <w:marRight w:val="0"/>
      <w:marTop w:val="0"/>
      <w:marBottom w:val="0"/>
      <w:divBdr>
        <w:top w:val="none" w:sz="0" w:space="0" w:color="auto"/>
        <w:left w:val="none" w:sz="0" w:space="0" w:color="auto"/>
        <w:bottom w:val="none" w:sz="0" w:space="0" w:color="auto"/>
        <w:right w:val="none" w:sz="0" w:space="0" w:color="auto"/>
      </w:divBdr>
    </w:div>
    <w:div w:id="172261087">
      <w:bodyDiv w:val="1"/>
      <w:marLeft w:val="0"/>
      <w:marRight w:val="0"/>
      <w:marTop w:val="0"/>
      <w:marBottom w:val="0"/>
      <w:divBdr>
        <w:top w:val="none" w:sz="0" w:space="0" w:color="auto"/>
        <w:left w:val="none" w:sz="0" w:space="0" w:color="auto"/>
        <w:bottom w:val="none" w:sz="0" w:space="0" w:color="auto"/>
        <w:right w:val="none" w:sz="0" w:space="0" w:color="auto"/>
      </w:divBdr>
    </w:div>
    <w:div w:id="387801984">
      <w:bodyDiv w:val="1"/>
      <w:marLeft w:val="0"/>
      <w:marRight w:val="0"/>
      <w:marTop w:val="0"/>
      <w:marBottom w:val="0"/>
      <w:divBdr>
        <w:top w:val="none" w:sz="0" w:space="0" w:color="auto"/>
        <w:left w:val="none" w:sz="0" w:space="0" w:color="auto"/>
        <w:bottom w:val="none" w:sz="0" w:space="0" w:color="auto"/>
        <w:right w:val="none" w:sz="0" w:space="0" w:color="auto"/>
      </w:divBdr>
    </w:div>
    <w:div w:id="723716365">
      <w:bodyDiv w:val="1"/>
      <w:marLeft w:val="0"/>
      <w:marRight w:val="0"/>
      <w:marTop w:val="0"/>
      <w:marBottom w:val="0"/>
      <w:divBdr>
        <w:top w:val="none" w:sz="0" w:space="0" w:color="auto"/>
        <w:left w:val="none" w:sz="0" w:space="0" w:color="auto"/>
        <w:bottom w:val="none" w:sz="0" w:space="0" w:color="auto"/>
        <w:right w:val="none" w:sz="0" w:space="0" w:color="auto"/>
      </w:divBdr>
    </w:div>
    <w:div w:id="1069383452">
      <w:bodyDiv w:val="1"/>
      <w:marLeft w:val="0"/>
      <w:marRight w:val="0"/>
      <w:marTop w:val="0"/>
      <w:marBottom w:val="0"/>
      <w:divBdr>
        <w:top w:val="none" w:sz="0" w:space="0" w:color="auto"/>
        <w:left w:val="none" w:sz="0" w:space="0" w:color="auto"/>
        <w:bottom w:val="none" w:sz="0" w:space="0" w:color="auto"/>
        <w:right w:val="none" w:sz="0" w:space="0" w:color="auto"/>
      </w:divBdr>
    </w:div>
    <w:div w:id="1414543150">
      <w:bodyDiv w:val="1"/>
      <w:marLeft w:val="0"/>
      <w:marRight w:val="0"/>
      <w:marTop w:val="0"/>
      <w:marBottom w:val="0"/>
      <w:divBdr>
        <w:top w:val="none" w:sz="0" w:space="0" w:color="auto"/>
        <w:left w:val="none" w:sz="0" w:space="0" w:color="auto"/>
        <w:bottom w:val="none" w:sz="0" w:space="0" w:color="auto"/>
        <w:right w:val="none" w:sz="0" w:space="0" w:color="auto"/>
      </w:divBdr>
    </w:div>
    <w:div w:id="1594437966">
      <w:bodyDiv w:val="1"/>
      <w:marLeft w:val="0"/>
      <w:marRight w:val="0"/>
      <w:marTop w:val="0"/>
      <w:marBottom w:val="0"/>
      <w:divBdr>
        <w:top w:val="none" w:sz="0" w:space="0" w:color="auto"/>
        <w:left w:val="none" w:sz="0" w:space="0" w:color="auto"/>
        <w:bottom w:val="none" w:sz="0" w:space="0" w:color="auto"/>
        <w:right w:val="none" w:sz="0" w:space="0" w:color="auto"/>
      </w:divBdr>
    </w:div>
    <w:div w:id="194637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189</TotalTime>
  <Pages>22</Pages>
  <Words>20929</Words>
  <Characters>119298</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Rai</dc:creator>
  <cp:keywords/>
  <dc:description/>
  <cp:lastModifiedBy>jay kakadiya</cp:lastModifiedBy>
  <cp:revision>30</cp:revision>
  <dcterms:created xsi:type="dcterms:W3CDTF">2025-12-07T21:00:00Z</dcterms:created>
  <dcterms:modified xsi:type="dcterms:W3CDTF">2026-07-31T07:18:00Z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id="oULRsdtz"/&gt;&lt;style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