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BA98" w14:textId="77777777" w:rsidR="00DA152F" w:rsidRDefault="00DA152F" w:rsidP="00DA152F">
      <w:pPr>
        <w:spacing w:line="480" w:lineRule="auto"/>
        <w:jc w:val="center"/>
        <w:rPr>
          <w:b/>
          <w:bCs/>
        </w:rPr>
      </w:pPr>
    </w:p>
    <w:p w14:paraId="16A14733" w14:textId="77777777" w:rsidR="00DA152F" w:rsidRDefault="00DA152F" w:rsidP="00DA152F">
      <w:pPr>
        <w:spacing w:line="480" w:lineRule="auto"/>
        <w:jc w:val="center"/>
        <w:rPr>
          <w:b/>
          <w:bCs/>
        </w:rPr>
      </w:pPr>
    </w:p>
    <w:p w14:paraId="4610E916" w14:textId="77777777" w:rsidR="00DA152F" w:rsidRDefault="00DA152F" w:rsidP="00DA152F">
      <w:pPr>
        <w:spacing w:line="480" w:lineRule="auto"/>
        <w:jc w:val="center"/>
        <w:rPr>
          <w:b/>
          <w:bCs/>
        </w:rPr>
      </w:pPr>
    </w:p>
    <w:p w14:paraId="2C191BF3" w14:textId="77777777" w:rsidR="00DA152F" w:rsidRDefault="00DA152F" w:rsidP="00DA152F">
      <w:pPr>
        <w:spacing w:line="480" w:lineRule="auto"/>
        <w:jc w:val="center"/>
        <w:rPr>
          <w:b/>
          <w:bCs/>
        </w:rPr>
      </w:pPr>
    </w:p>
    <w:p w14:paraId="16501EA1" w14:textId="77777777" w:rsidR="00DA152F" w:rsidRDefault="00DA152F" w:rsidP="00DA152F">
      <w:pPr>
        <w:spacing w:line="480" w:lineRule="auto"/>
        <w:jc w:val="center"/>
        <w:rPr>
          <w:b/>
          <w:bCs/>
        </w:rPr>
      </w:pPr>
    </w:p>
    <w:p w14:paraId="6D74103B" w14:textId="77777777" w:rsidR="00DA152F" w:rsidRDefault="00DA152F" w:rsidP="00DA152F">
      <w:pPr>
        <w:spacing w:line="480" w:lineRule="auto"/>
        <w:jc w:val="center"/>
        <w:rPr>
          <w:b/>
          <w:bCs/>
        </w:rPr>
      </w:pPr>
    </w:p>
    <w:p w14:paraId="3F033491" w14:textId="77777777" w:rsidR="00DA152F" w:rsidRDefault="00DA152F" w:rsidP="00DA152F">
      <w:pPr>
        <w:spacing w:line="480" w:lineRule="auto"/>
        <w:jc w:val="center"/>
        <w:rPr>
          <w:b/>
          <w:bCs/>
        </w:rPr>
      </w:pPr>
    </w:p>
    <w:p w14:paraId="3B70930C" w14:textId="77777777" w:rsidR="00DA152F" w:rsidRDefault="00DA152F" w:rsidP="00DA152F">
      <w:pPr>
        <w:spacing w:line="480" w:lineRule="auto"/>
        <w:jc w:val="center"/>
        <w:rPr>
          <w:b/>
          <w:bCs/>
        </w:rPr>
      </w:pPr>
    </w:p>
    <w:p w14:paraId="41BC9A42" w14:textId="790477B0" w:rsidR="00DA152F" w:rsidRDefault="00DA152F" w:rsidP="00DA152F">
      <w:pPr>
        <w:spacing w:line="480" w:lineRule="auto"/>
        <w:jc w:val="center"/>
      </w:pPr>
      <w:r>
        <w:rPr>
          <w:b/>
          <w:bCs/>
        </w:rPr>
        <w:t>AI in Clinical Decision-Making and Pattern Recognition in Healthcare:</w:t>
      </w:r>
    </w:p>
    <w:p w14:paraId="12ED7A7B" w14:textId="71EC099A" w:rsidR="00DA152F" w:rsidRDefault="00DA152F" w:rsidP="00DA152F">
      <w:pPr>
        <w:spacing w:line="480" w:lineRule="auto"/>
        <w:jc w:val="center"/>
      </w:pPr>
      <w:r>
        <w:rPr>
          <w:b/>
          <w:bCs/>
        </w:rPr>
        <w:t>Emerging Technologies, Market Dynamics, and Strategic Investment Directions</w:t>
      </w:r>
    </w:p>
    <w:p w14:paraId="3B807C41" w14:textId="77777777" w:rsidR="00DA152F" w:rsidRDefault="00DA152F" w:rsidP="00DA152F">
      <w:pPr>
        <w:spacing w:line="480" w:lineRule="auto"/>
        <w:jc w:val="center"/>
      </w:pPr>
      <w:r>
        <w:t>Vidhyalakshmi Harikrishnan</w:t>
      </w:r>
    </w:p>
    <w:p w14:paraId="4B2B8C99" w14:textId="77777777" w:rsidR="00DA152F" w:rsidRDefault="00DA152F" w:rsidP="00DA152F">
      <w:pPr>
        <w:spacing w:line="480" w:lineRule="auto"/>
        <w:jc w:val="center"/>
      </w:pPr>
      <w:r>
        <w:t>PhD Candidate, Artificial Intelligence and Human-Computer Interaction</w:t>
      </w:r>
    </w:p>
    <w:p w14:paraId="686C5E4C" w14:textId="07393D34" w:rsidR="00DA152F" w:rsidRDefault="00DA152F" w:rsidP="00DA152F">
      <w:pPr>
        <w:spacing w:line="480" w:lineRule="auto"/>
        <w:jc w:val="center"/>
      </w:pPr>
      <w:r>
        <w:t>University of Cumberlands</w:t>
      </w:r>
    </w:p>
    <w:p w14:paraId="206A7F06" w14:textId="77777777" w:rsidR="00DA152F" w:rsidRDefault="00DA152F" w:rsidP="00DA152F">
      <w:pPr>
        <w:spacing w:line="480" w:lineRule="auto"/>
        <w:jc w:val="center"/>
      </w:pPr>
      <w:r>
        <w:t>June 2026</w:t>
      </w:r>
    </w:p>
    <w:p w14:paraId="7E6A6DF2" w14:textId="77777777" w:rsidR="00DA152F" w:rsidRDefault="00DA152F" w:rsidP="00DA152F">
      <w:pPr>
        <w:spacing w:line="480" w:lineRule="auto"/>
        <w:jc w:val="center"/>
        <w:rPr>
          <w:b/>
          <w:bCs/>
        </w:rPr>
      </w:pPr>
    </w:p>
    <w:p w14:paraId="7522C21B" w14:textId="77777777" w:rsidR="00DA152F" w:rsidRDefault="00DA152F" w:rsidP="00DA152F">
      <w:pPr>
        <w:spacing w:line="480" w:lineRule="auto"/>
        <w:jc w:val="center"/>
        <w:rPr>
          <w:b/>
          <w:bCs/>
        </w:rPr>
      </w:pPr>
    </w:p>
    <w:p w14:paraId="555A6BFB" w14:textId="77777777" w:rsidR="00DA152F" w:rsidRDefault="00DA152F" w:rsidP="00DA152F">
      <w:pPr>
        <w:spacing w:line="480" w:lineRule="auto"/>
        <w:jc w:val="center"/>
        <w:rPr>
          <w:b/>
          <w:bCs/>
        </w:rPr>
      </w:pPr>
    </w:p>
    <w:p w14:paraId="13AB1A1F" w14:textId="77777777" w:rsidR="00DA152F" w:rsidRDefault="00DA152F" w:rsidP="00DA152F">
      <w:pPr>
        <w:spacing w:line="480" w:lineRule="auto"/>
        <w:jc w:val="center"/>
        <w:rPr>
          <w:b/>
          <w:bCs/>
        </w:rPr>
      </w:pPr>
    </w:p>
    <w:p w14:paraId="30204307" w14:textId="77777777" w:rsidR="00DA152F" w:rsidRDefault="00DA152F" w:rsidP="00DA152F">
      <w:pPr>
        <w:spacing w:line="480" w:lineRule="auto"/>
        <w:jc w:val="center"/>
        <w:rPr>
          <w:b/>
          <w:bCs/>
        </w:rPr>
      </w:pPr>
    </w:p>
    <w:p w14:paraId="152660A6" w14:textId="77777777" w:rsidR="00DA152F" w:rsidRDefault="00DA152F" w:rsidP="00DA152F">
      <w:pPr>
        <w:spacing w:line="480" w:lineRule="auto"/>
        <w:jc w:val="center"/>
        <w:rPr>
          <w:b/>
          <w:bCs/>
        </w:rPr>
      </w:pPr>
    </w:p>
    <w:p w14:paraId="1EEECB70" w14:textId="77777777" w:rsidR="00DA152F" w:rsidRDefault="00DA152F" w:rsidP="00DA152F">
      <w:pPr>
        <w:spacing w:line="480" w:lineRule="auto"/>
        <w:jc w:val="center"/>
        <w:rPr>
          <w:b/>
          <w:bCs/>
        </w:rPr>
      </w:pPr>
    </w:p>
    <w:p w14:paraId="628469C9" w14:textId="77777777" w:rsidR="00DA152F" w:rsidRDefault="00DA152F" w:rsidP="00DA152F">
      <w:pPr>
        <w:spacing w:line="480" w:lineRule="auto"/>
        <w:jc w:val="center"/>
        <w:rPr>
          <w:b/>
          <w:bCs/>
        </w:rPr>
      </w:pPr>
    </w:p>
    <w:p w14:paraId="50B2E8F3" w14:textId="77777777" w:rsidR="00DA152F" w:rsidRDefault="00DA152F" w:rsidP="00DA152F">
      <w:pPr>
        <w:spacing w:line="480" w:lineRule="auto"/>
        <w:jc w:val="center"/>
        <w:rPr>
          <w:b/>
          <w:bCs/>
        </w:rPr>
      </w:pPr>
    </w:p>
    <w:p w14:paraId="5930B310" w14:textId="15F11183" w:rsidR="00F72F75" w:rsidRPr="004D42BC" w:rsidRDefault="00000000" w:rsidP="00DA152F">
      <w:pPr>
        <w:spacing w:line="480" w:lineRule="auto"/>
        <w:jc w:val="center"/>
      </w:pPr>
      <w:r w:rsidRPr="004D42BC">
        <w:rPr>
          <w:b/>
          <w:bCs/>
        </w:rPr>
        <w:lastRenderedPageBreak/>
        <w:t>AI in Clinical Decision-Making and Pattern Recognition in Healthcare</w:t>
      </w:r>
    </w:p>
    <w:p w14:paraId="3CDA55EA" w14:textId="637D4E7E" w:rsidR="00F72F75" w:rsidRPr="004D42BC" w:rsidRDefault="00000000" w:rsidP="00DA152F">
      <w:pPr>
        <w:spacing w:line="480" w:lineRule="auto"/>
      </w:pPr>
      <w:r w:rsidRPr="004D42BC">
        <w:rPr>
          <w:b/>
          <w:bCs/>
        </w:rPr>
        <w:t>Conceptual Overview</w:t>
      </w:r>
    </w:p>
    <w:p w14:paraId="7D7BDE9C" w14:textId="6EF804E7" w:rsidR="00F72F75" w:rsidRPr="004D42BC" w:rsidRDefault="00000000" w:rsidP="00DA152F">
      <w:pPr>
        <w:spacing w:line="480" w:lineRule="auto"/>
        <w:ind w:firstLine="720"/>
        <w:jc w:val="both"/>
      </w:pPr>
      <w:r w:rsidRPr="004D42BC">
        <w:t>Artificial intelligence (AI) has fundamentally altered the landscape of clinical decision-making (CDM) and diagnostic pattern recognition. AI-driven CDSS use computational models to synthesize patient data, clinical evidence, and contextual variables to support or enhance clinician judgment. Convolutional Neural Networks (CNNs) and transformer-based architectures now achieve radiologist-level accuracy across imaging modalities including CT, MRI, X-ray, and histopathology slides, while Large Language Models (LLMs) and Natural Language Processing (NLP) extend pattern recognition into unstructured clinical text such as physician notes, discharge summaries, and electronic health records (EHRs).</w:t>
      </w:r>
      <w:r w:rsidR="00E4099F">
        <w:t xml:space="preserve"> The emerging Human-AI-Human paradigm retains the final decision authority with physicians demonstrating that </w:t>
      </w:r>
      <w:r w:rsidR="00E4099F" w:rsidRPr="004D42BC">
        <w:t>combined human-AI performance outperforms either working independently (Oei et al., 2025).</w:t>
      </w:r>
    </w:p>
    <w:p w14:paraId="5C511F45" w14:textId="57EA38A3" w:rsidR="00F72F75" w:rsidRPr="004D42BC" w:rsidRDefault="00000000" w:rsidP="00DA152F">
      <w:pPr>
        <w:spacing w:line="480" w:lineRule="auto"/>
      </w:pPr>
      <w:r w:rsidRPr="004D42BC">
        <w:rPr>
          <w:b/>
          <w:bCs/>
        </w:rPr>
        <w:t>Current Market Trends</w:t>
      </w:r>
    </w:p>
    <w:p w14:paraId="6583EF1D" w14:textId="3FA59AD4" w:rsidR="00F72F75" w:rsidRPr="004D42BC" w:rsidRDefault="00000000" w:rsidP="00DA152F">
      <w:pPr>
        <w:spacing w:line="480" w:lineRule="auto"/>
        <w:ind w:firstLine="720"/>
        <w:jc w:val="both"/>
      </w:pPr>
      <w:r w:rsidRPr="004D42BC">
        <w:t xml:space="preserve">The AI healthcare analytics market is expanding rapidly. The global AI in medical imaging diagnostics segment was valued at USD 4.5 billion in 2024, projected to reach USD 14.25 billion by 2032 at a 14.6% CAGR, while the broader AI-in-diagnostics market is forecast to grow from USD 1.35 billion in 2024 to USD 8.07 billion by 2033 at a CAGR of 21.97% (Straits Research, 2025). Deep learning accounts for 57.67% of AI medical imaging revenue, driven by </w:t>
      </w:r>
      <w:proofErr w:type="gramStart"/>
      <w:r w:rsidRPr="004D42BC">
        <w:t>CNNs'</w:t>
      </w:r>
      <w:proofErr w:type="gramEnd"/>
      <w:r w:rsidRPr="004D42BC">
        <w:t xml:space="preserve"> demonstrated performance in image recognition. Leading health system OEMs — including GE Healthcare, Siemens Healthineers, and Philips — are embedding AI decision support directly into imaging hardware</w:t>
      </w:r>
      <w:r w:rsidR="009A7F7E">
        <w:t xml:space="preserve"> </w:t>
      </w:r>
      <w:r w:rsidRPr="004D42BC">
        <w:t>(Grand View Research, 2025; Coherent Market Insights, 2025).</w:t>
      </w:r>
    </w:p>
    <w:p w14:paraId="6DA744D3" w14:textId="3936BB35" w:rsidR="00F72F75" w:rsidRPr="004D42BC" w:rsidRDefault="00000000" w:rsidP="00DA152F">
      <w:pPr>
        <w:spacing w:line="480" w:lineRule="auto"/>
        <w:ind w:firstLine="720"/>
        <w:jc w:val="both"/>
      </w:pPr>
      <w:r w:rsidRPr="004D42BC">
        <w:t xml:space="preserve">At the software layer, cloud-native vendors such as </w:t>
      </w:r>
      <w:proofErr w:type="spellStart"/>
      <w:r w:rsidRPr="004D42BC">
        <w:t>Aidoc</w:t>
      </w:r>
      <w:proofErr w:type="spellEnd"/>
      <w:r w:rsidRPr="004D42BC">
        <w:t xml:space="preserve">, Viz.ai, and Qure.ai are deploying disease-specific algorithms enabling real-time radiology triage for stroke and </w:t>
      </w:r>
      <w:r w:rsidRPr="004D42BC">
        <w:lastRenderedPageBreak/>
        <w:t>pulmonary embolism. Regulatory maturation — including expanded FDA, CE, and PMDA approvals and Medicare reimbursement pathways for AI-assisted imaging — is accelerating institutional adoption. Nevertheless, clinician trust remains the primary adoption variable: a 2025 JMIR systematic review found that trust in AI-CDSS is directly shaped by perceived explainability and the degree to which AI supports rather than supplants clinical judgment (Tun et al., 2025).</w:t>
      </w:r>
    </w:p>
    <w:p w14:paraId="6A4899EC" w14:textId="03B8C03E" w:rsidR="00F72F75" w:rsidRPr="004D42BC" w:rsidRDefault="00000000" w:rsidP="00DA152F">
      <w:pPr>
        <w:spacing w:line="480" w:lineRule="auto"/>
      </w:pPr>
      <w:r w:rsidRPr="004D42BC">
        <w:rPr>
          <w:b/>
          <w:bCs/>
        </w:rPr>
        <w:t>Opportunities and Threats</w:t>
      </w:r>
    </w:p>
    <w:p w14:paraId="2A6EC94A" w14:textId="44C9D715" w:rsidR="00216BC0" w:rsidRDefault="00000000" w:rsidP="00DA152F">
      <w:pPr>
        <w:spacing w:line="480" w:lineRule="auto"/>
        <w:ind w:firstLine="720"/>
        <w:jc w:val="both"/>
      </w:pPr>
      <w:r w:rsidRPr="004D42BC">
        <w:t xml:space="preserve">AI pattern recognition is demonstrating measurable impact in under-resourced healthcare settings — including AI-assisted diagnosis of tuberculosis, cataracts, and cancers in Tamil Nadu government hospitals and elimination of a 54,000-scan imaging backlog at Gold Coast University Hospital in Australia — signaling high-growth potential in low- and middle-income country markets (Coherent Market Insights, 2025). </w:t>
      </w:r>
      <w:r w:rsidR="00216BC0">
        <w:t xml:space="preserve">In Payment and Operations, </w:t>
      </w:r>
      <w:r w:rsidR="00216BC0" w:rsidRPr="00216BC0">
        <w:t xml:space="preserve">AI-driven anomaly detection in claims processing enables real-time identification of billing irregularities, duplicate submissions, and upcoding patterns before payment is released — shifting the model from costly post-payment recovery to </w:t>
      </w:r>
      <w:r w:rsidR="00216BC0">
        <w:t xml:space="preserve">a prevention-first approach to </w:t>
      </w:r>
      <w:r w:rsidR="00216BC0" w:rsidRPr="00216BC0">
        <w:t>integrity</w:t>
      </w:r>
      <w:r w:rsidR="00216BC0">
        <w:t>.</w:t>
      </w:r>
    </w:p>
    <w:p w14:paraId="6D48B26F" w14:textId="1AB78206" w:rsidR="00F72F75" w:rsidRPr="004D42BC" w:rsidRDefault="00000000" w:rsidP="00DA152F">
      <w:pPr>
        <w:spacing w:line="480" w:lineRule="auto"/>
        <w:ind w:firstLine="720"/>
        <w:jc w:val="both"/>
      </w:pPr>
      <w:r w:rsidRPr="004D42BC">
        <w:t xml:space="preserve">The primary threats are algorithmic bias, data privacy risk, and regulatory fragmentation. </w:t>
      </w:r>
      <w:r w:rsidR="00D8627B" w:rsidRPr="00D8627B">
        <w:t>Anomaly detection models trained on historical claims data inherit the coding and billing biases of the populations they were built on, risking both false positives that generate provider abrasion and false negatives that miss fraud patterns in underrepresented billing categories</w:t>
      </w:r>
      <w:r w:rsidR="00D8627B">
        <w:t xml:space="preserve"> (</w:t>
      </w:r>
      <w:proofErr w:type="spellStart"/>
      <w:r w:rsidR="00D8627B">
        <w:t>Paubox</w:t>
      </w:r>
      <w:proofErr w:type="spellEnd"/>
      <w:r w:rsidR="00D8627B">
        <w:t xml:space="preserve">, 2025; Canadian Institute for Health Information, 2025). </w:t>
      </w:r>
      <w:r w:rsidR="00D8627B" w:rsidRPr="00D8627B">
        <w:t>The opacity of black-box anomaly detection outputs creates auditability risk when AI flags a claim for review or denial without a traceable, explainable rationale, payers face regulatory exposure under evolving transparency mandates</w:t>
      </w:r>
      <w:r w:rsidR="00D8627B">
        <w:t xml:space="preserve"> (</w:t>
      </w:r>
      <w:r w:rsidR="00D8627B" w:rsidRPr="00D8627B">
        <w:t>Oei et al., 2025)</w:t>
      </w:r>
      <w:r w:rsidR="00D8627B">
        <w:t>.</w:t>
      </w:r>
    </w:p>
    <w:p w14:paraId="457C17B1" w14:textId="77777777" w:rsidR="00BD738C" w:rsidRDefault="00BD738C" w:rsidP="00DA152F">
      <w:pPr>
        <w:spacing w:line="480" w:lineRule="auto"/>
        <w:rPr>
          <w:b/>
          <w:bCs/>
        </w:rPr>
      </w:pPr>
    </w:p>
    <w:p w14:paraId="1E35D96B" w14:textId="15C86FF7" w:rsidR="00F72F75" w:rsidRPr="004D42BC" w:rsidRDefault="00000000" w:rsidP="00DA152F">
      <w:pPr>
        <w:spacing w:line="480" w:lineRule="auto"/>
      </w:pPr>
      <w:r w:rsidRPr="004D42BC">
        <w:rPr>
          <w:b/>
          <w:bCs/>
        </w:rPr>
        <w:lastRenderedPageBreak/>
        <w:t>Practical Future Direction for Investment: Cotiviti</w:t>
      </w:r>
    </w:p>
    <w:p w14:paraId="3E5F1760" w14:textId="718A857B" w:rsidR="00F72F75" w:rsidRPr="004D42BC" w:rsidRDefault="00000000" w:rsidP="00DA152F">
      <w:pPr>
        <w:spacing w:line="480" w:lineRule="auto"/>
        <w:ind w:firstLine="720"/>
        <w:jc w:val="both"/>
      </w:pPr>
      <w:r w:rsidRPr="004D42BC">
        <w:t>The targeted investment</w:t>
      </w:r>
      <w:r w:rsidR="00B0783F">
        <w:t xml:space="preserve"> for Cotiviti</w:t>
      </w:r>
      <w:r w:rsidRPr="004D42BC">
        <w:t xml:space="preserve"> is to deploy a generative AI-powered, pre-claim clinical pattern recognition layer built directly on the Edifecs interoperability infrastructure. Concretely, this means investing in LLM-driven models that detect anomalous billing patterns, predict high-risk coding behaviors at the point of provider documentation, and surface explainable, evidence-based guidance before claims enter adjudication — competing directly in the pre-claim market where </w:t>
      </w:r>
      <w:proofErr w:type="spellStart"/>
      <w:r w:rsidRPr="004D42BC">
        <w:t>Codoxo's</w:t>
      </w:r>
      <w:proofErr w:type="spellEnd"/>
      <w:r w:rsidR="00B0783F">
        <w:t xml:space="preserve"> (major competitor)</w:t>
      </w:r>
      <w:r w:rsidRPr="004D42BC">
        <w:t xml:space="preserve"> Point Zero platform has achieved 100% customer retention and </w:t>
      </w:r>
      <w:r w:rsidR="00B0783F">
        <w:t>$</w:t>
      </w:r>
      <w:r w:rsidRPr="004D42BC">
        <w:t>66 P</w:t>
      </w:r>
      <w:r w:rsidR="00B0783F">
        <w:t xml:space="preserve">er Member </w:t>
      </w:r>
      <w:r w:rsidRPr="004D42BC">
        <w:t>P</w:t>
      </w:r>
      <w:r w:rsidR="00B0783F">
        <w:t xml:space="preserve">er </w:t>
      </w:r>
      <w:r w:rsidRPr="004D42BC">
        <w:t>Y</w:t>
      </w:r>
      <w:r w:rsidR="00B0783F">
        <w:t>ear (PMPY)</w:t>
      </w:r>
      <w:r w:rsidRPr="004D42BC">
        <w:t xml:space="preserve"> in savings across 80 million lives (</w:t>
      </w:r>
      <w:proofErr w:type="spellStart"/>
      <w:r w:rsidRPr="004D42BC">
        <w:t>Codoxo</w:t>
      </w:r>
      <w:proofErr w:type="spellEnd"/>
      <w:r w:rsidRPr="004D42BC">
        <w:t xml:space="preserve">, 2026; </w:t>
      </w:r>
      <w:proofErr w:type="spellStart"/>
      <w:r w:rsidRPr="004D42BC">
        <w:t>Helpware</w:t>
      </w:r>
      <w:proofErr w:type="spellEnd"/>
      <w:r w:rsidRPr="004D42BC">
        <w:t xml:space="preserve">, 2026). Cotiviti's structural advantage — a data footprint </w:t>
      </w:r>
      <w:proofErr w:type="spellStart"/>
      <w:r w:rsidRPr="004D42BC">
        <w:t>Codoxo</w:t>
      </w:r>
      <w:proofErr w:type="spellEnd"/>
      <w:r w:rsidRPr="004D42BC">
        <w:t xml:space="preserve"> cannot replicate — makes this the highest-ROI intervention available. The architecture must embed Explainable AI tooling (SHAP, counterfactual explanations) in every provider-facing output to address the documented innovation credibility gap, rebuild clinician trust, and satisfy the transparency mandates of the G7 AI in Health Guidelines (2024) and WHO Ethics and Governance of AI for Health framework. Executing this investment converts Cotiviti's scale from a legacy asset into a generative AI moat.</w:t>
      </w:r>
    </w:p>
    <w:p w14:paraId="61108488" w14:textId="77777777" w:rsidR="00F72F75" w:rsidRPr="004D42BC" w:rsidRDefault="00F72F75" w:rsidP="00DA152F">
      <w:pPr>
        <w:spacing w:line="480" w:lineRule="auto"/>
      </w:pPr>
    </w:p>
    <w:p w14:paraId="5B2E4141" w14:textId="77777777" w:rsidR="00DA152F" w:rsidRDefault="00DA152F" w:rsidP="00DA152F">
      <w:pPr>
        <w:spacing w:line="480" w:lineRule="auto"/>
        <w:jc w:val="center"/>
        <w:rPr>
          <w:b/>
          <w:bCs/>
        </w:rPr>
      </w:pPr>
    </w:p>
    <w:p w14:paraId="0A55A8F2" w14:textId="77777777" w:rsidR="00DA152F" w:rsidRDefault="00DA152F" w:rsidP="00DA152F">
      <w:pPr>
        <w:spacing w:line="480" w:lineRule="auto"/>
        <w:jc w:val="center"/>
        <w:rPr>
          <w:b/>
          <w:bCs/>
        </w:rPr>
      </w:pPr>
    </w:p>
    <w:p w14:paraId="70BEE92E" w14:textId="77777777" w:rsidR="00DA152F" w:rsidRDefault="00DA152F" w:rsidP="00DA152F">
      <w:pPr>
        <w:spacing w:line="480" w:lineRule="auto"/>
        <w:jc w:val="center"/>
        <w:rPr>
          <w:b/>
          <w:bCs/>
        </w:rPr>
      </w:pPr>
    </w:p>
    <w:p w14:paraId="349BC2C9" w14:textId="77777777" w:rsidR="00DA152F" w:rsidRDefault="00DA152F" w:rsidP="00DA152F">
      <w:pPr>
        <w:spacing w:line="480" w:lineRule="auto"/>
        <w:jc w:val="center"/>
        <w:rPr>
          <w:b/>
          <w:bCs/>
        </w:rPr>
      </w:pPr>
    </w:p>
    <w:p w14:paraId="660DC8DC" w14:textId="77777777" w:rsidR="00DA152F" w:rsidRDefault="00DA152F" w:rsidP="00DA152F">
      <w:pPr>
        <w:spacing w:line="480" w:lineRule="auto"/>
        <w:jc w:val="center"/>
        <w:rPr>
          <w:b/>
          <w:bCs/>
        </w:rPr>
      </w:pPr>
    </w:p>
    <w:p w14:paraId="4DB95ABA" w14:textId="77777777" w:rsidR="00DA152F" w:rsidRDefault="00DA152F" w:rsidP="00DA152F">
      <w:pPr>
        <w:spacing w:line="480" w:lineRule="auto"/>
        <w:jc w:val="center"/>
        <w:rPr>
          <w:b/>
          <w:bCs/>
        </w:rPr>
      </w:pPr>
    </w:p>
    <w:p w14:paraId="086B8BEA" w14:textId="77777777" w:rsidR="00DA152F" w:rsidRDefault="00DA152F" w:rsidP="00DA152F">
      <w:pPr>
        <w:spacing w:line="480" w:lineRule="auto"/>
        <w:jc w:val="center"/>
        <w:rPr>
          <w:b/>
          <w:bCs/>
        </w:rPr>
      </w:pPr>
    </w:p>
    <w:p w14:paraId="49FCE28C" w14:textId="28CDD82D" w:rsidR="00F72F75" w:rsidRPr="004D42BC" w:rsidRDefault="00000000" w:rsidP="001C65A0">
      <w:pPr>
        <w:spacing w:line="480" w:lineRule="auto"/>
        <w:jc w:val="center"/>
      </w:pPr>
      <w:r w:rsidRPr="004D42BC">
        <w:rPr>
          <w:b/>
          <w:bCs/>
        </w:rPr>
        <w:lastRenderedPageBreak/>
        <w:t>References</w:t>
      </w:r>
    </w:p>
    <w:p w14:paraId="65736DA3" w14:textId="1EA1FFB6" w:rsidR="00F72F75" w:rsidRPr="004D42BC" w:rsidRDefault="00000000" w:rsidP="00DA152F">
      <w:pPr>
        <w:spacing w:line="480" w:lineRule="auto"/>
        <w:ind w:left="720" w:hanging="720"/>
      </w:pPr>
      <w:r w:rsidRPr="004D42BC">
        <w:t>Ahmed, S., et al. (2026). Artificial intelligence-driven clinical decision support systems for precision oncology: A comprehensive review. Computers in Biology and Medicine. https://doi.org/10.1016/j.compbiomed.2026.100946</w:t>
      </w:r>
    </w:p>
    <w:p w14:paraId="1EC33853" w14:textId="655FB9FF" w:rsidR="00F72F75" w:rsidRDefault="00000000" w:rsidP="00DA152F">
      <w:pPr>
        <w:spacing w:line="480" w:lineRule="auto"/>
        <w:ind w:left="720" w:hanging="720"/>
      </w:pPr>
      <w:r w:rsidRPr="004D42BC">
        <w:t xml:space="preserve">Brankovic, A., Cook, D., Rahman, J., et al. (2025). Clinician-informed XAI evaluation checklist with metrics (CLIX-M) for AI-powered clinical decision support systems. </w:t>
      </w:r>
      <w:proofErr w:type="spellStart"/>
      <w:r w:rsidRPr="004D42BC">
        <w:t>npj</w:t>
      </w:r>
      <w:proofErr w:type="spellEnd"/>
      <w:r w:rsidRPr="004D42BC">
        <w:t xml:space="preserve"> Digital Medicine, 8(1), 364. </w:t>
      </w:r>
      <w:r w:rsidR="00D8627B" w:rsidRPr="00D8627B">
        <w:t>https://doi.org/10.1038/s41746-025-01364-8</w:t>
      </w:r>
    </w:p>
    <w:p w14:paraId="779D205B" w14:textId="44860CAB" w:rsidR="00D8627B" w:rsidRPr="004D42BC" w:rsidRDefault="00D8627B" w:rsidP="00D8627B">
      <w:pPr>
        <w:spacing w:line="480" w:lineRule="auto"/>
        <w:ind w:left="720" w:hanging="720"/>
      </w:pPr>
      <w:r>
        <w:t>Canadian Institute for Health Information. (2025). 2025 watch list: Artificial intelligence in health care. NCBI Bookshelf. https://www.ncbi.nlm.nih.gov/books/NBK613808/</w:t>
      </w:r>
    </w:p>
    <w:p w14:paraId="5E60C144" w14:textId="26FCE957" w:rsidR="00F72F75" w:rsidRPr="004D42BC" w:rsidRDefault="00000000" w:rsidP="00DA152F">
      <w:pPr>
        <w:spacing w:line="480" w:lineRule="auto"/>
        <w:ind w:left="720" w:hanging="720"/>
      </w:pPr>
      <w:proofErr w:type="spellStart"/>
      <w:r w:rsidRPr="004D42BC">
        <w:t>Codoxo</w:t>
      </w:r>
      <w:proofErr w:type="spellEnd"/>
      <w:r w:rsidRPr="004D42BC">
        <w:t xml:space="preserve">. (2026, February 17). </w:t>
      </w:r>
      <w:proofErr w:type="spellStart"/>
      <w:r w:rsidRPr="004D42BC">
        <w:t>Codoxo</w:t>
      </w:r>
      <w:proofErr w:type="spellEnd"/>
      <w:r w:rsidRPr="004D42BC">
        <w:t xml:space="preserve"> caps breakout year with oversubscribed $35M Series C. PR Newswire. https://www.prnewswire.com/news-releases/codoxo-caps-breakout-year-302689012.html</w:t>
      </w:r>
    </w:p>
    <w:p w14:paraId="65CFACE6" w14:textId="4F90709E" w:rsidR="00F72F75" w:rsidRPr="004D42BC" w:rsidRDefault="00000000" w:rsidP="00DA152F">
      <w:pPr>
        <w:spacing w:line="480" w:lineRule="auto"/>
        <w:ind w:left="720" w:hanging="720"/>
      </w:pPr>
      <w:r w:rsidRPr="004D42BC">
        <w:t>Coherent Market Insights. (2025). AI in medical imaging market size, share &amp; industry analysis 2026–2033. https://www.coherentmarketinsights.com/industry-reports/ai-in-medical-imaging-market</w:t>
      </w:r>
    </w:p>
    <w:p w14:paraId="6B28DE66" w14:textId="77777777" w:rsidR="00F72F75" w:rsidRPr="004D42BC" w:rsidRDefault="00000000" w:rsidP="00DA152F">
      <w:pPr>
        <w:spacing w:line="480" w:lineRule="auto"/>
        <w:ind w:left="720" w:hanging="720"/>
      </w:pPr>
      <w:r w:rsidRPr="004D42BC">
        <w:t>Elhaddad, M., &amp; Hamam, S. (2024). AI-driven clinical decision support systems: An ongoing pursuit of potential. Cureus, 16(4), e57728. https://doi.org/10.7759/cureus.57728</w:t>
      </w:r>
    </w:p>
    <w:p w14:paraId="19E8F002" w14:textId="77777777" w:rsidR="00F72F75" w:rsidRPr="004D42BC" w:rsidRDefault="00F72F75" w:rsidP="00DA152F">
      <w:pPr>
        <w:spacing w:line="480" w:lineRule="auto"/>
      </w:pPr>
    </w:p>
    <w:p w14:paraId="415D2479" w14:textId="01C487A5" w:rsidR="00F72F75" w:rsidRPr="004D42BC" w:rsidRDefault="00000000" w:rsidP="00DA152F">
      <w:pPr>
        <w:spacing w:line="480" w:lineRule="auto"/>
        <w:ind w:left="720" w:hanging="720"/>
      </w:pPr>
      <w:r w:rsidRPr="004D42BC">
        <w:t>Grand View Research. (2025). AI in medical imaging market size, share &amp; trends analysis report. https://www.grandviewresearch.com/industry-analysis/artificial-intelligence-medical-imaging-market</w:t>
      </w:r>
    </w:p>
    <w:p w14:paraId="7E97EB78" w14:textId="6B9473EB" w:rsidR="00F72F75" w:rsidRPr="004D42BC" w:rsidRDefault="00000000" w:rsidP="00DA152F">
      <w:pPr>
        <w:spacing w:line="480" w:lineRule="auto"/>
        <w:ind w:left="720" w:hanging="720"/>
      </w:pPr>
      <w:proofErr w:type="spellStart"/>
      <w:r w:rsidRPr="004D42BC">
        <w:t>Helpware</w:t>
      </w:r>
      <w:proofErr w:type="spellEnd"/>
      <w:r w:rsidRPr="004D42BC">
        <w:t>. (2026, June). Healthcare payment integrity companies: Best providers in 2026. https://helpware.com/blog/healthcare-payment-integrity-companies</w:t>
      </w:r>
    </w:p>
    <w:p w14:paraId="7277CA37" w14:textId="392FFA4E" w:rsidR="00F72F75" w:rsidRPr="004D42BC" w:rsidRDefault="00000000" w:rsidP="00DA152F">
      <w:pPr>
        <w:spacing w:line="480" w:lineRule="auto"/>
        <w:ind w:left="720" w:hanging="720"/>
      </w:pPr>
      <w:r w:rsidRPr="004D42BC">
        <w:lastRenderedPageBreak/>
        <w:t xml:space="preserve">Oei, S. P., Bakkes, T. H. G. F., </w:t>
      </w:r>
      <w:proofErr w:type="spellStart"/>
      <w:r w:rsidRPr="004D42BC">
        <w:t>Mischi</w:t>
      </w:r>
      <w:proofErr w:type="spellEnd"/>
      <w:r w:rsidRPr="004D42BC">
        <w:t>, M., et al. (2025). Artificial intelligence in clinical decision support and the prediction of adverse events. Frontiers in Digital Health, 7, 1403047. https://doi.org/10.3389/fdgth.2025.1403047</w:t>
      </w:r>
    </w:p>
    <w:p w14:paraId="1C51FDBA" w14:textId="00A25D87" w:rsidR="00F72F75" w:rsidRPr="004D42BC" w:rsidRDefault="00000000" w:rsidP="00DA152F">
      <w:pPr>
        <w:spacing w:line="480" w:lineRule="auto"/>
        <w:ind w:left="720" w:hanging="720"/>
      </w:pPr>
      <w:r w:rsidRPr="004D42BC">
        <w:t>Straits Research. (2025). Artificial intelligence in diagnostics market size, analysis &amp; growth drivers 2033. https://straitsresearch.com/report/artificial-intelligence-in-diagnostics-market</w:t>
      </w:r>
    </w:p>
    <w:p w14:paraId="07FA10B0" w14:textId="6FEAB9B0" w:rsidR="00F72F75" w:rsidRPr="004D42BC" w:rsidRDefault="00000000" w:rsidP="00DA152F">
      <w:pPr>
        <w:spacing w:line="480" w:lineRule="auto"/>
        <w:ind w:left="720" w:hanging="720"/>
      </w:pPr>
      <w:r w:rsidRPr="004D42BC">
        <w:t>Tun, H. M., Abdul Rahman, H., Naing, L., &amp; Malik, O. A. (2025). Trust in artificial intelligence-based clinical decision support systems among health care workers: Systematic review. Journal of Medical Internet Research, 27, e69678. https://doi.org/10.2196/69678</w:t>
      </w:r>
    </w:p>
    <w:p w14:paraId="1F5EE0DE" w14:textId="77777777" w:rsidR="00F72F75" w:rsidRPr="004D42BC" w:rsidRDefault="00000000" w:rsidP="00DA152F">
      <w:pPr>
        <w:spacing w:line="480" w:lineRule="auto"/>
        <w:ind w:left="720" w:hanging="720"/>
      </w:pPr>
      <w:r w:rsidRPr="004D42BC">
        <w:t>Zahid, U., et al. (2025). Ethical and practical challenges of generative AI in healthcare and proposed solutions: A survey. PMC. https://www.ncbi.nlm.nih.gov/pmc/articles/PMC12665710/</w:t>
      </w:r>
    </w:p>
    <w:p w14:paraId="15E56F94" w14:textId="77777777" w:rsidR="00F72F75" w:rsidRPr="004D42BC" w:rsidRDefault="00F72F75" w:rsidP="00DA152F">
      <w:pPr>
        <w:spacing w:line="480" w:lineRule="auto"/>
      </w:pPr>
    </w:p>
    <w:sectPr w:rsidR="00F72F75" w:rsidRPr="004D42BC" w:rsidSect="004D42B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C8040" w14:textId="77777777" w:rsidR="002B6D6E" w:rsidRDefault="002B6D6E">
      <w:r>
        <w:separator/>
      </w:r>
    </w:p>
  </w:endnote>
  <w:endnote w:type="continuationSeparator" w:id="0">
    <w:p w14:paraId="77A2ACE3" w14:textId="77777777" w:rsidR="002B6D6E" w:rsidRDefault="002B6D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0794" w14:textId="06A5C405" w:rsidR="004D42BC" w:rsidRDefault="004D42BC">
    <w:pPr>
      <w:pStyle w:val="Footer"/>
    </w:pPr>
    <w:r>
      <w:t>Vidhyalakshmi Harikrishnan – University of the Cumberlands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19C39" w14:textId="77777777" w:rsidR="002B6D6E" w:rsidRDefault="002B6D6E">
      <w:r>
        <w:separator/>
      </w:r>
    </w:p>
  </w:footnote>
  <w:footnote w:type="continuationSeparator" w:id="0">
    <w:p w14:paraId="23E7E849" w14:textId="77777777" w:rsidR="002B6D6E" w:rsidRDefault="002B6D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4E30" w14:textId="13D87422" w:rsidR="00F72F75" w:rsidRDefault="00000000" w:rsidP="004D42BC">
    <w:r>
      <w:t>AI IN CLINICAL DECISION-MAKING</w:t>
    </w:r>
    <w:r w:rsidR="004D42BC">
      <w:tab/>
    </w:r>
    <w:r w:rsidR="004D42BC">
      <w:tab/>
    </w:r>
    <w:r w:rsidR="004D42BC">
      <w:tab/>
    </w:r>
    <w:r w:rsidR="004D42BC">
      <w:tab/>
    </w:r>
    <w:r w:rsidR="004D42BC">
      <w:tab/>
      <w:t xml:space="preserve">          </w:t>
    </w:r>
    <w:r w:rsidR="00DA152F">
      <w:t xml:space="preserve">                        </w:t>
    </w:r>
    <w:r>
      <w:fldChar w:fldCharType="begin"/>
    </w:r>
    <w:r>
      <w:instrText>PAGE</w:instrText>
    </w:r>
    <w:r>
      <w:fldChar w:fldCharType="separate"/>
    </w:r>
    <w:r w:rsidR="004D42B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D6827"/>
    <w:multiLevelType w:val="hybridMultilevel"/>
    <w:tmpl w:val="3448100E"/>
    <w:lvl w:ilvl="0" w:tplc="2C2AB822">
      <w:start w:val="1"/>
      <w:numFmt w:val="bullet"/>
      <w:lvlText w:val="●"/>
      <w:lvlJc w:val="left"/>
      <w:pPr>
        <w:ind w:left="720" w:hanging="360"/>
      </w:pPr>
    </w:lvl>
    <w:lvl w:ilvl="1" w:tplc="6C74FAA0">
      <w:start w:val="1"/>
      <w:numFmt w:val="bullet"/>
      <w:lvlText w:val="○"/>
      <w:lvlJc w:val="left"/>
      <w:pPr>
        <w:ind w:left="1440" w:hanging="360"/>
      </w:pPr>
    </w:lvl>
    <w:lvl w:ilvl="2" w:tplc="552E39B4">
      <w:start w:val="1"/>
      <w:numFmt w:val="bullet"/>
      <w:lvlText w:val="■"/>
      <w:lvlJc w:val="left"/>
      <w:pPr>
        <w:ind w:left="2160" w:hanging="360"/>
      </w:pPr>
    </w:lvl>
    <w:lvl w:ilvl="3" w:tplc="12B88B90">
      <w:start w:val="1"/>
      <w:numFmt w:val="bullet"/>
      <w:lvlText w:val="●"/>
      <w:lvlJc w:val="left"/>
      <w:pPr>
        <w:ind w:left="2880" w:hanging="360"/>
      </w:pPr>
    </w:lvl>
    <w:lvl w:ilvl="4" w:tplc="82F0C988">
      <w:start w:val="1"/>
      <w:numFmt w:val="bullet"/>
      <w:lvlText w:val="○"/>
      <w:lvlJc w:val="left"/>
      <w:pPr>
        <w:ind w:left="3600" w:hanging="360"/>
      </w:pPr>
    </w:lvl>
    <w:lvl w:ilvl="5" w:tplc="24A0507A">
      <w:start w:val="1"/>
      <w:numFmt w:val="bullet"/>
      <w:lvlText w:val="■"/>
      <w:lvlJc w:val="left"/>
      <w:pPr>
        <w:ind w:left="4320" w:hanging="360"/>
      </w:pPr>
    </w:lvl>
    <w:lvl w:ilvl="6" w:tplc="D6FAD404">
      <w:start w:val="1"/>
      <w:numFmt w:val="bullet"/>
      <w:lvlText w:val="●"/>
      <w:lvlJc w:val="left"/>
      <w:pPr>
        <w:ind w:left="5040" w:hanging="360"/>
      </w:pPr>
    </w:lvl>
    <w:lvl w:ilvl="7" w:tplc="37AE7F84">
      <w:start w:val="1"/>
      <w:numFmt w:val="bullet"/>
      <w:lvlText w:val="●"/>
      <w:lvlJc w:val="left"/>
      <w:pPr>
        <w:ind w:left="5760" w:hanging="360"/>
      </w:pPr>
    </w:lvl>
    <w:lvl w:ilvl="8" w:tplc="6804E806">
      <w:start w:val="1"/>
      <w:numFmt w:val="bullet"/>
      <w:lvlText w:val="●"/>
      <w:lvlJc w:val="left"/>
      <w:pPr>
        <w:ind w:left="6480" w:hanging="360"/>
      </w:pPr>
    </w:lvl>
  </w:abstractNum>
  <w:num w:numId="1" w16cid:durableId="568925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F75"/>
    <w:rsid w:val="00026DB9"/>
    <w:rsid w:val="001C65A0"/>
    <w:rsid w:val="00216BC0"/>
    <w:rsid w:val="002B6D6E"/>
    <w:rsid w:val="004D42BC"/>
    <w:rsid w:val="005620AB"/>
    <w:rsid w:val="005E17DF"/>
    <w:rsid w:val="00836C22"/>
    <w:rsid w:val="008452CD"/>
    <w:rsid w:val="009A7F7E"/>
    <w:rsid w:val="00AA04DA"/>
    <w:rsid w:val="00AD14FF"/>
    <w:rsid w:val="00AE0BB4"/>
    <w:rsid w:val="00B0783F"/>
    <w:rsid w:val="00BD738C"/>
    <w:rsid w:val="00D8627B"/>
    <w:rsid w:val="00DA152F"/>
    <w:rsid w:val="00E4099F"/>
    <w:rsid w:val="00EC056E"/>
    <w:rsid w:val="00EC4CF3"/>
    <w:rsid w:val="00F72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DAE23"/>
  <w15:docId w15:val="{0732FD75-A235-4BF0-93CA-41B9C84C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42BC"/>
    <w:pPr>
      <w:tabs>
        <w:tab w:val="center" w:pos="4680"/>
        <w:tab w:val="right" w:pos="9360"/>
      </w:tabs>
    </w:pPr>
  </w:style>
  <w:style w:type="character" w:customStyle="1" w:styleId="HeaderChar">
    <w:name w:val="Header Char"/>
    <w:basedOn w:val="DefaultParagraphFont"/>
    <w:link w:val="Header"/>
    <w:uiPriority w:val="99"/>
    <w:rsid w:val="004D42BC"/>
  </w:style>
  <w:style w:type="paragraph" w:styleId="Footer">
    <w:name w:val="footer"/>
    <w:basedOn w:val="Normal"/>
    <w:link w:val="FooterChar"/>
    <w:uiPriority w:val="99"/>
    <w:unhideWhenUsed/>
    <w:rsid w:val="004D42BC"/>
    <w:pPr>
      <w:tabs>
        <w:tab w:val="center" w:pos="4680"/>
        <w:tab w:val="right" w:pos="9360"/>
      </w:tabs>
    </w:pPr>
  </w:style>
  <w:style w:type="character" w:customStyle="1" w:styleId="FooterChar">
    <w:name w:val="Footer Char"/>
    <w:basedOn w:val="DefaultParagraphFont"/>
    <w:link w:val="Footer"/>
    <w:uiPriority w:val="99"/>
    <w:rsid w:val="004D42BC"/>
  </w:style>
  <w:style w:type="character" w:styleId="UnresolvedMention">
    <w:name w:val="Unresolved Mention"/>
    <w:basedOn w:val="DefaultParagraphFont"/>
    <w:uiPriority w:val="99"/>
    <w:semiHidden/>
    <w:unhideWhenUsed/>
    <w:rsid w:val="00D862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1344</TotalTime>
  <Pages>6</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Vidhya Harikrishnan</cp:lastModifiedBy>
  <cp:revision>13</cp:revision>
  <dcterms:created xsi:type="dcterms:W3CDTF">2026-06-26T11:15:00Z</dcterms:created>
  <dcterms:modified xsi:type="dcterms:W3CDTF">2026-06-27T13:01:00Z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51fdb0d3-5889-4cb8-8e51-8359244dc72b</vt:lpwstr>
  </property>
</Properties>
</file>