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27FADE" w14:textId="3967A445" w:rsidR="001F5480" w:rsidRPr="00431A6A" w:rsidRDefault="00431A6A" w:rsidP="00431A6A">
      <w:pPr>
        <w:rPr>
          <w:rFonts w:ascii="Arial" w:hAnsi="Arial" w:cs="Arial"/>
          <w:b/>
          <w:bCs/>
          <w:sz w:val="40"/>
          <w:szCs w:val="40"/>
        </w:rPr>
      </w:pPr>
      <w:r w:rsidRPr="00431A6A">
        <w:rPr>
          <w:rFonts w:ascii="Arial" w:hAnsi="Arial" w:cs="Arial"/>
          <w:b/>
          <w:bCs/>
          <w:sz w:val="40"/>
          <w:szCs w:val="40"/>
        </w:rPr>
        <w:t xml:space="preserve">CHAPTER 4 </w:t>
      </w:r>
    </w:p>
    <w:p w14:paraId="52671589" w14:textId="4CDEDABE" w:rsidR="00431A6A" w:rsidRPr="00535AA9" w:rsidRDefault="004E3AD9" w:rsidP="00431A6A">
      <w:pPr>
        <w:rPr>
          <w:rFonts w:ascii="Arial" w:hAnsi="Arial" w:cs="Arial"/>
          <w:b/>
          <w:bCs/>
          <w:sz w:val="28"/>
          <w:szCs w:val="28"/>
        </w:rPr>
      </w:pPr>
      <w:r>
        <w:rPr>
          <w:rFonts w:ascii="Arial" w:hAnsi="Arial" w:cs="Arial"/>
          <w:b/>
          <w:bCs/>
          <w:sz w:val="28"/>
          <w:szCs w:val="28"/>
        </w:rPr>
        <w:t>How can citizens and the government w</w:t>
      </w:r>
      <w:r w:rsidR="00431A6A" w:rsidRPr="00535AA9">
        <w:rPr>
          <w:rFonts w:ascii="Arial" w:hAnsi="Arial" w:cs="Arial"/>
          <w:b/>
          <w:bCs/>
          <w:sz w:val="28"/>
          <w:szCs w:val="28"/>
        </w:rPr>
        <w:t>ork together for the good of society</w:t>
      </w:r>
      <w:r>
        <w:rPr>
          <w:rFonts w:ascii="Arial" w:hAnsi="Arial" w:cs="Arial"/>
          <w:b/>
          <w:bCs/>
          <w:sz w:val="28"/>
          <w:szCs w:val="28"/>
        </w:rPr>
        <w:t>?</w:t>
      </w:r>
    </w:p>
    <w:p w14:paraId="2C8C1961" w14:textId="77777777" w:rsidR="00535AA9" w:rsidRPr="00535AA9" w:rsidRDefault="00535AA9" w:rsidP="00431A6A">
      <w:pPr>
        <w:rPr>
          <w:rFonts w:ascii="Arial" w:hAnsi="Arial" w:cs="Arial"/>
          <w:b/>
          <w:bCs/>
        </w:rPr>
      </w:pPr>
    </w:p>
    <w:tbl>
      <w:tblPr>
        <w:tblStyle w:val="TableGrid"/>
        <w:tblW w:w="0" w:type="auto"/>
        <w:tblLook w:val="04A0" w:firstRow="1" w:lastRow="0" w:firstColumn="1" w:lastColumn="0" w:noHBand="0" w:noVBand="1"/>
      </w:tblPr>
      <w:tblGrid>
        <w:gridCol w:w="9016"/>
      </w:tblGrid>
      <w:tr w:rsidR="00535AA9" w:rsidRPr="00535AA9" w14:paraId="1CBFD8A4" w14:textId="77777777" w:rsidTr="00535AA9">
        <w:tc>
          <w:tcPr>
            <w:tcW w:w="9016" w:type="dxa"/>
            <w:shd w:val="clear" w:color="auto" w:fill="D9D9D9" w:themeFill="background1" w:themeFillShade="D9"/>
          </w:tcPr>
          <w:p w14:paraId="04827B46" w14:textId="701E6BC4" w:rsidR="00535AA9" w:rsidRPr="00535AA9" w:rsidRDefault="00535AA9" w:rsidP="00431A6A">
            <w:pPr>
              <w:rPr>
                <w:rFonts w:ascii="Arial" w:hAnsi="Arial" w:cs="Arial"/>
                <w:b/>
                <w:bCs/>
              </w:rPr>
            </w:pPr>
            <w:r w:rsidRPr="00535AA9">
              <w:rPr>
                <w:rFonts w:ascii="Arial" w:hAnsi="Arial" w:cs="Arial"/>
                <w:b/>
                <w:bCs/>
                <w:sz w:val="28"/>
                <w:szCs w:val="28"/>
              </w:rPr>
              <w:t>ADDRESSING THE NEEDS OF SOCIETY</w:t>
            </w:r>
          </w:p>
        </w:tc>
      </w:tr>
    </w:tbl>
    <w:p w14:paraId="5747F19F" w14:textId="22AD29E3" w:rsidR="00431A6A" w:rsidRPr="00F91E9F" w:rsidRDefault="00431A6A" w:rsidP="00F91E9F">
      <w:pPr>
        <w:jc w:val="both"/>
        <w:rPr>
          <w:rFonts w:ascii="Arial" w:hAnsi="Arial" w:cs="Arial"/>
          <w:b/>
          <w:bCs/>
          <w:sz w:val="24"/>
          <w:szCs w:val="24"/>
        </w:rPr>
      </w:pPr>
    </w:p>
    <w:p w14:paraId="67DB7AA5" w14:textId="2F11ECD9" w:rsidR="00F91E9F" w:rsidRPr="00F91E9F" w:rsidRDefault="00F91E9F" w:rsidP="008226EB">
      <w:pPr>
        <w:pStyle w:val="ListParagraph"/>
        <w:numPr>
          <w:ilvl w:val="0"/>
          <w:numId w:val="7"/>
        </w:numPr>
        <w:spacing w:line="360" w:lineRule="auto"/>
        <w:jc w:val="both"/>
        <w:rPr>
          <w:rFonts w:ascii="Arial" w:hAnsi="Arial" w:cs="Arial"/>
          <w:sz w:val="24"/>
          <w:szCs w:val="24"/>
        </w:rPr>
      </w:pPr>
      <w:r w:rsidRPr="00F91E9F">
        <w:rPr>
          <w:rFonts w:ascii="Arial" w:hAnsi="Arial" w:cs="Arial"/>
          <w:b/>
          <w:bCs/>
          <w:sz w:val="24"/>
          <w:szCs w:val="24"/>
        </w:rPr>
        <w:t>Individuals</w:t>
      </w:r>
      <w:r w:rsidRPr="00F91E9F">
        <w:rPr>
          <w:rFonts w:ascii="Arial" w:hAnsi="Arial" w:cs="Arial"/>
          <w:sz w:val="24"/>
          <w:szCs w:val="24"/>
        </w:rPr>
        <w:t xml:space="preserve"> can positively impact society by volunteering in areas they're passionate about, using their skills and knowledge to help others. For instance, one could entertain or teach skills to the elderly in nursing homes. </w:t>
      </w:r>
    </w:p>
    <w:p w14:paraId="69FD0061" w14:textId="5DB8138D" w:rsidR="00F91E9F" w:rsidRPr="00F91E9F" w:rsidRDefault="008226EB" w:rsidP="008226EB">
      <w:pPr>
        <w:pStyle w:val="ListParagraph"/>
        <w:numPr>
          <w:ilvl w:val="0"/>
          <w:numId w:val="7"/>
        </w:numPr>
        <w:spacing w:line="360" w:lineRule="auto"/>
        <w:jc w:val="both"/>
        <w:rPr>
          <w:rFonts w:ascii="Arial" w:hAnsi="Arial" w:cs="Arial"/>
          <w:sz w:val="24"/>
          <w:szCs w:val="24"/>
        </w:rPr>
      </w:pPr>
      <w:r>
        <w:rPr>
          <w:noProof/>
        </w:rPr>
        <w:drawing>
          <wp:anchor distT="0" distB="0" distL="114300" distR="114300" simplePos="0" relativeHeight="251658240" behindDoc="1" locked="0" layoutInCell="1" allowOverlap="1" wp14:anchorId="36F62BA3" wp14:editId="12D167BB">
            <wp:simplePos x="0" y="0"/>
            <wp:positionH relativeFrom="margin">
              <wp:posOffset>3843020</wp:posOffset>
            </wp:positionH>
            <wp:positionV relativeFrom="paragraph">
              <wp:posOffset>87630</wp:posOffset>
            </wp:positionV>
            <wp:extent cx="1820545" cy="1172845"/>
            <wp:effectExtent l="76200" t="76200" r="141605" b="141605"/>
            <wp:wrapTight wrapText="bothSides">
              <wp:wrapPolygon edited="0">
                <wp:start x="-452" y="-1403"/>
                <wp:lineTo x="-904" y="-1053"/>
                <wp:lineTo x="-904" y="22454"/>
                <wp:lineTo x="-452" y="23857"/>
                <wp:lineTo x="22602" y="23857"/>
                <wp:lineTo x="23054" y="21752"/>
                <wp:lineTo x="23054" y="4561"/>
                <wp:lineTo x="22602" y="-702"/>
                <wp:lineTo x="22602" y="-1403"/>
                <wp:lineTo x="-452" y="-1403"/>
              </wp:wrapPolygon>
            </wp:wrapTight>
            <wp:docPr id="516407710" name="Picture 1" descr="A blue and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407710" name="Picture 1" descr="A blue and yellow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0545" cy="11728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F91E9F" w:rsidRPr="00F91E9F">
        <w:rPr>
          <w:rFonts w:ascii="Arial" w:hAnsi="Arial" w:cs="Arial"/>
          <w:sz w:val="24"/>
          <w:szCs w:val="24"/>
        </w:rPr>
        <w:t xml:space="preserve">Citizens can also form or </w:t>
      </w:r>
      <w:r w:rsidR="00F91E9F" w:rsidRPr="00F91E9F">
        <w:rPr>
          <w:rFonts w:ascii="Arial" w:hAnsi="Arial" w:cs="Arial"/>
          <w:b/>
          <w:bCs/>
          <w:sz w:val="24"/>
          <w:szCs w:val="24"/>
        </w:rPr>
        <w:t>join community groups</w:t>
      </w:r>
      <w:r w:rsidR="00F91E9F" w:rsidRPr="00F91E9F">
        <w:rPr>
          <w:rFonts w:ascii="Arial" w:hAnsi="Arial" w:cs="Arial"/>
          <w:sz w:val="24"/>
          <w:szCs w:val="24"/>
        </w:rPr>
        <w:t xml:space="preserve"> like RSVP, a social service agency, where they can engage in volunteerism, especially beneficial for senior citizens. </w:t>
      </w:r>
    </w:p>
    <w:p w14:paraId="2A046D6B" w14:textId="577E535D" w:rsidR="00F91E9F" w:rsidRPr="00F91E9F" w:rsidRDefault="00C33DD1" w:rsidP="008226EB">
      <w:pPr>
        <w:pStyle w:val="ListParagraph"/>
        <w:numPr>
          <w:ilvl w:val="0"/>
          <w:numId w:val="7"/>
        </w:numPr>
        <w:spacing w:line="360" w:lineRule="auto"/>
        <w:jc w:val="both"/>
        <w:rPr>
          <w:rFonts w:ascii="Arial" w:hAnsi="Arial" w:cs="Arial"/>
          <w:sz w:val="24"/>
          <w:szCs w:val="24"/>
        </w:rPr>
      </w:pPr>
      <w:r>
        <w:rPr>
          <w:noProof/>
        </w:rPr>
        <w:drawing>
          <wp:anchor distT="0" distB="0" distL="114300" distR="114300" simplePos="0" relativeHeight="251659264" behindDoc="1" locked="0" layoutInCell="1" allowOverlap="1" wp14:anchorId="0D562719" wp14:editId="38B8B3B0">
            <wp:simplePos x="0" y="0"/>
            <wp:positionH relativeFrom="column">
              <wp:posOffset>3862070</wp:posOffset>
            </wp:positionH>
            <wp:positionV relativeFrom="paragraph">
              <wp:posOffset>578485</wp:posOffset>
            </wp:positionV>
            <wp:extent cx="1796415" cy="1347470"/>
            <wp:effectExtent l="76200" t="76200" r="127635" b="138430"/>
            <wp:wrapTight wrapText="bothSides">
              <wp:wrapPolygon edited="0">
                <wp:start x="-458" y="-1221"/>
                <wp:lineTo x="-916" y="-916"/>
                <wp:lineTo x="-916" y="22292"/>
                <wp:lineTo x="-458" y="23514"/>
                <wp:lineTo x="22448" y="23514"/>
                <wp:lineTo x="22906" y="18933"/>
                <wp:lineTo x="22906" y="3970"/>
                <wp:lineTo x="22448" y="-611"/>
                <wp:lineTo x="22448" y="-1221"/>
                <wp:lineTo x="-458" y="-1221"/>
              </wp:wrapPolygon>
            </wp:wrapTight>
            <wp:docPr id="89582337" name="Picture 2" descr="Home - RSVP Singapore The Organisation of Senior Volunte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RSVP Singapore The Organisation of Senior Volunteer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6415" cy="1347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F91E9F" w:rsidRPr="00F91E9F">
        <w:rPr>
          <w:rFonts w:ascii="Arial" w:hAnsi="Arial" w:cs="Arial"/>
          <w:sz w:val="24"/>
          <w:szCs w:val="24"/>
        </w:rPr>
        <w:t xml:space="preserve">Such community groups can utilize their collective skills, experiences, and government-provided resources to address societal needs, like caring for the disabled, sick, or elderly. </w:t>
      </w:r>
    </w:p>
    <w:p w14:paraId="06E67618" w14:textId="0D847898" w:rsidR="00F91E9F" w:rsidRDefault="00F91E9F" w:rsidP="008226EB">
      <w:pPr>
        <w:pStyle w:val="ListParagraph"/>
        <w:numPr>
          <w:ilvl w:val="0"/>
          <w:numId w:val="7"/>
        </w:numPr>
        <w:spacing w:line="360" w:lineRule="auto"/>
        <w:jc w:val="both"/>
        <w:rPr>
          <w:rFonts w:ascii="Arial" w:hAnsi="Arial" w:cs="Arial"/>
          <w:sz w:val="24"/>
          <w:szCs w:val="24"/>
        </w:rPr>
      </w:pPr>
      <w:r w:rsidRPr="00F91E9F">
        <w:rPr>
          <w:rFonts w:ascii="Arial" w:hAnsi="Arial" w:cs="Arial"/>
          <w:b/>
          <w:bCs/>
          <w:sz w:val="24"/>
          <w:szCs w:val="24"/>
        </w:rPr>
        <w:t>Government agencies</w:t>
      </w:r>
      <w:r w:rsidRPr="00F91E9F">
        <w:rPr>
          <w:rFonts w:ascii="Arial" w:hAnsi="Arial" w:cs="Arial"/>
          <w:sz w:val="24"/>
          <w:szCs w:val="24"/>
        </w:rPr>
        <w:t xml:space="preserve"> collaborate with these community groups to enhance their capacities. An example is the National Council of Social Service (NCSS) developing tools like the Volunteer Management Toolkit 2.0, which provides a framework for effective volunteer management</w:t>
      </w:r>
      <w:r>
        <w:rPr>
          <w:rFonts w:ascii="Arial" w:hAnsi="Arial" w:cs="Arial"/>
          <w:sz w:val="24"/>
          <w:szCs w:val="24"/>
        </w:rPr>
        <w:t xml:space="preserve"> for the community groups</w:t>
      </w:r>
      <w:r w:rsidRPr="00F91E9F">
        <w:rPr>
          <w:rFonts w:ascii="Arial" w:hAnsi="Arial" w:cs="Arial"/>
          <w:sz w:val="24"/>
          <w:szCs w:val="24"/>
        </w:rPr>
        <w:t xml:space="preserve">. </w:t>
      </w:r>
    </w:p>
    <w:p w14:paraId="3045055B" w14:textId="36B4514B" w:rsidR="00F91E9F" w:rsidRPr="00F91E9F" w:rsidRDefault="003E7802" w:rsidP="008226EB">
      <w:pPr>
        <w:pStyle w:val="ListParagraph"/>
        <w:numPr>
          <w:ilvl w:val="0"/>
          <w:numId w:val="7"/>
        </w:numPr>
        <w:spacing w:line="360" w:lineRule="auto"/>
        <w:jc w:val="both"/>
        <w:rPr>
          <w:rFonts w:ascii="Arial" w:hAnsi="Arial" w:cs="Arial"/>
          <w:sz w:val="24"/>
          <w:szCs w:val="24"/>
        </w:rPr>
      </w:pPr>
      <w:r>
        <w:rPr>
          <w:noProof/>
        </w:rPr>
        <w:drawing>
          <wp:anchor distT="0" distB="0" distL="114300" distR="114300" simplePos="0" relativeHeight="251660288" behindDoc="1" locked="0" layoutInCell="1" allowOverlap="1" wp14:anchorId="32009C64" wp14:editId="6756D149">
            <wp:simplePos x="0" y="0"/>
            <wp:positionH relativeFrom="margin">
              <wp:align>right</wp:align>
            </wp:positionH>
            <wp:positionV relativeFrom="paragraph">
              <wp:posOffset>78105</wp:posOffset>
            </wp:positionV>
            <wp:extent cx="1334135" cy="1334135"/>
            <wp:effectExtent l="76200" t="76200" r="132715" b="132715"/>
            <wp:wrapTight wrapText="bothSides">
              <wp:wrapPolygon edited="0">
                <wp:start x="-617" y="-1234"/>
                <wp:lineTo x="-1234" y="-925"/>
                <wp:lineTo x="-1234" y="22207"/>
                <wp:lineTo x="-617" y="23440"/>
                <wp:lineTo x="22823" y="23440"/>
                <wp:lineTo x="23440" y="19122"/>
                <wp:lineTo x="23440" y="4010"/>
                <wp:lineTo x="22823" y="-617"/>
                <wp:lineTo x="22823" y="-1234"/>
                <wp:lineTo x="-617" y="-1234"/>
              </wp:wrapPolygon>
            </wp:wrapTight>
            <wp:docPr id="1182559466" name="Picture 3"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photo description availab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34135" cy="13341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F91E9F" w:rsidRPr="00F91E9F">
        <w:rPr>
          <w:rFonts w:ascii="Arial" w:hAnsi="Arial" w:cs="Arial"/>
          <w:b/>
          <w:bCs/>
          <w:sz w:val="24"/>
          <w:szCs w:val="24"/>
        </w:rPr>
        <w:t>The government</w:t>
      </w:r>
      <w:r w:rsidR="00F91E9F" w:rsidRPr="00F91E9F">
        <w:rPr>
          <w:rFonts w:ascii="Arial" w:hAnsi="Arial" w:cs="Arial"/>
          <w:sz w:val="24"/>
          <w:szCs w:val="24"/>
        </w:rPr>
        <w:t xml:space="preserve"> sets up structures, policies and national programmes in a targeted manner, creating opportunities for the community to show care to those around them. </w:t>
      </w:r>
    </w:p>
    <w:p w14:paraId="634E1197" w14:textId="40F08EA9" w:rsidR="00F91E9F" w:rsidRDefault="00F91E9F" w:rsidP="008226EB">
      <w:pPr>
        <w:pStyle w:val="ListParagraph"/>
        <w:numPr>
          <w:ilvl w:val="1"/>
          <w:numId w:val="7"/>
        </w:numPr>
        <w:spacing w:line="360" w:lineRule="auto"/>
        <w:jc w:val="both"/>
        <w:rPr>
          <w:rFonts w:ascii="Arial" w:hAnsi="Arial" w:cs="Arial"/>
          <w:sz w:val="24"/>
          <w:szCs w:val="24"/>
        </w:rPr>
      </w:pPr>
      <w:r w:rsidRPr="00F91E9F">
        <w:rPr>
          <w:rFonts w:ascii="Arial" w:hAnsi="Arial" w:cs="Arial"/>
          <w:sz w:val="24"/>
          <w:szCs w:val="24"/>
        </w:rPr>
        <w:t xml:space="preserve">E.g., the mobile app – </w:t>
      </w:r>
      <w:proofErr w:type="spellStart"/>
      <w:r w:rsidRPr="00F91E9F">
        <w:rPr>
          <w:rFonts w:ascii="Arial" w:hAnsi="Arial" w:cs="Arial"/>
          <w:sz w:val="24"/>
          <w:szCs w:val="24"/>
        </w:rPr>
        <w:t>SGC</w:t>
      </w:r>
      <w:r>
        <w:rPr>
          <w:rFonts w:ascii="Arial" w:hAnsi="Arial" w:cs="Arial"/>
          <w:sz w:val="24"/>
          <w:szCs w:val="24"/>
        </w:rPr>
        <w:t>are</w:t>
      </w:r>
      <w:proofErr w:type="spellEnd"/>
      <w:r w:rsidRPr="00F91E9F">
        <w:rPr>
          <w:rFonts w:ascii="Arial" w:hAnsi="Arial" w:cs="Arial"/>
          <w:sz w:val="24"/>
          <w:szCs w:val="24"/>
        </w:rPr>
        <w:t xml:space="preserve"> connects volunteers with volunteering opportunities and charity organisations so that citizens can contribute to those who need support. </w:t>
      </w:r>
    </w:p>
    <w:p w14:paraId="2EF79F3E" w14:textId="026B3721" w:rsidR="00F91E9F" w:rsidRPr="00F91E9F" w:rsidRDefault="00F91E9F" w:rsidP="008226EB">
      <w:pPr>
        <w:pStyle w:val="ListParagraph"/>
        <w:numPr>
          <w:ilvl w:val="1"/>
          <w:numId w:val="7"/>
        </w:numPr>
        <w:spacing w:line="360" w:lineRule="auto"/>
        <w:jc w:val="both"/>
        <w:rPr>
          <w:rFonts w:ascii="Arial" w:hAnsi="Arial" w:cs="Arial"/>
          <w:sz w:val="24"/>
          <w:szCs w:val="24"/>
        </w:rPr>
      </w:pPr>
      <w:r>
        <w:rPr>
          <w:rFonts w:ascii="Arial" w:hAnsi="Arial" w:cs="Arial"/>
          <w:sz w:val="24"/>
          <w:szCs w:val="24"/>
        </w:rPr>
        <w:t xml:space="preserve">This app can be used by individuals and community groups to address the needs of those who need it. </w:t>
      </w:r>
    </w:p>
    <w:p w14:paraId="3FB7E2CF" w14:textId="2FA7AF6A" w:rsidR="00535AA9" w:rsidRPr="00D603A9" w:rsidRDefault="00F91E9F" w:rsidP="008226EB">
      <w:pPr>
        <w:pStyle w:val="ListParagraph"/>
        <w:numPr>
          <w:ilvl w:val="0"/>
          <w:numId w:val="7"/>
        </w:numPr>
        <w:spacing w:line="360" w:lineRule="auto"/>
        <w:jc w:val="both"/>
        <w:rPr>
          <w:rFonts w:ascii="Arial" w:hAnsi="Arial" w:cs="Arial"/>
          <w:b/>
          <w:bCs/>
          <w:sz w:val="24"/>
          <w:szCs w:val="24"/>
        </w:rPr>
      </w:pPr>
      <w:r w:rsidRPr="00D603A9">
        <w:rPr>
          <w:rFonts w:ascii="Arial" w:hAnsi="Arial" w:cs="Arial"/>
          <w:b/>
          <w:bCs/>
          <w:sz w:val="24"/>
          <w:szCs w:val="24"/>
        </w:rPr>
        <w:lastRenderedPageBreak/>
        <w:t xml:space="preserve">The combined efforts of individuals, communities, and the government result in an efficient, unified approach towards addressing the needs of society, enhancing overall societal </w:t>
      </w:r>
      <w:r w:rsidR="00047CC8" w:rsidRPr="00D603A9">
        <w:rPr>
          <w:rFonts w:ascii="Arial" w:hAnsi="Arial" w:cs="Arial"/>
          <w:b/>
          <w:bCs/>
          <w:sz w:val="24"/>
          <w:szCs w:val="24"/>
        </w:rPr>
        <w:t>welfare,</w:t>
      </w:r>
      <w:r w:rsidRPr="00D603A9">
        <w:rPr>
          <w:rFonts w:ascii="Arial" w:hAnsi="Arial" w:cs="Arial"/>
          <w:b/>
          <w:bCs/>
          <w:sz w:val="24"/>
          <w:szCs w:val="24"/>
        </w:rPr>
        <w:t xml:space="preserve"> and creating a stronger, more resilient community.</w:t>
      </w:r>
      <w:r w:rsidR="00535AA9" w:rsidRPr="00D603A9">
        <w:rPr>
          <w:rFonts w:ascii="Arial" w:hAnsi="Arial" w:cs="Arial"/>
          <w:b/>
          <w:bCs/>
          <w:sz w:val="24"/>
          <w:szCs w:val="24"/>
        </w:rPr>
        <w:t xml:space="preserve"> </w:t>
      </w:r>
    </w:p>
    <w:tbl>
      <w:tblPr>
        <w:tblStyle w:val="TableGrid"/>
        <w:tblW w:w="0" w:type="auto"/>
        <w:tblLook w:val="04A0" w:firstRow="1" w:lastRow="0" w:firstColumn="1" w:lastColumn="0" w:noHBand="0" w:noVBand="1"/>
      </w:tblPr>
      <w:tblGrid>
        <w:gridCol w:w="9016"/>
      </w:tblGrid>
      <w:tr w:rsidR="00536516" w:rsidRPr="00535AA9" w14:paraId="111B6FFC" w14:textId="77777777" w:rsidTr="00183D2A">
        <w:tc>
          <w:tcPr>
            <w:tcW w:w="9016" w:type="dxa"/>
            <w:shd w:val="clear" w:color="auto" w:fill="D9D9D9" w:themeFill="background1" w:themeFillShade="D9"/>
          </w:tcPr>
          <w:p w14:paraId="0222EE45" w14:textId="1A024396" w:rsidR="00536516" w:rsidRPr="00535AA9" w:rsidRDefault="000F02C2" w:rsidP="00183D2A">
            <w:pPr>
              <w:rPr>
                <w:rFonts w:ascii="Arial" w:hAnsi="Arial" w:cs="Arial"/>
                <w:b/>
                <w:bCs/>
              </w:rPr>
            </w:pPr>
            <w:r w:rsidRPr="000F02C2">
              <w:rPr>
                <w:rFonts w:ascii="Arial" w:hAnsi="Arial" w:cs="Arial"/>
                <w:b/>
                <w:bCs/>
                <w:sz w:val="28"/>
                <w:szCs w:val="28"/>
              </w:rPr>
              <w:t>INFLUENCING DECISION MAKING IN PUBLIC AFFAIRS</w:t>
            </w:r>
          </w:p>
        </w:tc>
      </w:tr>
    </w:tbl>
    <w:p w14:paraId="53BCB1A0" w14:textId="3018CD06" w:rsidR="00D36993" w:rsidRDefault="00D36993" w:rsidP="00431A6A"/>
    <w:p w14:paraId="3285542B" w14:textId="2995066D" w:rsidR="00DE7864" w:rsidRDefault="00DE7864" w:rsidP="00DE7864">
      <w:pPr>
        <w:pStyle w:val="ListParagraph"/>
        <w:spacing w:line="276" w:lineRule="auto"/>
        <w:jc w:val="both"/>
        <w:rPr>
          <w:rFonts w:ascii="Arial" w:hAnsi="Arial" w:cs="Arial"/>
          <w:sz w:val="24"/>
          <w:szCs w:val="32"/>
        </w:rPr>
      </w:pPr>
    </w:p>
    <w:p w14:paraId="61EB0369" w14:textId="3AD9FB40" w:rsidR="00E4260C" w:rsidRPr="00E4260C" w:rsidRDefault="00E4260C" w:rsidP="008226EB">
      <w:pPr>
        <w:pStyle w:val="ListParagraph"/>
        <w:numPr>
          <w:ilvl w:val="0"/>
          <w:numId w:val="10"/>
        </w:numPr>
        <w:spacing w:line="360" w:lineRule="auto"/>
        <w:jc w:val="both"/>
        <w:rPr>
          <w:rFonts w:ascii="Arial" w:hAnsi="Arial" w:cs="Arial"/>
          <w:sz w:val="24"/>
          <w:szCs w:val="32"/>
        </w:rPr>
      </w:pPr>
      <w:r w:rsidRPr="00E4260C">
        <w:rPr>
          <w:rFonts w:ascii="Arial" w:hAnsi="Arial" w:cs="Arial"/>
          <w:sz w:val="24"/>
          <w:szCs w:val="32"/>
        </w:rPr>
        <w:t>Solving societal problems requires sound decisions, which can be made by the collaborative efforts of citizens and the government through platforms such as REACH and the Citizen’s Jury.</w:t>
      </w:r>
    </w:p>
    <w:p w14:paraId="0FEEBD2C" w14:textId="2B6D5DED" w:rsidR="00E4260C" w:rsidRPr="00E4260C" w:rsidRDefault="00E4260C" w:rsidP="008226EB">
      <w:pPr>
        <w:pStyle w:val="ListParagraph"/>
        <w:numPr>
          <w:ilvl w:val="0"/>
          <w:numId w:val="10"/>
        </w:numPr>
        <w:spacing w:line="360" w:lineRule="auto"/>
        <w:jc w:val="both"/>
        <w:rPr>
          <w:rFonts w:ascii="Arial" w:hAnsi="Arial" w:cs="Arial"/>
          <w:sz w:val="24"/>
          <w:szCs w:val="32"/>
        </w:rPr>
      </w:pPr>
      <w:r w:rsidRPr="00E4260C">
        <w:rPr>
          <w:rFonts w:ascii="Arial" w:hAnsi="Arial" w:cs="Arial"/>
          <w:sz w:val="24"/>
          <w:szCs w:val="32"/>
        </w:rPr>
        <w:t>REACH, under the Ministry of Communications and Information, involves citizens in decision-making by gathering their views on public policies through engagement sessions and social media, and sharing these insights with relevant government agencies.</w:t>
      </w:r>
      <w:r w:rsidR="002D3F15" w:rsidRPr="002D3F15">
        <w:t xml:space="preserve"> </w:t>
      </w:r>
    </w:p>
    <w:p w14:paraId="54DBF549" w14:textId="6D6EA3B0" w:rsidR="00E4260C" w:rsidRPr="00E4260C" w:rsidRDefault="00E4260C" w:rsidP="008226EB">
      <w:pPr>
        <w:pStyle w:val="ListParagraph"/>
        <w:numPr>
          <w:ilvl w:val="0"/>
          <w:numId w:val="10"/>
        </w:numPr>
        <w:spacing w:line="360" w:lineRule="auto"/>
        <w:jc w:val="both"/>
        <w:rPr>
          <w:rFonts w:ascii="Arial" w:hAnsi="Arial" w:cs="Arial"/>
          <w:sz w:val="24"/>
          <w:szCs w:val="32"/>
        </w:rPr>
      </w:pPr>
      <w:r w:rsidRPr="00E4260C">
        <w:rPr>
          <w:rFonts w:ascii="Arial" w:hAnsi="Arial" w:cs="Arial"/>
          <w:sz w:val="24"/>
          <w:szCs w:val="32"/>
        </w:rPr>
        <w:t>A</w:t>
      </w:r>
      <w:r w:rsidR="00F50D55">
        <w:rPr>
          <w:rFonts w:ascii="Arial" w:hAnsi="Arial" w:cs="Arial"/>
          <w:sz w:val="24"/>
          <w:szCs w:val="32"/>
        </w:rPr>
        <w:t xml:space="preserve">n </w:t>
      </w:r>
      <w:r w:rsidRPr="00E4260C">
        <w:rPr>
          <w:rFonts w:ascii="Arial" w:hAnsi="Arial" w:cs="Arial"/>
          <w:sz w:val="24"/>
          <w:szCs w:val="32"/>
        </w:rPr>
        <w:t xml:space="preserve">example of such collaboration is the Citizen’s Jury for the War on Diabetes, where the </w:t>
      </w:r>
      <w:r w:rsidRPr="00CC23B9">
        <w:rPr>
          <w:rFonts w:ascii="Arial" w:hAnsi="Arial" w:cs="Arial"/>
          <w:b/>
          <w:bCs/>
          <w:sz w:val="24"/>
          <w:szCs w:val="32"/>
        </w:rPr>
        <w:t>MOH</w:t>
      </w:r>
      <w:r w:rsidRPr="00E4260C">
        <w:rPr>
          <w:rFonts w:ascii="Arial" w:hAnsi="Arial" w:cs="Arial"/>
          <w:sz w:val="24"/>
          <w:szCs w:val="32"/>
        </w:rPr>
        <w:t xml:space="preserve">, after launching a nationwide diabetes prevention and management initiative, </w:t>
      </w:r>
      <w:r w:rsidRPr="00CC23B9">
        <w:rPr>
          <w:rFonts w:ascii="Arial" w:hAnsi="Arial" w:cs="Arial"/>
          <w:b/>
          <w:bCs/>
          <w:sz w:val="24"/>
          <w:szCs w:val="32"/>
        </w:rPr>
        <w:t>organized a citizen jury</w:t>
      </w:r>
      <w:r w:rsidRPr="00E4260C">
        <w:rPr>
          <w:rFonts w:ascii="Arial" w:hAnsi="Arial" w:cs="Arial"/>
          <w:sz w:val="24"/>
          <w:szCs w:val="32"/>
        </w:rPr>
        <w:t xml:space="preserve"> to develop community-based solutions.</w:t>
      </w:r>
    </w:p>
    <w:p w14:paraId="155DC31F" w14:textId="4D3C706E" w:rsidR="00E4260C" w:rsidRPr="00E4260C" w:rsidRDefault="00B520E7" w:rsidP="008226EB">
      <w:pPr>
        <w:pStyle w:val="ListParagraph"/>
        <w:numPr>
          <w:ilvl w:val="0"/>
          <w:numId w:val="10"/>
        </w:numPr>
        <w:spacing w:line="360" w:lineRule="auto"/>
        <w:jc w:val="both"/>
        <w:rPr>
          <w:rFonts w:ascii="Arial" w:hAnsi="Arial" w:cs="Arial"/>
          <w:sz w:val="24"/>
          <w:szCs w:val="32"/>
        </w:rPr>
      </w:pPr>
      <w:r>
        <w:rPr>
          <w:noProof/>
        </w:rPr>
        <w:drawing>
          <wp:anchor distT="0" distB="0" distL="114300" distR="114300" simplePos="0" relativeHeight="251662336" behindDoc="1" locked="0" layoutInCell="1" allowOverlap="1" wp14:anchorId="080F47DB" wp14:editId="502946F8">
            <wp:simplePos x="0" y="0"/>
            <wp:positionH relativeFrom="column">
              <wp:posOffset>3994487</wp:posOffset>
            </wp:positionH>
            <wp:positionV relativeFrom="paragraph">
              <wp:posOffset>53793</wp:posOffset>
            </wp:positionV>
            <wp:extent cx="1734820" cy="977900"/>
            <wp:effectExtent l="76200" t="76200" r="132080" b="127000"/>
            <wp:wrapTight wrapText="bothSides">
              <wp:wrapPolygon edited="0">
                <wp:start x="-474" y="-1683"/>
                <wp:lineTo x="-949" y="-1262"/>
                <wp:lineTo x="-949" y="22301"/>
                <wp:lineTo x="-474" y="23984"/>
                <wp:lineTo x="22533" y="23984"/>
                <wp:lineTo x="23007" y="19356"/>
                <wp:lineTo x="23007" y="5470"/>
                <wp:lineTo x="22533" y="-842"/>
                <wp:lineTo x="22533" y="-1683"/>
                <wp:lineTo x="-474" y="-1683"/>
              </wp:wrapPolygon>
            </wp:wrapTight>
            <wp:docPr id="1158035812" name="Picture 5" descr="Singaporean Government, Citizens' Jury Training – democracy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ngaporean Government, Citizens' Jury Training – democracyC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34820" cy="977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E4260C" w:rsidRPr="00E4260C">
        <w:rPr>
          <w:rFonts w:ascii="Arial" w:hAnsi="Arial" w:cs="Arial"/>
          <w:sz w:val="24"/>
          <w:szCs w:val="32"/>
        </w:rPr>
        <w:t>Over seven weeks, the selected citizen jury discussed diabetes management challenges and solutions, resulting in MOH implementing several of their recommendations, including a campaign to promote water drinking.</w:t>
      </w:r>
    </w:p>
    <w:p w14:paraId="47776F2E" w14:textId="77777777" w:rsidR="00013CB0" w:rsidRDefault="00E4260C" w:rsidP="00013CB0">
      <w:pPr>
        <w:pStyle w:val="ListParagraph"/>
        <w:numPr>
          <w:ilvl w:val="0"/>
          <w:numId w:val="10"/>
        </w:numPr>
        <w:spacing w:line="360" w:lineRule="auto"/>
        <w:jc w:val="both"/>
        <w:rPr>
          <w:rFonts w:ascii="Arial" w:hAnsi="Arial" w:cs="Arial"/>
          <w:b/>
          <w:bCs/>
          <w:sz w:val="24"/>
          <w:szCs w:val="32"/>
        </w:rPr>
      </w:pPr>
      <w:r w:rsidRPr="00D603A9">
        <w:rPr>
          <w:rFonts w:ascii="Arial" w:hAnsi="Arial" w:cs="Arial"/>
          <w:b/>
          <w:bCs/>
          <w:sz w:val="24"/>
          <w:szCs w:val="32"/>
        </w:rPr>
        <w:t xml:space="preserve">This </w:t>
      </w:r>
      <w:r w:rsidR="00D603A9" w:rsidRPr="00D603A9">
        <w:rPr>
          <w:rFonts w:ascii="Arial" w:hAnsi="Arial" w:cs="Arial"/>
          <w:b/>
          <w:bCs/>
          <w:sz w:val="24"/>
          <w:szCs w:val="32"/>
        </w:rPr>
        <w:t>collaboration</w:t>
      </w:r>
      <w:r w:rsidRPr="00D603A9">
        <w:rPr>
          <w:rFonts w:ascii="Arial" w:hAnsi="Arial" w:cs="Arial"/>
          <w:b/>
          <w:bCs/>
          <w:sz w:val="24"/>
          <w:szCs w:val="32"/>
        </w:rPr>
        <w:t xml:space="preserve"> demonstrates that citizens can actively work with the government in </w:t>
      </w:r>
      <w:r w:rsidR="00D603A9" w:rsidRPr="00D603A9">
        <w:rPr>
          <w:rFonts w:ascii="Arial" w:hAnsi="Arial" w:cs="Arial"/>
          <w:b/>
          <w:bCs/>
          <w:sz w:val="24"/>
          <w:szCs w:val="32"/>
        </w:rPr>
        <w:t>influencing decision making</w:t>
      </w:r>
      <w:r w:rsidRPr="00D603A9">
        <w:rPr>
          <w:rFonts w:ascii="Arial" w:hAnsi="Arial" w:cs="Arial"/>
          <w:b/>
          <w:bCs/>
          <w:sz w:val="24"/>
          <w:szCs w:val="32"/>
        </w:rPr>
        <w:t>, with the government ensuring equal and fair participation.</w:t>
      </w:r>
    </w:p>
    <w:p w14:paraId="1D0DAD4A" w14:textId="4BF117D8" w:rsidR="00E4260C" w:rsidRPr="00013CB0" w:rsidRDefault="00E4260C" w:rsidP="00013CB0">
      <w:pPr>
        <w:pStyle w:val="ListParagraph"/>
        <w:numPr>
          <w:ilvl w:val="0"/>
          <w:numId w:val="10"/>
        </w:numPr>
        <w:spacing w:line="360" w:lineRule="auto"/>
        <w:jc w:val="both"/>
        <w:rPr>
          <w:rFonts w:ascii="Arial" w:hAnsi="Arial" w:cs="Arial"/>
          <w:b/>
          <w:bCs/>
          <w:sz w:val="24"/>
          <w:szCs w:val="32"/>
        </w:rPr>
      </w:pPr>
      <w:r w:rsidRPr="00013CB0">
        <w:rPr>
          <w:rFonts w:ascii="Arial" w:hAnsi="Arial" w:cs="Arial"/>
          <w:b/>
          <w:bCs/>
          <w:sz w:val="24"/>
          <w:szCs w:val="32"/>
        </w:rPr>
        <w:t xml:space="preserve">The partnership between citizens and the government in decision-making brings </w:t>
      </w:r>
      <w:r w:rsidR="00EC1635" w:rsidRPr="00013CB0">
        <w:rPr>
          <w:rFonts w:ascii="Arial" w:hAnsi="Arial" w:cs="Arial"/>
          <w:b/>
          <w:bCs/>
          <w:sz w:val="24"/>
          <w:szCs w:val="32"/>
        </w:rPr>
        <w:t xml:space="preserve">a </w:t>
      </w:r>
      <w:r w:rsidRPr="00013CB0">
        <w:rPr>
          <w:rFonts w:ascii="Arial" w:hAnsi="Arial" w:cs="Arial"/>
          <w:b/>
          <w:bCs/>
          <w:sz w:val="24"/>
          <w:szCs w:val="32"/>
        </w:rPr>
        <w:t>positive</w:t>
      </w:r>
      <w:r w:rsidR="00EC1635" w:rsidRPr="00013CB0">
        <w:rPr>
          <w:rFonts w:ascii="Arial" w:hAnsi="Arial" w:cs="Arial"/>
          <w:b/>
          <w:bCs/>
          <w:sz w:val="24"/>
          <w:szCs w:val="32"/>
        </w:rPr>
        <w:t xml:space="preserve"> </w:t>
      </w:r>
      <w:r w:rsidRPr="00013CB0">
        <w:rPr>
          <w:rFonts w:ascii="Arial" w:hAnsi="Arial" w:cs="Arial"/>
          <w:b/>
          <w:bCs/>
          <w:sz w:val="24"/>
          <w:szCs w:val="32"/>
        </w:rPr>
        <w:t>impact by generating effective solutions</w:t>
      </w:r>
      <w:r w:rsidR="003253FC" w:rsidRPr="00013CB0">
        <w:rPr>
          <w:rFonts w:ascii="Arial" w:hAnsi="Arial" w:cs="Arial"/>
          <w:b/>
          <w:bCs/>
          <w:sz w:val="24"/>
          <w:szCs w:val="32"/>
        </w:rPr>
        <w:t xml:space="preserve"> which addresses the needs of the people hence building a stronger and more resilient community.  </w:t>
      </w:r>
    </w:p>
    <w:p w14:paraId="58706F06" w14:textId="77777777" w:rsidR="00C11E92" w:rsidRPr="00C11E92" w:rsidRDefault="00C11E92" w:rsidP="00C11E92">
      <w:pPr>
        <w:rPr>
          <w:lang w:eastAsia="zh-CN" w:bidi="th-TH"/>
        </w:rPr>
      </w:pPr>
    </w:p>
    <w:p w14:paraId="40C8AA52" w14:textId="77777777" w:rsidR="00C11E92" w:rsidRPr="00C11E92" w:rsidRDefault="00C11E92" w:rsidP="00C11E92">
      <w:pPr>
        <w:rPr>
          <w:lang w:eastAsia="zh-CN" w:bidi="th-TH"/>
        </w:rPr>
      </w:pPr>
    </w:p>
    <w:p w14:paraId="3519ADA9" w14:textId="1F19FE72" w:rsidR="00C11E92" w:rsidRDefault="00C11E92" w:rsidP="00C11E92">
      <w:pPr>
        <w:tabs>
          <w:tab w:val="left" w:pos="1440"/>
        </w:tabs>
        <w:rPr>
          <w:lang w:eastAsia="zh-CN" w:bidi="th-TH"/>
        </w:rPr>
      </w:pPr>
      <w:r>
        <w:rPr>
          <w:lang w:eastAsia="zh-CN" w:bidi="th-TH"/>
        </w:rPr>
        <w:tab/>
      </w:r>
    </w:p>
    <w:p w14:paraId="58E63B9A" w14:textId="77777777" w:rsidR="00C11E92" w:rsidRDefault="00C11E92" w:rsidP="00C11E92">
      <w:pPr>
        <w:tabs>
          <w:tab w:val="left" w:pos="1440"/>
        </w:tabs>
        <w:rPr>
          <w:lang w:eastAsia="zh-CN" w:bidi="th-TH"/>
        </w:rPr>
      </w:pPr>
    </w:p>
    <w:tbl>
      <w:tblPr>
        <w:tblStyle w:val="TableGrid"/>
        <w:tblW w:w="0" w:type="auto"/>
        <w:tblLook w:val="04A0" w:firstRow="1" w:lastRow="0" w:firstColumn="1" w:lastColumn="0" w:noHBand="0" w:noVBand="1"/>
      </w:tblPr>
      <w:tblGrid>
        <w:gridCol w:w="9016"/>
      </w:tblGrid>
      <w:tr w:rsidR="00C11E92" w:rsidRPr="00535AA9" w14:paraId="0BB2E55B" w14:textId="77777777" w:rsidTr="00183D2A">
        <w:tc>
          <w:tcPr>
            <w:tcW w:w="9016" w:type="dxa"/>
            <w:shd w:val="clear" w:color="auto" w:fill="D9D9D9" w:themeFill="background1" w:themeFillShade="D9"/>
          </w:tcPr>
          <w:p w14:paraId="1D9F84B5" w14:textId="268F455E" w:rsidR="00C11E92" w:rsidRPr="00535AA9" w:rsidRDefault="00C574D4" w:rsidP="00183D2A">
            <w:pPr>
              <w:rPr>
                <w:rFonts w:ascii="Arial" w:hAnsi="Arial" w:cs="Arial"/>
                <w:b/>
                <w:bCs/>
              </w:rPr>
            </w:pPr>
            <w:r w:rsidRPr="00C574D4">
              <w:rPr>
                <w:rFonts w:ascii="Arial" w:hAnsi="Arial" w:cs="Arial"/>
                <w:b/>
                <w:bCs/>
                <w:sz w:val="28"/>
                <w:szCs w:val="28"/>
              </w:rPr>
              <w:t>STRENGTHENING SENSE OF BELONGING</w:t>
            </w:r>
          </w:p>
        </w:tc>
      </w:tr>
    </w:tbl>
    <w:p w14:paraId="6915801D" w14:textId="77777777" w:rsidR="00C11E92" w:rsidRDefault="00C11E92" w:rsidP="00C11E92"/>
    <w:p w14:paraId="2298AAC5" w14:textId="47F82311" w:rsidR="006704DD" w:rsidRPr="006704DD" w:rsidRDefault="006704DD" w:rsidP="00013CB0">
      <w:pPr>
        <w:pStyle w:val="ListParagraph"/>
        <w:numPr>
          <w:ilvl w:val="0"/>
          <w:numId w:val="12"/>
        </w:numPr>
        <w:spacing w:line="360" w:lineRule="auto"/>
        <w:jc w:val="both"/>
        <w:rPr>
          <w:rFonts w:ascii="Arial" w:hAnsi="Arial" w:cs="Arial"/>
          <w:sz w:val="24"/>
          <w:szCs w:val="24"/>
        </w:rPr>
      </w:pPr>
      <w:r w:rsidRPr="006704DD">
        <w:rPr>
          <w:rFonts w:ascii="Arial" w:hAnsi="Arial" w:cs="Arial"/>
          <w:sz w:val="24"/>
          <w:szCs w:val="24"/>
        </w:rPr>
        <w:t xml:space="preserve">Strengthening citizens' sense of belonging can be achieved through unity and collaborative actions between citizens and the government. </w:t>
      </w:r>
    </w:p>
    <w:p w14:paraId="55DC1BA3" w14:textId="30AC6B74" w:rsidR="006704DD" w:rsidRPr="006704DD" w:rsidRDefault="006704DD" w:rsidP="00013CB0">
      <w:pPr>
        <w:pStyle w:val="ListParagraph"/>
        <w:numPr>
          <w:ilvl w:val="0"/>
          <w:numId w:val="12"/>
        </w:numPr>
        <w:spacing w:line="360" w:lineRule="auto"/>
        <w:jc w:val="both"/>
        <w:rPr>
          <w:rFonts w:ascii="Arial" w:hAnsi="Arial" w:cs="Arial"/>
          <w:sz w:val="24"/>
          <w:szCs w:val="24"/>
        </w:rPr>
      </w:pPr>
      <w:r w:rsidRPr="006704DD">
        <w:rPr>
          <w:rFonts w:ascii="Arial" w:hAnsi="Arial" w:cs="Arial"/>
          <w:sz w:val="24"/>
          <w:szCs w:val="24"/>
        </w:rPr>
        <w:t xml:space="preserve">Common experiences such as celebrating national day or participating in programmes like 'Remaking our Heartland' and HDB’s 'Build a Playground' can </w:t>
      </w:r>
      <w:r w:rsidR="00AC7C86">
        <w:rPr>
          <w:rFonts w:ascii="Arial" w:hAnsi="Arial" w:cs="Arial"/>
          <w:sz w:val="24"/>
          <w:szCs w:val="24"/>
        </w:rPr>
        <w:t>create</w:t>
      </w:r>
      <w:r w:rsidRPr="006704DD">
        <w:rPr>
          <w:rFonts w:ascii="Arial" w:hAnsi="Arial" w:cs="Arial"/>
          <w:sz w:val="24"/>
          <w:szCs w:val="24"/>
        </w:rPr>
        <w:t xml:space="preserve"> this unity, where citizens contribute to the design of neighbourhood spaces.</w:t>
      </w:r>
    </w:p>
    <w:p w14:paraId="781D0E68" w14:textId="5EC01344" w:rsidR="006704DD" w:rsidRPr="006704DD" w:rsidRDefault="006704DD" w:rsidP="00013CB0">
      <w:pPr>
        <w:pStyle w:val="ListParagraph"/>
        <w:numPr>
          <w:ilvl w:val="0"/>
          <w:numId w:val="12"/>
        </w:numPr>
        <w:spacing w:line="360" w:lineRule="auto"/>
        <w:jc w:val="both"/>
        <w:rPr>
          <w:rFonts w:ascii="Arial" w:hAnsi="Arial" w:cs="Arial"/>
          <w:sz w:val="24"/>
          <w:szCs w:val="24"/>
        </w:rPr>
      </w:pPr>
      <w:r w:rsidRPr="006704DD">
        <w:rPr>
          <w:rFonts w:ascii="Arial" w:hAnsi="Arial" w:cs="Arial"/>
          <w:sz w:val="24"/>
          <w:szCs w:val="24"/>
        </w:rPr>
        <w:t>An example of collaborative efforts in preserving heritage is the Dakota Crescent case. The government, in response to relocation plans, preserved some buildings for community use.</w:t>
      </w:r>
      <w:r w:rsidR="00020061" w:rsidRPr="00020061">
        <w:t xml:space="preserve"> </w:t>
      </w:r>
    </w:p>
    <w:p w14:paraId="0DBEB5F4" w14:textId="633D180F" w:rsidR="006704DD" w:rsidRPr="006704DD" w:rsidRDefault="00020061" w:rsidP="00013CB0">
      <w:pPr>
        <w:pStyle w:val="ListParagraph"/>
        <w:numPr>
          <w:ilvl w:val="0"/>
          <w:numId w:val="12"/>
        </w:numPr>
        <w:spacing w:line="360" w:lineRule="auto"/>
        <w:jc w:val="both"/>
        <w:rPr>
          <w:rFonts w:ascii="Arial" w:hAnsi="Arial" w:cs="Arial"/>
          <w:sz w:val="24"/>
          <w:szCs w:val="24"/>
        </w:rPr>
      </w:pPr>
      <w:r>
        <w:rPr>
          <w:noProof/>
        </w:rPr>
        <w:drawing>
          <wp:anchor distT="0" distB="0" distL="114300" distR="114300" simplePos="0" relativeHeight="251663360" behindDoc="1" locked="0" layoutInCell="1" allowOverlap="1" wp14:anchorId="13F911F5" wp14:editId="1755D8AB">
            <wp:simplePos x="0" y="0"/>
            <wp:positionH relativeFrom="column">
              <wp:posOffset>3957735</wp:posOffset>
            </wp:positionH>
            <wp:positionV relativeFrom="paragraph">
              <wp:posOffset>82343</wp:posOffset>
            </wp:positionV>
            <wp:extent cx="1721485" cy="1229360"/>
            <wp:effectExtent l="76200" t="76200" r="126365" b="142240"/>
            <wp:wrapTight wrapText="bothSides">
              <wp:wrapPolygon edited="0">
                <wp:start x="-478" y="-1339"/>
                <wp:lineTo x="-956" y="-1004"/>
                <wp:lineTo x="-956" y="22426"/>
                <wp:lineTo x="-478" y="23764"/>
                <wp:lineTo x="22468" y="23764"/>
                <wp:lineTo x="22947" y="20752"/>
                <wp:lineTo x="22947" y="4351"/>
                <wp:lineTo x="22468" y="-669"/>
                <wp:lineTo x="22468" y="-1339"/>
                <wp:lineTo x="-478" y="-1339"/>
              </wp:wrapPolygon>
            </wp:wrapTight>
            <wp:docPr id="1253421598" name="Picture 6" descr="Between Two Homes - Singapore Website Awards 2017Singapore Website Awards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tween Two Homes - Singapore Website Awards 2017Singapore Website Awards  20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21485" cy="12293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6704DD" w:rsidRPr="006704DD">
        <w:rPr>
          <w:rFonts w:ascii="Arial" w:hAnsi="Arial" w:cs="Arial"/>
          <w:sz w:val="24"/>
          <w:szCs w:val="24"/>
        </w:rPr>
        <w:t>Informal community group 'Between Two Homes' played an active role here, documenting heritage and discussing redevelopment plans through workshops and a multimedia website.</w:t>
      </w:r>
    </w:p>
    <w:p w14:paraId="68570304" w14:textId="3AD3A951" w:rsidR="006704DD" w:rsidRPr="006704DD" w:rsidRDefault="00081495" w:rsidP="00013CB0">
      <w:pPr>
        <w:pStyle w:val="ListParagraph"/>
        <w:numPr>
          <w:ilvl w:val="0"/>
          <w:numId w:val="12"/>
        </w:numPr>
        <w:spacing w:line="360" w:lineRule="auto"/>
        <w:jc w:val="both"/>
        <w:rPr>
          <w:rFonts w:ascii="Arial" w:hAnsi="Arial" w:cs="Arial"/>
          <w:sz w:val="24"/>
          <w:szCs w:val="24"/>
        </w:rPr>
      </w:pPr>
      <w:r>
        <w:rPr>
          <w:rFonts w:ascii="Arial" w:hAnsi="Arial" w:cs="Arial"/>
          <w:sz w:val="24"/>
          <w:szCs w:val="24"/>
        </w:rPr>
        <w:t>The government provided support through</w:t>
      </w:r>
      <w:r w:rsidR="006704DD" w:rsidRPr="006704DD">
        <w:rPr>
          <w:rFonts w:ascii="Arial" w:hAnsi="Arial" w:cs="Arial"/>
          <w:sz w:val="24"/>
          <w:szCs w:val="24"/>
        </w:rPr>
        <w:t xml:space="preserve"> 'Our Singapore Fund' </w:t>
      </w:r>
      <w:r>
        <w:rPr>
          <w:rFonts w:ascii="Arial" w:hAnsi="Arial" w:cs="Arial"/>
          <w:sz w:val="24"/>
          <w:szCs w:val="24"/>
        </w:rPr>
        <w:t xml:space="preserve">which </w:t>
      </w:r>
      <w:r w:rsidR="006704DD" w:rsidRPr="006704DD">
        <w:rPr>
          <w:rFonts w:ascii="Arial" w:hAnsi="Arial" w:cs="Arial"/>
          <w:sz w:val="24"/>
          <w:szCs w:val="24"/>
        </w:rPr>
        <w:t>fund</w:t>
      </w:r>
      <w:r>
        <w:rPr>
          <w:rFonts w:ascii="Arial" w:hAnsi="Arial" w:cs="Arial"/>
          <w:sz w:val="24"/>
          <w:szCs w:val="24"/>
        </w:rPr>
        <w:t>ed</w:t>
      </w:r>
      <w:r w:rsidR="006704DD" w:rsidRPr="006704DD">
        <w:rPr>
          <w:rFonts w:ascii="Arial" w:hAnsi="Arial" w:cs="Arial"/>
          <w:sz w:val="24"/>
          <w:szCs w:val="24"/>
        </w:rPr>
        <w:t xml:space="preserve"> such projects, with 'Between Two Homes' being one of the beneficiaries.</w:t>
      </w:r>
    </w:p>
    <w:p w14:paraId="6D1BA530" w14:textId="413BCD49" w:rsidR="006704DD" w:rsidRPr="006704DD" w:rsidRDefault="006704DD" w:rsidP="00013CB0">
      <w:pPr>
        <w:pStyle w:val="ListParagraph"/>
        <w:numPr>
          <w:ilvl w:val="0"/>
          <w:numId w:val="12"/>
        </w:numPr>
        <w:spacing w:line="360" w:lineRule="auto"/>
        <w:jc w:val="both"/>
        <w:rPr>
          <w:rFonts w:ascii="Arial" w:hAnsi="Arial" w:cs="Arial"/>
          <w:sz w:val="24"/>
          <w:szCs w:val="24"/>
        </w:rPr>
      </w:pPr>
      <w:r w:rsidRPr="006704DD">
        <w:rPr>
          <w:rFonts w:ascii="Arial" w:hAnsi="Arial" w:cs="Arial"/>
          <w:sz w:val="24"/>
          <w:szCs w:val="24"/>
        </w:rPr>
        <w:t xml:space="preserve">Individual volunteers from 'Between Two Homes' interviewed residents, becoming aware of their needs and aiding relocation efforts, </w:t>
      </w:r>
      <w:r w:rsidR="00081495">
        <w:rPr>
          <w:rFonts w:ascii="Arial" w:hAnsi="Arial" w:cs="Arial"/>
          <w:sz w:val="24"/>
          <w:szCs w:val="24"/>
        </w:rPr>
        <w:t xml:space="preserve">developing </w:t>
      </w:r>
      <w:r w:rsidRPr="006704DD">
        <w:rPr>
          <w:rFonts w:ascii="Arial" w:hAnsi="Arial" w:cs="Arial"/>
          <w:sz w:val="24"/>
          <w:szCs w:val="24"/>
        </w:rPr>
        <w:t>community engagement.</w:t>
      </w:r>
    </w:p>
    <w:p w14:paraId="589D227D" w14:textId="073B857A" w:rsidR="006704DD" w:rsidRPr="00081495" w:rsidRDefault="006704DD" w:rsidP="00013CB0">
      <w:pPr>
        <w:pStyle w:val="ListParagraph"/>
        <w:numPr>
          <w:ilvl w:val="0"/>
          <w:numId w:val="12"/>
        </w:numPr>
        <w:spacing w:line="360" w:lineRule="auto"/>
        <w:jc w:val="both"/>
        <w:rPr>
          <w:rFonts w:ascii="Arial" w:hAnsi="Arial" w:cs="Arial"/>
          <w:b/>
          <w:bCs/>
          <w:sz w:val="24"/>
          <w:szCs w:val="24"/>
        </w:rPr>
      </w:pPr>
      <w:r w:rsidRPr="00081495">
        <w:rPr>
          <w:rFonts w:ascii="Arial" w:hAnsi="Arial" w:cs="Arial"/>
          <w:b/>
          <w:bCs/>
          <w:sz w:val="24"/>
          <w:szCs w:val="24"/>
        </w:rPr>
        <w:t>Such joint efforts by individuals, community groups, and government can enhance citizens' sense of belonging by connecting them to the country's history, people, and places.</w:t>
      </w:r>
    </w:p>
    <w:p w14:paraId="2F0B50C1" w14:textId="78294B5D" w:rsidR="00C11E92" w:rsidRPr="00081495" w:rsidRDefault="006704DD" w:rsidP="00013CB0">
      <w:pPr>
        <w:pStyle w:val="ListParagraph"/>
        <w:numPr>
          <w:ilvl w:val="0"/>
          <w:numId w:val="12"/>
        </w:numPr>
        <w:spacing w:line="360" w:lineRule="auto"/>
        <w:jc w:val="both"/>
        <w:rPr>
          <w:rFonts w:ascii="Arial" w:hAnsi="Arial" w:cs="Arial"/>
          <w:b/>
          <w:bCs/>
          <w:sz w:val="24"/>
          <w:szCs w:val="24"/>
        </w:rPr>
      </w:pPr>
      <w:r w:rsidRPr="00081495">
        <w:rPr>
          <w:rFonts w:ascii="Arial" w:hAnsi="Arial" w:cs="Arial"/>
          <w:b/>
          <w:bCs/>
          <w:sz w:val="24"/>
          <w:szCs w:val="24"/>
        </w:rPr>
        <w:t>This collaboration leads to increased care and proactive actions from citizens towards fellow Singaporeans, and greater concern about shaping the country’s future, ultimately creating a more unified and resilient society.</w:t>
      </w:r>
    </w:p>
    <w:p w14:paraId="21F05878" w14:textId="77777777" w:rsidR="00C11E92" w:rsidRPr="00C11E92" w:rsidRDefault="00C11E92" w:rsidP="00C11E92">
      <w:pPr>
        <w:rPr>
          <w:lang w:eastAsia="zh-CN" w:bidi="th-TH"/>
        </w:rPr>
      </w:pPr>
    </w:p>
    <w:p w14:paraId="42A84607" w14:textId="77777777" w:rsidR="00C11E92" w:rsidRPr="00C11E92" w:rsidRDefault="00C11E92" w:rsidP="00C11E92">
      <w:pPr>
        <w:rPr>
          <w:lang w:eastAsia="zh-CN" w:bidi="th-TH"/>
        </w:rPr>
      </w:pPr>
    </w:p>
    <w:p w14:paraId="4D2CCD59" w14:textId="77777777" w:rsidR="00C11E92" w:rsidRPr="00C11E92" w:rsidRDefault="00C11E92" w:rsidP="00C11E92">
      <w:pPr>
        <w:rPr>
          <w:lang w:eastAsia="zh-CN" w:bidi="th-TH"/>
        </w:rPr>
      </w:pPr>
    </w:p>
    <w:p w14:paraId="75E66706" w14:textId="77777777" w:rsidR="00C11E92" w:rsidRPr="00C11E92" w:rsidRDefault="00C11E92" w:rsidP="00C11E92">
      <w:pPr>
        <w:rPr>
          <w:lang w:eastAsia="zh-CN" w:bidi="th-TH"/>
        </w:rPr>
      </w:pPr>
    </w:p>
    <w:sectPr w:rsidR="00C11E92" w:rsidRPr="00C11E92">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C0E5DD" w14:textId="77777777" w:rsidR="00D90352" w:rsidRDefault="00D90352" w:rsidP="00E3698A">
      <w:pPr>
        <w:spacing w:after="0" w:line="240" w:lineRule="auto"/>
      </w:pPr>
      <w:r>
        <w:separator/>
      </w:r>
    </w:p>
  </w:endnote>
  <w:endnote w:type="continuationSeparator" w:id="0">
    <w:p w14:paraId="64E8D001" w14:textId="77777777" w:rsidR="00D90352" w:rsidRDefault="00D90352" w:rsidP="00E36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D2984" w14:textId="77777777" w:rsidR="007310F4" w:rsidRDefault="007310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6016480"/>
      <w:docPartObj>
        <w:docPartGallery w:val="Page Numbers (Bottom of Page)"/>
        <w:docPartUnique/>
      </w:docPartObj>
    </w:sdtPr>
    <w:sdtEndPr>
      <w:rPr>
        <w:noProof/>
      </w:rPr>
    </w:sdtEndPr>
    <w:sdtContent>
      <w:p w14:paraId="2A5ECAB2" w14:textId="4FAEF814" w:rsidR="00E3698A" w:rsidRDefault="00E369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9AE83B" w14:textId="77777777" w:rsidR="00E3698A" w:rsidRDefault="00E369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DA2D4" w14:textId="77777777" w:rsidR="007310F4" w:rsidRDefault="007310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D019EB" w14:textId="77777777" w:rsidR="00D90352" w:rsidRDefault="00D90352" w:rsidP="00E3698A">
      <w:pPr>
        <w:spacing w:after="0" w:line="240" w:lineRule="auto"/>
      </w:pPr>
      <w:r>
        <w:separator/>
      </w:r>
    </w:p>
  </w:footnote>
  <w:footnote w:type="continuationSeparator" w:id="0">
    <w:p w14:paraId="387F5F37" w14:textId="77777777" w:rsidR="00D90352" w:rsidRDefault="00D90352" w:rsidP="00E36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3A1FF" w14:textId="18EA2B89" w:rsidR="00E3698A" w:rsidRDefault="004F13C2">
    <w:pPr>
      <w:pStyle w:val="Header"/>
    </w:pPr>
    <w:r>
      <w:rPr>
        <w:noProof/>
      </w:rPr>
      <w:pict w14:anchorId="6A94D5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69666438" o:spid="_x0000_s1029" type="#_x0000_t75" style="position:absolute;margin-left:0;margin-top:0;width:451.15pt;height:451.15pt;z-index:-251657216;mso-position-horizontal:center;mso-position-horizontal-relative:margin;mso-position-vertical:center;mso-position-vertical-relative:margin" o:allowincell="f">
          <v:imagedata r:id="rId1" o:title="Logo _transparent b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C901A" w14:textId="6ABF1D7B" w:rsidR="00E3698A" w:rsidRDefault="004F13C2">
    <w:pPr>
      <w:pStyle w:val="Header"/>
    </w:pPr>
    <w:r>
      <w:rPr>
        <w:noProof/>
      </w:rPr>
      <w:pict w14:anchorId="40DAE0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69666439" o:spid="_x0000_s1030" type="#_x0000_t75" style="position:absolute;margin-left:0;margin-top:0;width:451.15pt;height:451.15pt;z-index:-251656192;mso-position-horizontal:center;mso-position-horizontal-relative:margin;mso-position-vertical:center;mso-position-vertical-relative:margin" o:allowincell="f">
          <v:imagedata r:id="rId1" o:title="Logo _transparent bg" gain="19661f" blacklevel="22938f"/>
          <w10:wrap anchorx="margin" anchory="margin"/>
        </v:shape>
      </w:pict>
    </w:r>
    <w:r w:rsidR="00DC4444">
      <w:t xml:space="preserve">Social </w:t>
    </w:r>
    <w:proofErr w:type="spellStart"/>
    <w:r w:rsidR="00DC4444">
      <w:t>Studies_Chapter</w:t>
    </w:r>
    <w:proofErr w:type="spellEnd"/>
    <w:r w:rsidR="00DC4444">
      <w:t xml:space="preserve"> 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78D1A" w14:textId="09FC6321" w:rsidR="00E3698A" w:rsidRDefault="004F13C2">
    <w:pPr>
      <w:pStyle w:val="Header"/>
    </w:pPr>
    <w:r>
      <w:rPr>
        <w:noProof/>
      </w:rPr>
      <w:pict w14:anchorId="3273A0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69666437" o:spid="_x0000_s1028" type="#_x0000_t75" style="position:absolute;margin-left:0;margin-top:0;width:451.15pt;height:451.15pt;z-index:-251658240;mso-position-horizontal:center;mso-position-horizontal-relative:margin;mso-position-vertical:center;mso-position-vertical-relative:margin" o:allowincell="f">
          <v:imagedata r:id="rId1" o:title="Logo _transparent b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8621E"/>
    <w:multiLevelType w:val="hybridMultilevel"/>
    <w:tmpl w:val="B4F6F0B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76F45AC"/>
    <w:multiLevelType w:val="hybridMultilevel"/>
    <w:tmpl w:val="2276890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3855639"/>
    <w:multiLevelType w:val="hybridMultilevel"/>
    <w:tmpl w:val="41C819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62F1EF0"/>
    <w:multiLevelType w:val="hybridMultilevel"/>
    <w:tmpl w:val="5ED449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3F850F0E"/>
    <w:multiLevelType w:val="hybridMultilevel"/>
    <w:tmpl w:val="F096330C"/>
    <w:lvl w:ilvl="0" w:tplc="48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51267774"/>
    <w:multiLevelType w:val="hybridMultilevel"/>
    <w:tmpl w:val="FFB682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65583CFE"/>
    <w:multiLevelType w:val="hybridMultilevel"/>
    <w:tmpl w:val="4128ED1E"/>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7" w15:restartNumberingAfterBreak="0">
    <w:nsid w:val="752C7BF5"/>
    <w:multiLevelType w:val="hybridMultilevel"/>
    <w:tmpl w:val="4C7C90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782E48CD"/>
    <w:multiLevelType w:val="hybridMultilevel"/>
    <w:tmpl w:val="6ADA88B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78F93F07"/>
    <w:multiLevelType w:val="hybridMultilevel"/>
    <w:tmpl w:val="8292AA4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7DB71C85"/>
    <w:multiLevelType w:val="hybridMultilevel"/>
    <w:tmpl w:val="96523D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7DFA4418"/>
    <w:multiLevelType w:val="hybridMultilevel"/>
    <w:tmpl w:val="0170888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885019025">
    <w:abstractNumId w:val="6"/>
  </w:num>
  <w:num w:numId="2" w16cid:durableId="459691080">
    <w:abstractNumId w:val="3"/>
  </w:num>
  <w:num w:numId="3" w16cid:durableId="137650270">
    <w:abstractNumId w:val="10"/>
  </w:num>
  <w:num w:numId="4" w16cid:durableId="1073621758">
    <w:abstractNumId w:val="11"/>
  </w:num>
  <w:num w:numId="5" w16cid:durableId="1093546977">
    <w:abstractNumId w:val="4"/>
  </w:num>
  <w:num w:numId="6" w16cid:durableId="1931043371">
    <w:abstractNumId w:val="5"/>
  </w:num>
  <w:num w:numId="7" w16cid:durableId="1704558123">
    <w:abstractNumId w:val="9"/>
  </w:num>
  <w:num w:numId="8" w16cid:durableId="1598370130">
    <w:abstractNumId w:val="7"/>
  </w:num>
  <w:num w:numId="9" w16cid:durableId="2024435986">
    <w:abstractNumId w:val="0"/>
  </w:num>
  <w:num w:numId="10" w16cid:durableId="139931721">
    <w:abstractNumId w:val="1"/>
  </w:num>
  <w:num w:numId="11" w16cid:durableId="1828859010">
    <w:abstractNumId w:val="2"/>
  </w:num>
  <w:num w:numId="12" w16cid:durableId="19648496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480"/>
    <w:rsid w:val="00013CB0"/>
    <w:rsid w:val="00020061"/>
    <w:rsid w:val="0002263C"/>
    <w:rsid w:val="00047CC8"/>
    <w:rsid w:val="00077254"/>
    <w:rsid w:val="00081495"/>
    <w:rsid w:val="000F02C2"/>
    <w:rsid w:val="00144BEB"/>
    <w:rsid w:val="001D5A47"/>
    <w:rsid w:val="001F365A"/>
    <w:rsid w:val="001F5480"/>
    <w:rsid w:val="00227A5B"/>
    <w:rsid w:val="002B6052"/>
    <w:rsid w:val="002D3F15"/>
    <w:rsid w:val="003253FC"/>
    <w:rsid w:val="0037163D"/>
    <w:rsid w:val="003843F5"/>
    <w:rsid w:val="003E7802"/>
    <w:rsid w:val="00431A6A"/>
    <w:rsid w:val="004A7C9E"/>
    <w:rsid w:val="004E3AD9"/>
    <w:rsid w:val="004F13C2"/>
    <w:rsid w:val="00525ECA"/>
    <w:rsid w:val="00535AA9"/>
    <w:rsid w:val="00536516"/>
    <w:rsid w:val="005C3CC2"/>
    <w:rsid w:val="005E5120"/>
    <w:rsid w:val="005E62AD"/>
    <w:rsid w:val="006104AA"/>
    <w:rsid w:val="006704DD"/>
    <w:rsid w:val="00703B5B"/>
    <w:rsid w:val="007310F4"/>
    <w:rsid w:val="008226EB"/>
    <w:rsid w:val="00847666"/>
    <w:rsid w:val="008647F2"/>
    <w:rsid w:val="00897C80"/>
    <w:rsid w:val="00931547"/>
    <w:rsid w:val="00966175"/>
    <w:rsid w:val="00AC7C86"/>
    <w:rsid w:val="00AD7B1C"/>
    <w:rsid w:val="00AE386B"/>
    <w:rsid w:val="00AE5B21"/>
    <w:rsid w:val="00B21684"/>
    <w:rsid w:val="00B3503F"/>
    <w:rsid w:val="00B520E7"/>
    <w:rsid w:val="00B81712"/>
    <w:rsid w:val="00BF209F"/>
    <w:rsid w:val="00C11E92"/>
    <w:rsid w:val="00C16C6E"/>
    <w:rsid w:val="00C33DD1"/>
    <w:rsid w:val="00C574D4"/>
    <w:rsid w:val="00C610AE"/>
    <w:rsid w:val="00CB2044"/>
    <w:rsid w:val="00CC23B9"/>
    <w:rsid w:val="00CE408C"/>
    <w:rsid w:val="00D36993"/>
    <w:rsid w:val="00D603A9"/>
    <w:rsid w:val="00D90352"/>
    <w:rsid w:val="00DC4444"/>
    <w:rsid w:val="00DE1FF6"/>
    <w:rsid w:val="00DE7864"/>
    <w:rsid w:val="00E04EA4"/>
    <w:rsid w:val="00E06B49"/>
    <w:rsid w:val="00E3698A"/>
    <w:rsid w:val="00E4260C"/>
    <w:rsid w:val="00EC1635"/>
    <w:rsid w:val="00EC76FD"/>
    <w:rsid w:val="00F50D55"/>
    <w:rsid w:val="00F91E9F"/>
    <w:rsid w:val="00FB4AB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792579"/>
  <w15:chartTrackingRefBased/>
  <w15:docId w15:val="{5AF5B6A3-42F7-471C-8D9B-3743FC01A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E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5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5AA9"/>
    <w:pPr>
      <w:ind w:left="720"/>
      <w:contextualSpacing/>
    </w:pPr>
    <w:rPr>
      <w:rFonts w:eastAsiaTheme="minorEastAsia"/>
      <w:kern w:val="0"/>
      <w:szCs w:val="28"/>
      <w:lang w:eastAsia="zh-CN" w:bidi="th-TH"/>
      <w14:ligatures w14:val="none"/>
    </w:rPr>
  </w:style>
  <w:style w:type="paragraph" w:styleId="Header">
    <w:name w:val="header"/>
    <w:basedOn w:val="Normal"/>
    <w:link w:val="HeaderChar"/>
    <w:uiPriority w:val="99"/>
    <w:unhideWhenUsed/>
    <w:rsid w:val="00E369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698A"/>
  </w:style>
  <w:style w:type="paragraph" w:styleId="Footer">
    <w:name w:val="footer"/>
    <w:basedOn w:val="Normal"/>
    <w:link w:val="FooterChar"/>
    <w:uiPriority w:val="99"/>
    <w:unhideWhenUsed/>
    <w:rsid w:val="00E369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69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242BE-B11B-4995-83CA-66DE4DD95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3</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Vidhu Pillai</dc:creator>
  <cp:keywords/>
  <dc:description/>
  <cp:lastModifiedBy>Vidhu vidz</cp:lastModifiedBy>
  <cp:revision>59</cp:revision>
  <dcterms:created xsi:type="dcterms:W3CDTF">2023-07-20T08:05:00Z</dcterms:created>
  <dcterms:modified xsi:type="dcterms:W3CDTF">2025-03-23T02:47:00Z</dcterms:modified>
</cp:coreProperties>
</file>