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00" w:line="276" w:lineRule="auto"/>
        <w:pStyle w:val="Title"/>
      </w:pPr>
      <w:r>
        <w:rPr>
          <w:rFonts w:ascii="Aptos" w:hAnsi="Aptos"/>
          <w:sz w:val="20"/>
          <w:szCs w:val="20"/>
        </w:rPr>
        <w:t>AI WORKBENCH</w:t>
      </w:r>
    </w:p>
    <w:p>
      <w:pPr>
        <w:spacing w:after="230" w:line="276" w:lineRule="auto"/>
        <w:pStyle w:val="Subtitle"/>
      </w:pPr>
      <w:r>
        <w:rPr>
          <w:rFonts w:ascii="Aptos" w:hAnsi="Aptos"/>
          <w:sz w:val="20"/>
          <w:szCs w:val="20"/>
        </w:rPr>
        <w:t>Technical Workflow and Knowledge Core</w:t>
      </w:r>
    </w:p>
    <w:p>
      <w:pPr>
        <w:spacing w:after="250" w:line="276" w:lineRule="auto"/>
      </w:pPr>
      <w:r>
        <w:rPr>
          <w:rFonts w:ascii="Aptos" w:hAnsi="Aptos"/>
          <w:sz w:val="24"/>
          <w:szCs w:val="24"/>
        </w:rPr>
        <w:t>End-to-end architecture, graph sequence, agent contracts, persistence boundaries, and human controls</w:t>
      </w:r>
    </w:p>
    <w:p>
      <w:pPr>
        <w:spacing w:after="80" w:line="276" w:lineRule="auto"/>
      </w:pPr>
      <w:r>
        <w:rPr>
          <w:rFonts w:ascii="Aptos" w:hAnsi="Aptos"/>
          <w:sz w:val="18"/>
          <w:szCs w:val="18"/>
        </w:rPr>
        <w:t>Repository-grounded implementation guide | 10 October 2026</w:t>
      </w:r>
    </w:p>
    <w:p>
      <w:pPr>
        <w:spacing w:after="110" w:line="276" w:lineRule="auto"/>
      </w:pPr>
      <w:r>
        <w:rPr>
          <w:rFonts w:ascii="Aptos" w:hAnsi="Aptos"/>
          <w:sz w:val="18"/>
          <w:szCs w:val="18"/>
        </w:rPr>
        <w:t>Audience: engineering, migration, data, assurance, and operations</w:t>
      </w:r>
    </w:p>
    <w:p>
      <w:pPr/>
      <w:r>
        <w:t>Revision note (October 2026): this guide predates the multi-project, PostgreSQL-only, Azure-native release (projects, chunked 2-4 GB uploads, job workers, dynamic pipelines, administrator sign-in). Where they differ, docs/architecture.md and docs/agents_explained.md describe the current system.</w:t>
      </w:r>
    </w:p>
    <w:p>
      <w:pPr>
        <w:spacing w:after="130" w:line="276" w:lineRule="auto"/>
        <w:pStyle w:val="Heading1"/>
        <w:keepNext/>
      </w:pPr>
      <w:r>
        <w:rPr>
          <w:rFonts w:ascii="Aptos" w:hAnsi="Aptos"/>
          <w:sz w:val="20"/>
          <w:szCs w:val="20"/>
        </w:rPr>
        <w:t>Purpose and scope</w:t>
      </w:r>
    </w:p>
    <w:p>
      <w:pPr>
        <w:spacing w:after="110" w:line="276" w:lineRule="auto"/>
      </w:pPr>
      <w:r>
        <w:rPr>
          <w:rFonts w:ascii="Aptos" w:hAnsi="Aptos"/>
          <w:sz w:val="20"/>
          <w:szCs w:val="20"/>
        </w:rPr>
        <w:t>This guide follows a run from upload intake to final go/no-go. It names all 31 registered agents, explains each agent's purpose and input/output contract, and identifies every Knowledge Core (KC) interaction. It also separates raw evidence, relational business truth, graph/checkpoint state, and derived search data.</w:t>
      </w:r>
    </w:p>
    <w:p>
      <w:pPr>
        <w:spacing w:after="110" w:line="276" w:lineRule="auto"/>
      </w:pPr>
      <w:r>
        <w:rPr>
          <w:rFonts w:ascii="Aptos" w:hAnsi="Aptos"/>
          <w:sz w:val="20"/>
          <w:szCs w:val="20"/>
        </w:rPr>
        <w:t>The system is evidence-led and human-governed. Agent proposals, heuristic scores, generated answers, and LLM output are not certified truth. Certification is an explicit, auditable lifecycle transition; absent or invalid review is unresolved, never approval.</w:t>
      </w:r>
    </w:p>
    <w:p>
      <w:pPr>
        <w:spacing w:after="130" w:line="276" w:lineRule="auto"/>
        <w:pStyle w:val="Heading2"/>
        <w:keepNext/>
      </w:pPr>
      <w:r>
        <w:rPr>
          <w:rFonts w:ascii="Aptos" w:hAnsi="Aptos"/>
          <w:sz w:val="20"/>
          <w:szCs w:val="20"/>
        </w:rPr>
        <w:t>Verification boundary</w:t>
      </w:r>
    </w:p>
    <w:p>
      <w:pPr>
        <w:spacing w:after="110" w:line="276" w:lineRule="auto"/>
      </w:pPr>
      <w:r>
        <w:rPr>
          <w:rFonts w:ascii="Aptos" w:hAnsi="Aptos"/>
          <w:sz w:val="20"/>
          <w:szCs w:val="20"/>
        </w:rPr>
        <w:t>The PostgreSQL runtime selects pgvector retrieval; the OpenAI embedding endpoint requires OPENAI_API_KEY and the explicit external-embedding approval setting. SQLite retains the BM25 offline/test path. The implementation test suite and SQLite migration chain passed previously; a live PostgreSQL/OpenAI integration was not exercised.</w:t>
      </w:r>
    </w:p>
    <w:p>
      <w:r>
        <w:br w:type="page"/>
      </w:r>
    </w:p>
    <w:p>
      <w:pPr>
        <w:spacing w:after="130" w:line="276" w:lineRule="auto"/>
        <w:pStyle w:val="Heading1"/>
        <w:keepNext/>
      </w:pPr>
      <w:r>
        <w:rPr>
          <w:rFonts w:ascii="Aptos" w:hAnsi="Aptos"/>
          <w:sz w:val="20"/>
          <w:szCs w:val="20"/>
        </w:rPr>
        <w:t>1. System architecture and data boundaries</w:t>
      </w:r>
    </w:p>
    <w:tbl>
      <w:tblPr>
        <w:tblW w:w="9360" w:type="dxa"/>
        <w:tblLayout w:type="fixed"/>
        <w:tblBorders>
          <w:top w:val="single" w:sz="5" w:color="8EAFC8"/>
          <w:left w:val="single" w:sz="5" w:color="8EAFC8"/>
          <w:bottom w:val="single" w:sz="5" w:color="8EAFC8"/>
          <w:right w:val="single" w:sz="5" w:color="8EAFC8"/>
          <w:insideH w:val="single" w:sz="4" w:color="CBD7E1"/>
          <w:insideV w:val="single" w:sz="4" w:color="CBD7E1"/>
        </w:tblBorders>
        <w:tblCellMar>
          <w:top w:w="60" w:type="dxa"/>
          <w:left w:w="75" w:type="dxa"/>
          <w:bottom w:w="60" w:type="dxa"/>
          <w:right w:w="75" w:type="dxa"/>
        </w:tblCellMar>
      </w:tblPr>
      <w:tblGrid>
        <w:gridCol w:w="1750"/>
        <w:gridCol w:w="3600"/>
        <w:gridCol w:w="4010"/>
      </w:tblGrid>
      <w:tr>
        <w:trPr>
          <w:tblHeader/>
        </w:trPr>
        <w:tc>
          <w:tcPr>
            <w:tcW w:w="1750" w:type="dxa"/>
            <w:shd w:fill="17365D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7"/>
                <w:szCs w:val="17"/>
                <w:b/>
                <w:color w:val="FFFFFF"/>
              </w:rPr>
              <w:t>Component</w:t>
            </w:r>
          </w:p>
        </w:tc>
        <w:tc>
          <w:tcPr>
            <w:tcW w:w="3600" w:type="dxa"/>
            <w:shd w:fill="17365D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7"/>
                <w:szCs w:val="17"/>
                <w:b/>
                <w:color w:val="FFFFFF"/>
              </w:rPr>
              <w:t>Responsibility</w:t>
            </w:r>
          </w:p>
        </w:tc>
        <w:tc>
          <w:tcPr>
            <w:tcW w:w="4010" w:type="dxa"/>
            <w:shd w:fill="17365D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7"/>
                <w:szCs w:val="17"/>
                <w:b/>
                <w:color w:val="FFFFFF"/>
              </w:rPr>
              <w:t>Data / contract</w:t>
            </w:r>
          </w:p>
        </w:tc>
      </w:tr>
      <w:tr>
        <w:tc>
          <w:tcPr>
            <w:tcW w:w="175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API + operator console</w:t>
            </w:r>
          </w:p>
        </w:tc>
        <w:tc>
          <w:tcPr>
            <w:tcW w:w="360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Uploads, run controls, review, decisions, evidence, assistant and readiness.</w:t>
            </w:r>
          </w:p>
        </w:tc>
        <w:tc>
          <w:tcPr>
            <w:tcW w:w="401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FastAPI /v1 routes; authenticated identity and server-side role checks.</w:t>
            </w:r>
          </w:p>
        </w:tc>
      </w:tr>
      <w:tr>
        <w:tc>
          <w:tcPr>
            <w:tcW w:w="175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RunService + LangGraph</w:t>
            </w:r>
          </w:p>
        </w:tc>
        <w:tc>
          <w:tcPr>
            <w:tcW w:w="360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Creates and executes a run, interrupts at gates, resumes from durable state.</w:t>
            </w:r>
          </w:p>
        </w:tc>
        <w:tc>
          <w:tcPr>
            <w:tcW w:w="401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run_id is graph thread_id; aiwbState / StreamState contain compact typed data and references.</w:t>
            </w:r>
          </w:p>
        </w:tc>
      </w:tr>
      <w:tr>
        <w:tc>
          <w:tcPr>
            <w:tcW w:w="175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Agents + control plane</w:t>
            </w:r>
          </w:p>
        </w:tc>
        <w:tc>
          <w:tcPr>
            <w:tcW w:w="360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Bounded extraction, analysis, proposals and deterministic work.</w:t>
            </w:r>
          </w:p>
        </w:tc>
        <w:tc>
          <w:tcPr>
            <w:tcW w:w="401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Registered tier/capabilities, typed Pydantic input/output, execution and signal telemetry.</w:t>
            </w:r>
          </w:p>
        </w:tc>
      </w:tr>
      <w:tr>
        <w:tc>
          <w:tcPr>
            <w:tcW w:w="175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Knowledge Core</w:t>
            </w:r>
          </w:p>
        </w:tc>
        <w:tc>
          <w:tcPr>
            <w:tcW w:w="360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Canonical structured business state, status, provenance, audit and telemetry.</w:t>
            </w:r>
          </w:p>
        </w:tc>
        <w:tc>
          <w:tcPr>
            <w:tcW w:w="401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SQLAlchemy repository; PostgreSQL deployment, SQLite local/test.</w:t>
            </w:r>
          </w:p>
        </w:tc>
      </w:tr>
      <w:tr>
        <w:tc>
          <w:tcPr>
            <w:tcW w:w="175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Evidence store</w:t>
            </w:r>
          </w:p>
        </w:tc>
        <w:tc>
          <w:tcPr>
            <w:tcW w:w="360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Stores original/staged source bytes.</w:t>
            </w:r>
          </w:p>
        </w:tc>
        <w:tc>
          <w:tcPr>
            <w:tcW w:w="401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Local store and Azure Blob/ADLS implementation; KC stores metadata and references.</w:t>
            </w:r>
          </w:p>
        </w:tc>
      </w:tr>
      <w:tr>
        <w:tc>
          <w:tcPr>
            <w:tcW w:w="175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Retrieval index</w:t>
            </w:r>
          </w:p>
        </w:tc>
        <w:tc>
          <w:tcPr>
            <w:tcW w:w="360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Search over eligible certified content.</w:t>
            </w:r>
          </w:p>
        </w:tc>
        <w:tc>
          <w:tcPr>
            <w:tcW w:w="401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pgvector in PostgreSQL; in-process BM25 in SQLite; rebuildable derived state.</w:t>
            </w:r>
          </w:p>
        </w:tc>
      </w:tr>
      <w:tr>
        <w:tc>
          <w:tcPr>
            <w:tcW w:w="175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Graph checkpointer</w:t>
            </w:r>
          </w:p>
        </w:tc>
        <w:tc>
          <w:tcPr>
            <w:tcW w:w="360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Persists interrupt/resume state.</w:t>
            </w:r>
          </w:p>
        </w:tc>
        <w:tc>
          <w:tcPr>
            <w:tcW w:w="401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Separate LangGraph SQLite/PostgreSQL checkpoint tables, distinct from KC schema.</w:t>
            </w:r>
          </w:p>
        </w:tc>
      </w:tr>
    </w:tbl>
    <w:p>
      <w:pPr>
        <w:spacing w:after="65" w:line="276" w:lineRule="auto"/>
      </w:pPr>
    </w:p>
    <w:p>
      <w:pPr>
        <w:spacing w:after="130" w:line="276" w:lineRule="auto"/>
        <w:pStyle w:val="Heading1"/>
        <w:keepNext/>
      </w:pPr>
      <w:r>
        <w:rPr>
          <w:rFonts w:ascii="Aptos" w:hAnsi="Aptos"/>
          <w:sz w:val="20"/>
          <w:szCs w:val="20"/>
        </w:rPr>
        <w:t>1.1 Four persistence planes</w:t>
      </w:r>
    </w:p>
    <w:tbl>
      <w:tblPr>
        <w:tblW w:w="9360" w:type="dxa"/>
        <w:tblLayout w:type="fixed"/>
        <w:tblBorders>
          <w:top w:val="single" w:sz="5" w:color="8EAFC8"/>
          <w:left w:val="single" w:sz="5" w:color="8EAFC8"/>
          <w:bottom w:val="single" w:sz="5" w:color="8EAFC8"/>
          <w:right w:val="single" w:sz="5" w:color="8EAFC8"/>
          <w:insideH w:val="single" w:sz="4" w:color="CBD7E1"/>
          <w:insideV w:val="single" w:sz="4" w:color="CBD7E1"/>
        </w:tblBorders>
        <w:tblCellMar>
          <w:top w:w="60" w:type="dxa"/>
          <w:left w:w="75" w:type="dxa"/>
          <w:bottom w:w="60" w:type="dxa"/>
          <w:right w:w="75" w:type="dxa"/>
        </w:tblCellMar>
      </w:tblPr>
      <w:tblGrid>
        <w:gridCol w:w="1850"/>
        <w:gridCol w:w="4050"/>
        <w:gridCol w:w="3460"/>
      </w:tblGrid>
      <w:tr>
        <w:trPr>
          <w:tblHeader/>
        </w:trPr>
        <w:tc>
          <w:tcPr>
            <w:tcW w:w="1850" w:type="dxa"/>
            <w:shd w:fill="17365D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7"/>
                <w:szCs w:val="17"/>
                <w:b/>
                <w:color w:val="FFFFFF"/>
              </w:rPr>
              <w:t>Plane</w:t>
            </w:r>
          </w:p>
        </w:tc>
        <w:tc>
          <w:tcPr>
            <w:tcW w:w="4050" w:type="dxa"/>
            <w:shd w:fill="17365D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7"/>
                <w:szCs w:val="17"/>
                <w:b/>
                <w:color w:val="FFFFFF"/>
              </w:rPr>
              <w:t>Stores</w:t>
            </w:r>
          </w:p>
        </w:tc>
        <w:tc>
          <w:tcPr>
            <w:tcW w:w="3460" w:type="dxa"/>
            <w:shd w:fill="17365D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7"/>
                <w:szCs w:val="17"/>
                <w:b/>
                <w:color w:val="FFFFFF"/>
              </w:rPr>
              <w:t>Authority</w:t>
            </w:r>
          </w:p>
        </w:tc>
      </w:tr>
      <w:tr>
        <w:tc>
          <w:tcPr>
            <w:tcW w:w="185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Evidence</w:t>
            </w:r>
          </w:p>
        </w:tc>
        <w:tc>
          <w:tcPr>
            <w:tcW w:w="405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Uploaded bundles and extracted file bytes; checksums, locators and PII treatment.</w:t>
            </w:r>
          </w:p>
        </w:tc>
        <w:tc>
          <w:tcPr>
            <w:tcW w:w="346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Source content. Artefact rows are references/metadata, not full file copies.</w:t>
            </w:r>
          </w:p>
        </w:tc>
      </w:tr>
      <w:tr>
        <w:tc>
          <w:tcPr>
            <w:tcW w:w="185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Knowledge Core</w:t>
            </w:r>
          </w:p>
        </w:tc>
        <w:tc>
          <w:tcPr>
            <w:tcW w:w="405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Rules, differentials, mappings, cohorts, breaks, cases, decisions, provenance and audit.</w:t>
            </w:r>
          </w:p>
        </w:tc>
        <w:tc>
          <w:tcPr>
            <w:tcW w:w="346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Canonical structured truth; certification is status-controlled.</w:t>
            </w:r>
          </w:p>
        </w:tc>
      </w:tr>
      <w:tr>
        <w:tc>
          <w:tcPr>
            <w:tcW w:w="185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Graph state/checkpoint</w:t>
            </w:r>
          </w:p>
        </w:tc>
        <w:tc>
          <w:tcPr>
            <w:tcW w:w="405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Node outputs, reducer channels, IDs, gate interrupt state and compact summaries.</w:t>
            </w:r>
          </w:p>
        </w:tc>
        <w:tc>
          <w:tcPr>
            <w:tcW w:w="346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Execution and resume state; not business truth. Raw bytes excluded.</w:t>
            </w:r>
          </w:p>
        </w:tc>
      </w:tr>
      <w:tr>
        <w:tc>
          <w:tcPr>
            <w:tcW w:w="185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Derived retrieval</w:t>
            </w:r>
          </w:p>
        </w:tc>
        <w:tc>
          <w:tcPr>
            <w:tcW w:w="405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Text, metadata and embeddings for certified rules, adjudications and mappings.</w:t>
            </w:r>
          </w:p>
        </w:tc>
        <w:tc>
          <w:tcPr>
            <w:tcW w:w="346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Rebuildable search representation; retrieve current business state from KC.</w:t>
            </w:r>
          </w:p>
        </w:tc>
      </w:tr>
    </w:tbl>
    <w:p>
      <w:pPr>
        <w:spacing w:after="65" w:line="276" w:lineRule="auto"/>
      </w:pPr>
    </w:p>
    <w:p>
      <w:pPr>
        <w:spacing w:after="130" w:line="276" w:lineRule="auto"/>
        <w:pStyle w:val="Heading1"/>
        <w:keepNext/>
      </w:pPr>
      <w:r>
        <w:rPr>
          <w:rFonts w:ascii="Aptos" w:hAnsi="Aptos"/>
          <w:sz w:val="20"/>
          <w:szCs w:val="20"/>
        </w:rPr>
        <w:t>1.2 Component interaction</w:t>
      </w:r>
    </w:p>
    <w:p>
      <w:pPr>
        <w:spacing w:after="110" w:line="276" w:lineRule="auto"/>
      </w:pPr>
      <w:r>
        <w:rPr>
          <w:rFonts w:ascii="Aptos" w:hAnsi="Aptos"/>
          <w:sz w:val="20"/>
          <w:szCs w:val="20"/>
        </w:rPr>
        <w:t>Operator -&gt; POST /v1/uploads -&gt; validate and hash bundle -&gt; Upload row + evidence staging -&gt; POST /v1/runs -&gt; validate source/target roles and create IngestRun -&gt; graph nodes -&gt; guarded proposals in KC -&gt; human interrupt/resume -&gt; certified-only downstream processing -&gt; refresh retrieval -&gt; AssuranceReport -&gt; migration-lead go/no-go -&gt; final run summary.</w:t>
      </w:r>
    </w:p>
    <w:p>
      <w:pPr>
        <w:spacing w:after="110" w:line="276" w:lineRule="auto"/>
      </w:pPr>
      <w:r>
        <w:rPr>
          <w:rFonts w:ascii="Aptos" w:hAnsi="Aptos"/>
          <w:sz w:val="20"/>
          <w:szCs w:val="20"/>
        </w:rPr>
        <w:t>Cross-cutting execution includes kill-switch checks, time-budget preflight, tracing, identity/capability checks, typed output validation, budget handling and explicit failure status. LLM, ATS and MCP calls go through policy-aware gateways with their own telemetry.</w:t>
      </w:r>
    </w:p>
    <w:p>
      <w:pPr>
        <w:spacing w:after="130" w:line="276" w:lineRule="auto"/>
        <w:pStyle w:val="Heading1"/>
        <w:keepNext/>
      </w:pPr>
      <w:r>
        <w:rPr>
          <w:rFonts w:ascii="Aptos" w:hAnsi="Aptos"/>
          <w:sz w:val="20"/>
          <w:szCs w:val="20"/>
        </w:rPr>
        <w:t>2. Graph workflow: each step</w:t>
      </w:r>
    </w:p>
    <w:p>
      <w:pPr>
        <w:spacing w:after="110" w:line="276" w:lineRule="auto"/>
      </w:pPr>
      <w:r>
        <w:rPr>
          <w:rFonts w:ascii="Aptos" w:hAnsi="Aptos"/>
          <w:sz w:val="20"/>
          <w:szCs w:val="20"/>
        </w:rPr>
        <w:t>Compiled graph: ai_workbench_assurance. File extraction fans out per routable artefact with LangGraph Send. After rule adjudication, story, mapping-build, and data-quality branches run in parallel. Reconciliation waits for certified mappings.</w:t>
      </w:r>
    </w:p>
    <w:tbl>
      <w:tblPr>
        <w:tblW w:w="9360" w:type="dxa"/>
        <w:tblLayout w:type="fixed"/>
        <w:tblBorders>
          <w:top w:val="single" w:sz="5" w:color="8EAFC8"/>
          <w:left w:val="single" w:sz="5" w:color="8EAFC8"/>
          <w:bottom w:val="single" w:sz="5" w:color="8EAFC8"/>
          <w:right w:val="single" w:sz="5" w:color="8EAFC8"/>
          <w:insideH w:val="single" w:sz="4" w:color="CBD7E1"/>
          <w:insideV w:val="single" w:sz="4" w:color="CBD7E1"/>
        </w:tblBorders>
        <w:tblCellMar>
          <w:top w:w="60" w:type="dxa"/>
          <w:left w:w="75" w:type="dxa"/>
          <w:bottom w:w="60" w:type="dxa"/>
          <w:right w:w="75" w:type="dxa"/>
        </w:tblCellMar>
      </w:tblPr>
      <w:tblGrid>
        <w:gridCol w:w="1550"/>
        <w:gridCol w:w="3000"/>
        <w:gridCol w:w="2700"/>
        <w:gridCol w:w="2110"/>
      </w:tblGrid>
      <w:tr>
        <w:trPr>
          <w:tblHeader/>
        </w:trPr>
        <w:tc>
          <w:tcPr>
            <w:tcW w:w="1550" w:type="dxa"/>
            <w:shd w:fill="17365D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  <w:b/>
                <w:color w:val="FFFFFF"/>
              </w:rPr>
              <w:t>Sequence / node</w:t>
            </w:r>
          </w:p>
        </w:tc>
        <w:tc>
          <w:tcPr>
            <w:tcW w:w="3000" w:type="dxa"/>
            <w:shd w:fill="17365D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  <w:b/>
                <w:color w:val="FFFFFF"/>
              </w:rPr>
              <w:t>Function</w:t>
            </w:r>
          </w:p>
        </w:tc>
        <w:tc>
          <w:tcPr>
            <w:tcW w:w="2700" w:type="dxa"/>
            <w:shd w:fill="17365D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  <w:b/>
                <w:color w:val="FFFFFF"/>
              </w:rPr>
              <w:t>Input -&gt; output</w:t>
            </w:r>
          </w:p>
        </w:tc>
        <w:tc>
          <w:tcPr>
            <w:tcW w:w="2110" w:type="dxa"/>
            <w:shd w:fill="17365D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  <w:b/>
                <w:color w:val="FFFFFF"/>
              </w:rPr>
              <w:t>KC effects</w:t>
            </w:r>
          </w:p>
        </w:tc>
      </w:tr>
      <w:tr>
        <w:tc>
          <w:tcPr>
            <w:tcW w:w="155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00 | API intake and run creation</w:t>
            </w:r>
          </w:p>
        </w:tc>
        <w:tc>
          <w:tcPr>
            <w:tcW w:w="300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Upload validates ZIP limits, paths/symlinks, duplicate members, size, compression, and hashes. Run creation requires source and target uploads and unique system names.</w:t>
            </w:r>
          </w:p>
        </w:tc>
        <w:tc>
          <w:tcPr>
            <w:tcW w:w="270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In: bundle + system role/name. Out: upload_id, manifest, run_id.</w:t>
            </w:r>
          </w:p>
        </w:tc>
        <w:tc>
          <w:tcPr>
            <w:tcW w:w="211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save_upload -&gt; Upload; create_run -&gt; IngestRun and Audit.</w:t>
            </w:r>
          </w:p>
        </w:tc>
      </w:tr>
      <w:tr>
        <w:tc>
          <w:tcPr>
            <w:tcW w:w="155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01 | self_test</w:t>
            </w:r>
          </w:p>
        </w:tc>
        <w:tc>
          <w:tcPr>
            <w:tcW w:w="300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OrchestratorAgent runs control-plane and deterministic evidence-guard refusal tests. Failure stops processing.</w:t>
            </w:r>
          </w:p>
        </w:tc>
        <w:tc>
          <w:tcPr>
            <w:tcW w:w="270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In: run context/action=self_test. Out: check summary and signals.</w:t>
            </w:r>
          </w:p>
        </w:tc>
        <w:tc>
          <w:tcPr>
            <w:tcW w:w="211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IngestRun running status, AgentExecution, Signal.</w:t>
            </w:r>
          </w:p>
        </w:tc>
      </w:tr>
      <w:tr>
        <w:tc>
          <w:tcPr>
            <w:tcW w:w="155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02 | ingest</w:t>
            </w:r>
          </w:p>
        </w:tc>
        <w:tc>
          <w:tcPr>
            <w:tcW w:w="300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Rechecks bundle/member hashes and manifest. Configured CSV/DAT columns may be obfuscated before evidence staging.</w:t>
            </w:r>
          </w:p>
        </w:tc>
        <w:tc>
          <w:tcPr>
            <w:tcW w:w="270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In: upload_ids. Out: staged file references, roles, hashes, sizes and PII metadata.</w:t>
            </w:r>
          </w:p>
        </w:tc>
        <w:tc>
          <w:tcPr>
            <w:tcW w:w="211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Reads Upload, attaches upload to run; file bytes to EvidenceStore.</w:t>
            </w:r>
          </w:p>
        </w:tc>
      </w:tr>
      <w:tr>
        <w:tc>
          <w:tcPr>
            <w:tcW w:w="155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03 | cartographer</w:t>
            </w:r>
          </w:p>
        </w:tc>
        <w:tc>
          <w:tcPr>
            <w:tcW w:w="300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Classifies by extension, file magic/content sniff; assigns language, artefact type, route, confidence and locators.</w:t>
            </w:r>
          </w:p>
        </w:tc>
        <w:tc>
          <w:tcPr>
            <w:tcW w:w="270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In: staged records. Out: Artefact records with route/blob URI/checksum.</w:t>
            </w:r>
          </w:p>
        </w:tc>
        <w:tc>
          <w:tcPr>
            <w:tcW w:w="211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save_artefacts -&gt; Artefact metadata; source bytes remain external.</w:t>
            </w:r>
          </w:p>
        </w:tc>
      </w:tr>
      <w:tr>
        <w:tc>
          <w:tcPr>
            <w:tcW w:w="155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04 | dispatch + specialist extraction</w:t>
            </w:r>
          </w:p>
        </w:tc>
        <w:tc>
          <w:tcPr>
            <w:tcW w:w="300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One Send task per routable Artefact. Specialist parser reads via EvidenceReader. Individual parse failures are signalled/marked failed.</w:t>
            </w:r>
          </w:p>
        </w:tc>
        <w:tc>
          <w:tcPr>
            <w:tcW w:w="270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In per task: run_id + Artefact. Out reducer channels: candidate_parts, dictionary_parts, analysis_parts.</w:t>
            </w:r>
          </w:p>
        </w:tc>
        <w:tc>
          <w:tcPr>
            <w:tcW w:w="211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AgentExecution/Signal; Artefact analysis status/summary.</w:t>
            </w:r>
          </w:p>
        </w:tc>
      </w:tr>
      <w:tr>
        <w:tc>
          <w:tcPr>
            <w:tcW w:w="155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05 | guard fan-in</w:t>
            </w:r>
          </w:p>
        </w:tc>
        <w:tc>
          <w:tcPr>
            <w:tcW w:w="300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DeterministicGuard rereads exact source span/cell/schema/data evidence, checks claims, consolidates extractor output.</w:t>
            </w:r>
          </w:p>
        </w:tc>
        <w:tc>
          <w:tcPr>
            <w:tcW w:w="270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In: candidate_parts + dictionary_parts + artefacts. Out: accepted candidates, rule IDs, rejections, dictionary and counters.</w:t>
            </w:r>
          </w:p>
        </w:tc>
        <w:tc>
          <w:tcPr>
            <w:tcW w:w="211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GuardrailEvent for rejection; no rejected claim becomes certified truth.</w:t>
            </w:r>
          </w:p>
        </w:tc>
      </w:tr>
      <w:tr>
        <w:tc>
          <w:tcPr>
            <w:tcW w:w="155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06 | normaliser</w:t>
            </w:r>
          </w:p>
        </w:tc>
        <w:tc>
          <w:tcPr>
            <w:tcW w:w="300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Canonicalizes names, domains, expressions, conditions, evidence and rule grouping to shared NormalisedRule schema.</w:t>
            </w:r>
          </w:p>
        </w:tc>
        <w:tc>
          <w:tcPr>
            <w:tcW w:w="270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In: accepted CandidateRule[]. Out: normalised rules.</w:t>
            </w:r>
          </w:p>
        </w:tc>
        <w:tc>
          <w:tcPr>
            <w:tcW w:w="211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save_rules -&gt; proposed Rule + provenance + audit; save_dictionary.</w:t>
            </w:r>
          </w:p>
        </w:tc>
      </w:tr>
      <w:tr>
        <w:tc>
          <w:tcPr>
            <w:tcW w:w="155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07 | differential</w:t>
            </w:r>
          </w:p>
        </w:tc>
        <w:tc>
          <w:tcPr>
            <w:tcW w:w="300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Aligns source/target/document rules; deterministic equivalence and test-vector divergence; bounded ATS/LLM explanation only under policy.</w:t>
            </w:r>
          </w:p>
        </w:tc>
        <w:tc>
          <w:tcPr>
            <w:tcW w:w="270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In: NormalisedRule[]. Out: Differential[] with sides, evidence, divergence, severity and exposure.</w:t>
            </w:r>
          </w:p>
        </w:tc>
        <w:tc>
          <w:tcPr>
            <w:tcW w:w="211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Guard then save_differentials -&gt; Differential + provenance + audit.</w:t>
            </w:r>
          </w:p>
        </w:tc>
      </w:tr>
      <w:tr>
        <w:tc>
          <w:tcPr>
            <w:tcW w:w="155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08 | adjudication brief</w:t>
            </w:r>
          </w:p>
        </w:tc>
        <w:tc>
          <w:tcPr>
            <w:tcW w:w="300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Prepares evidence, options and exposure for an expert; it does not decide.</w:t>
            </w:r>
          </w:p>
        </w:tc>
        <w:tc>
          <w:tcPr>
            <w:tcW w:w="270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In: Differential[]. Out: AdjudicationBrief[] and required role actuary_sme.</w:t>
            </w:r>
          </w:p>
        </w:tc>
        <w:tc>
          <w:tcPr>
            <w:tcW w:w="211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set_differential_briefs updates differential and audit.</w:t>
            </w:r>
          </w:p>
        </w:tc>
      </w:tr>
      <w:tr>
        <w:tc>
          <w:tcPr>
            <w:tcW w:w="155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09 | rule_adjudication gate</w:t>
            </w:r>
          </w:p>
        </w:tc>
        <w:tc>
          <w:tcPr>
            <w:tcW w:w="300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Actuary/product SME resolves differential and aggregate undisputed-rule task. Source/target acceptance certifies selected side; override needs expression; reject does not certify.</w:t>
            </w:r>
          </w:p>
        </w:tc>
        <w:tc>
          <w:tcPr>
            <w:tcW w:w="270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In: differentials, briefs, accepted IDs. Out: validated decisions and certified/unresolved rule state.</w:t>
            </w:r>
          </w:p>
        </w:tc>
        <w:tc>
          <w:tcPr>
            <w:tcW w:w="211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HitlTask, Adjudication, apply_human_decision, certify_rule, Audit. Missing/invalid -&gt; unresolved.</w:t>
            </w:r>
          </w:p>
        </w:tc>
      </w:tr>
      <w:tr>
        <w:tc>
          <w:tcPr>
            <w:tcW w:w="155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10 | certified_core</w:t>
            </w:r>
          </w:p>
        </w:tc>
        <w:tc>
          <w:tcPr>
            <w:tcW w:w="300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Reads certified Rule rows and derives closed domains only when supported by at least two enumerated rules.</w:t>
            </w:r>
          </w:p>
        </w:tc>
        <w:tc>
          <w:tcPr>
            <w:tcW w:w="270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In: run_id/normalized rules. Out: certified_rule_ids and domains.</w:t>
            </w:r>
          </w:p>
        </w:tc>
        <w:tc>
          <w:tcPr>
            <w:tcW w:w="211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KC Rule status read; downstream branches consume certified snapshot.</w:t>
            </w:r>
          </w:p>
        </w:tc>
      </w:tr>
      <w:tr>
        <w:tc>
          <w:tcPr>
            <w:tcW w:w="155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11a | story branch (parallel)</w:t>
            </w:r>
          </w:p>
        </w:tc>
        <w:tc>
          <w:tcPr>
            <w:tcW w:w="300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Builds deterministic acceptance criteria and examples from source-side certified rules.</w:t>
            </w:r>
          </w:p>
        </w:tc>
        <w:tc>
          <w:tcPr>
            <w:tcW w:w="270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In: certified source rules. Out: UserStory[] with rule refs/evidence.</w:t>
            </w:r>
          </w:p>
        </w:tc>
        <w:tc>
          <w:tcPr>
            <w:tcW w:w="211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save_stories; external work-item creation is governed MCP.</w:t>
            </w:r>
          </w:p>
        </w:tc>
      </w:tr>
      <w:tr>
        <w:tc>
          <w:tcPr>
            <w:tcW w:w="155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11b | mapping_build branch (parallel)</w:t>
            </w:r>
          </w:p>
        </w:tc>
        <w:tc>
          <w:tcPr>
            <w:tcW w:w="300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Mapping agent proposes endpoints/transforms; validator independently checks compatibility and transform findings.</w:t>
            </w:r>
          </w:p>
        </w:tc>
        <w:tc>
          <w:tcPr>
            <w:tcW w:w="270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In: dictionary. Out: proposals/unmapped fields + validations.</w:t>
            </w:r>
          </w:p>
        </w:tc>
        <w:tc>
          <w:tcPr>
            <w:tcW w:w="211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Evidence guard then save_mappings; set_mapping_validation; provenance/audit.</w:t>
            </w:r>
          </w:p>
        </w:tc>
      </w:tr>
      <w:tr>
        <w:tc>
          <w:tcPr>
            <w:tcW w:w="155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11c | data_quality branch (parallel)</w:t>
            </w:r>
          </w:p>
        </w:tc>
        <w:tc>
          <w:tcPr>
            <w:tcW w:w="300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Sequential subgraph: profiler -&gt; anomaly -&gt; root cause -&gt; cleansing -&gt; live/archive -&gt; entity match. Recommendations do not mutate source data.</w:t>
            </w:r>
          </w:p>
        </w:tc>
        <w:tc>
          <w:tcPr>
            <w:tcW w:w="270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In: dictionary + certified domains. Out: profiles, cohorts, hypotheses, cleansing proposals, activity scores and duplicate candidates.</w:t>
            </w:r>
          </w:p>
        </w:tc>
        <w:tc>
          <w:tcPr>
            <w:tcW w:w="211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save_cohorts; annotate_cohort; save_entity_matches with evidence. Profiles/live scores remain graph output.</w:t>
            </w:r>
          </w:p>
        </w:tc>
      </w:tr>
      <w:tr>
        <w:tc>
          <w:tcPr>
            <w:tcW w:w="155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12 | mapping_approval gate</w:t>
            </w:r>
          </w:p>
        </w:tc>
        <w:tc>
          <w:tcPr>
            <w:tcW w:w="300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Data steward reviews mapping proposals, alternatives and independent validation; only governed decisions certify.</w:t>
            </w:r>
          </w:p>
        </w:tc>
        <w:tc>
          <w:tcPr>
            <w:tcW w:w="270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In: mappings + validation. Out: certified_mapping_ids read from KC.</w:t>
            </w:r>
          </w:p>
        </w:tc>
        <w:tc>
          <w:tcPr>
            <w:tcW w:w="211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HitlTask, decision, status/approval fields and Audit.</w:t>
            </w:r>
          </w:p>
        </w:tc>
      </w:tr>
      <w:tr>
        <w:tc>
          <w:tcPr>
            <w:tcW w:w="155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13 | data_quality_review gate</w:t>
            </w:r>
          </w:p>
        </w:tc>
        <w:tc>
          <w:tcPr>
            <w:tcW w:w="300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Steward reviews defect cohorts/root causes/cleansing recommendations and duplicate matches.</w:t>
            </w:r>
          </w:p>
        </w:tc>
        <w:tc>
          <w:tcPr>
            <w:tcW w:w="270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In: cohorts, annotations, entity matches. Out: decided or unresolved items.</w:t>
            </w:r>
          </w:p>
        </w:tc>
        <w:tc>
          <w:tcPr>
            <w:tcW w:w="211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HitlTask; cohort/entity-match status transition and Audit.</w:t>
            </w:r>
          </w:p>
        </w:tc>
      </w:tr>
      <w:tr>
        <w:tc>
          <w:tcPr>
            <w:tcW w:w="155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14 | codegen</w:t>
            </w:r>
          </w:p>
        </w:tc>
        <w:tc>
          <w:tcPr>
            <w:tcW w:w="300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Generates transform modules/tests from certified mappings; safety guard, syntax check and sandbox execution.</w:t>
            </w:r>
          </w:p>
        </w:tc>
        <w:tc>
          <w:tcPr>
            <w:tcW w:w="270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In: certified MappingProposal[]. Out: GeneratedCode[] with tests/results.</w:t>
            </w:r>
          </w:p>
        </w:tc>
        <w:tc>
          <w:tcPr>
            <w:tcW w:w="211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save_generated_code with mapping/evidence references, provenance/audit.</w:t>
            </w:r>
          </w:p>
        </w:tc>
      </w:tr>
      <w:tr>
        <w:tc>
          <w:tcPr>
            <w:tcW w:w="155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15 | reconciliation subgraph</w:t>
            </w:r>
          </w:p>
        </w:tc>
        <w:tc>
          <w:tcPr>
            <w:tcW w:w="300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Sequential: reconciler applies certified transforms and joins; break cluster groups/replays; lineage traces break to mapping/rule/evidence.</w:t>
            </w:r>
          </w:p>
        </w:tc>
        <w:tc>
          <w:tcPr>
            <w:tcW w:w="270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In: certified mappings, dictionary, extracts, breaks, decided differentials and confirmed duplicate links. Out: breaks, clusters, lineage.</w:t>
            </w:r>
          </w:p>
        </w:tc>
        <w:tc>
          <w:tcPr>
            <w:tcW w:w="211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save_breaks, save_clusters, set_break_lineage. Raw customer values are not telemetry payloads.</w:t>
            </w:r>
          </w:p>
        </w:tc>
      </w:tr>
      <w:tr>
        <w:tc>
          <w:tcPr>
            <w:tcW w:w="155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16 | reconciliation_review gate</w:t>
            </w:r>
          </w:p>
        </w:tc>
        <w:tc>
          <w:tcPr>
            <w:tcW w:w="300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Reconciliation analyst reviews cluster attribution and variance; heuristic association is not proof.</w:t>
            </w:r>
          </w:p>
        </w:tc>
        <w:tc>
          <w:tcPr>
            <w:tcW w:w="270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In: BreakCluster[]. Out: reviewed dispositions.</w:t>
            </w:r>
          </w:p>
        </w:tc>
        <w:tc>
          <w:tcPr>
            <w:tcW w:w="211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HitlTask, status/decision and Audit.</w:t>
            </w:r>
          </w:p>
        </w:tc>
      </w:tr>
      <w:tr>
        <w:tc>
          <w:tcPr>
            <w:tcW w:w="155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17 | conduct subgraph</w:t>
            </w:r>
          </w:p>
        </w:tc>
        <w:tc>
          <w:tcPr>
            <w:tcW w:w="300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Outcome evaluates customer detriment; routing assigns materiality band, queue and priority. Excludes firm-side losses and configured confirmed duplicate/tolerable variance.</w:t>
            </w:r>
          </w:p>
        </w:tc>
        <w:tc>
          <w:tcPr>
            <w:tcW w:w="270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In: breaks + clusters. Out: ConductOutcome[] -&gt; ConductCase[].</w:t>
            </w:r>
          </w:p>
        </w:tc>
        <w:tc>
          <w:tcPr>
            <w:tcW w:w="211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save_conduct_cases with verified evidence, provenance and audit.</w:t>
            </w:r>
          </w:p>
        </w:tc>
      </w:tr>
      <w:tr>
        <w:tc>
          <w:tcPr>
            <w:tcW w:w="155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18 | conduct_review gate</w:t>
            </w:r>
          </w:p>
        </w:tc>
        <w:tc>
          <w:tcPr>
            <w:tcW w:w="300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Conduct officer reviews outcome, materiality and routing; chooses action.</w:t>
            </w:r>
          </w:p>
        </w:tc>
        <w:tc>
          <w:tcPr>
            <w:tcW w:w="270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In: cases with impact/evidence. Out: decided or unresolved cases.</w:t>
            </w:r>
          </w:p>
        </w:tc>
        <w:tc>
          <w:tcPr>
            <w:tcW w:w="211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HitlTask, case disposition/decider and Audit.</w:t>
            </w:r>
          </w:p>
        </w:tc>
      </w:tr>
      <w:tr>
        <w:tc>
          <w:tcPr>
            <w:tcW w:w="155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19 | retrieval index</w:t>
            </w:r>
          </w:p>
        </w:tc>
        <w:tc>
          <w:tcPr>
            <w:tcW w:w="300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Refreshes the run's derived certified-content search documents.</w:t>
            </w:r>
          </w:p>
        </w:tc>
        <w:tc>
          <w:tcPr>
            <w:tcW w:w="270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In: run_id. Out: indexed-document count.</w:t>
            </w:r>
          </w:p>
        </w:tc>
        <w:tc>
          <w:tcPr>
            <w:tcW w:w="211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Reads certified KC. PostgreSQL writes retrieval_document vectors; SQLite builds in-memory BM25 index.</w:t>
            </w:r>
          </w:p>
        </w:tc>
      </w:tr>
      <w:tr>
        <w:tc>
          <w:tcPr>
            <w:tcW w:w="155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20 | assurance</w:t>
            </w:r>
          </w:p>
        </w:tc>
        <w:tc>
          <w:tcPr>
            <w:tcW w:w="300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Measures configured quality floors, provenance/audit/tracing, costs, latency, guardrails, completeness, readiness and blockers. Does not decide.</w:t>
            </w:r>
          </w:p>
        </w:tc>
        <w:tc>
          <w:tcPr>
            <w:tcW w:w="270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In: run facts + KC/telemetry. Out: AssuranceReport.</w:t>
            </w:r>
          </w:p>
        </w:tc>
        <w:tc>
          <w:tcPr>
            <w:tcW w:w="211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Reads run data and telemetry; save_assurance_report + signal.</w:t>
            </w:r>
          </w:p>
        </w:tc>
      </w:tr>
      <w:tr>
        <w:tc>
          <w:tcPr>
            <w:tcW w:w="155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21 | go_no_go gate</w:t>
            </w:r>
          </w:p>
        </w:tc>
        <w:tc>
          <w:tcPr>
            <w:tcW w:w="300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Migration lead explicitly decides after reviewing readiness and blockers.</w:t>
            </w:r>
          </w:p>
        </w:tc>
        <w:tc>
          <w:tcPr>
            <w:tcW w:w="270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In: run + assurance + gate state. Out: decision/decider/rationale or unresolved.</w:t>
            </w:r>
          </w:p>
        </w:tc>
        <w:tc>
          <w:tcPr>
            <w:tcW w:w="211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HitlTask, apply_human_decision and Audit.</w:t>
            </w:r>
          </w:p>
        </w:tc>
      </w:tr>
      <w:tr>
        <w:tc>
          <w:tcPr>
            <w:tcW w:w="155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22 | finalize</w:t>
            </w:r>
          </w:p>
        </w:tc>
        <w:tc>
          <w:tcPr>
            <w:tcW w:w="300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Summarizes counts and decisions, emits final signal and closes the run.</w:t>
            </w:r>
          </w:p>
        </w:tc>
        <w:tc>
          <w:tcPr>
            <w:tcW w:w="270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In: terminal aiwbState. Out: final summary.</w:t>
            </w:r>
          </w:p>
        </w:tc>
        <w:tc>
          <w:tcPr>
            <w:tcW w:w="211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5"/>
                <w:szCs w:val="15"/>
              </w:rPr>
              <w:t>Updates IngestRun status/summary/finished_at. Failure, halt and budget-stopped states remain explicit.</w:t>
            </w:r>
          </w:p>
        </w:tc>
      </w:tr>
    </w:tbl>
    <w:p>
      <w:pPr>
        <w:spacing w:after="65" w:line="276" w:lineRule="auto"/>
      </w:pPr>
    </w:p>
    <w:p>
      <w:pPr>
        <w:spacing w:after="130" w:line="276" w:lineRule="auto"/>
        <w:pStyle w:val="Heading1"/>
        <w:keepNext/>
      </w:pPr>
      <w:r>
        <w:rPr>
          <w:rFonts w:ascii="Aptos" w:hAnsi="Aptos"/>
          <w:sz w:val="20"/>
          <w:szCs w:val="20"/>
        </w:rPr>
        <w:t>3. All registered agents: role, input, output, KC</w:t>
      </w:r>
    </w:p>
    <w:p>
      <w:pPr>
        <w:spacing w:after="110" w:line="276" w:lineRule="auto"/>
      </w:pPr>
      <w:r>
        <w:rPr>
          <w:rFonts w:ascii="Aptos" w:hAnsi="Aptos"/>
          <w:sz w:val="20"/>
          <w:szCs w:val="20"/>
        </w:rPr>
        <w:t>T1 denotes evidence gathering/recommendation; T2 denotes proposal or interpretation requiring policy/human review; T3 denotes deterministic or mechanical work. Graph nodes perform the repository write after output and evidence validation. Every agent also emits execution/signal telemetry unless execution fails before startup.</w:t>
      </w:r>
    </w:p>
    <w:p>
      <w:pPr>
        <w:spacing w:after="60" w:line="276" w:lineRule="auto"/>
        <w:pStyle w:val="Heading3"/>
        <w:keepNext/>
      </w:pPr>
      <w:r>
        <w:rPr>
          <w:rFonts w:ascii="Aptos" w:hAnsi="Aptos"/>
          <w:sz w:val="20"/>
          <w:szCs w:val="20"/>
        </w:rPr>
        <w:t>orchestrator_agent (T3)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Function: </w:t>
      </w:r>
      <w:r>
        <w:rPr>
          <w:rFonts w:ascii="Aptos" w:hAnsi="Aptos"/>
          <w:sz w:val="18"/>
          <w:szCs w:val="18"/>
        </w:rPr>
        <w:t>Startup refusal self-test; LangGraph owns the actual graph ordering.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Input: </w:t>
      </w:r>
      <w:r>
        <w:rPr>
          <w:rFonts w:ascii="Aptos" w:hAnsi="Aptos"/>
          <w:sz w:val="18"/>
          <w:szCs w:val="18"/>
        </w:rPr>
        <w:t>action=self_test + run context.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Output: </w:t>
      </w:r>
      <w:r>
        <w:rPr>
          <w:rFonts w:ascii="Aptos" w:hAnsi="Aptos"/>
          <w:sz w:val="18"/>
          <w:szCs w:val="18"/>
        </w:rPr>
        <w:t>check summary/signals; no business item.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Knowledge Core: </w:t>
      </w:r>
      <w:r>
        <w:rPr>
          <w:rFonts w:ascii="Aptos" w:hAnsi="Aptos"/>
          <w:sz w:val="18"/>
          <w:szCs w:val="18"/>
        </w:rPr>
        <w:t>Run status, AgentExecution, Signal.</w:t>
      </w:r>
    </w:p>
    <w:p>
      <w:pPr>
        <w:spacing w:after="60" w:line="276" w:lineRule="auto"/>
        <w:pStyle w:val="Heading3"/>
        <w:keepNext/>
      </w:pPr>
      <w:r>
        <w:rPr>
          <w:rFonts w:ascii="Aptos" w:hAnsi="Aptos"/>
          <w:sz w:val="20"/>
          <w:szCs w:val="20"/>
        </w:rPr>
        <w:t>ingest_agent (T3)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Function: </w:t>
      </w:r>
      <w:r>
        <w:rPr>
          <w:rFonts w:ascii="Aptos" w:hAnsi="Aptos"/>
          <w:sz w:val="18"/>
          <w:szCs w:val="18"/>
        </w:rPr>
        <w:t>Verifies bundle and member hashes; PII-obfuscates configured extracts; stages files.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Input: </w:t>
      </w:r>
      <w:r>
        <w:rPr>
          <w:rFonts w:ascii="Aptos" w:hAnsi="Aptos"/>
          <w:sz w:val="18"/>
          <w:szCs w:val="18"/>
        </w:rPr>
        <w:t>upload_ids[].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Output: </w:t>
      </w:r>
      <w:r>
        <w:rPr>
          <w:rFonts w:ascii="Aptos" w:hAnsi="Aptos"/>
          <w:sz w:val="18"/>
          <w:szCs w:val="18"/>
        </w:rPr>
        <w:t>staged refs, roles, hashes, size and PII metadata.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Knowledge Core: </w:t>
      </w:r>
      <w:r>
        <w:rPr>
          <w:rFonts w:ascii="Aptos" w:hAnsi="Aptos"/>
          <w:sz w:val="18"/>
          <w:szCs w:val="18"/>
        </w:rPr>
        <w:t>Reads Upload, attaches it to run; writes EvidenceStore bytes.</w:t>
      </w:r>
    </w:p>
    <w:p>
      <w:pPr>
        <w:spacing w:after="60" w:line="276" w:lineRule="auto"/>
        <w:pStyle w:val="Heading3"/>
        <w:keepNext/>
      </w:pPr>
      <w:r>
        <w:rPr>
          <w:rFonts w:ascii="Aptos" w:hAnsi="Aptos"/>
          <w:sz w:val="20"/>
          <w:szCs w:val="20"/>
        </w:rPr>
        <w:t>cartographer_agent (T3)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Function: </w:t>
      </w:r>
      <w:r>
        <w:rPr>
          <w:rFonts w:ascii="Aptos" w:hAnsi="Aptos"/>
          <w:sz w:val="18"/>
          <w:szCs w:val="18"/>
        </w:rPr>
        <w:t>Detects file type/language/route, confidence, classification and source locators.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Input: </w:t>
      </w:r>
      <w:r>
        <w:rPr>
          <w:rFonts w:ascii="Aptos" w:hAnsi="Aptos"/>
          <w:sz w:val="18"/>
          <w:szCs w:val="18"/>
        </w:rPr>
        <w:t>staged file records.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Output: </w:t>
      </w:r>
      <w:r>
        <w:rPr>
          <w:rFonts w:ascii="Aptos" w:hAnsi="Aptos"/>
          <w:sz w:val="18"/>
          <w:szCs w:val="18"/>
        </w:rPr>
        <w:t>Artefact[].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Knowledge Core: </w:t>
      </w:r>
      <w:r>
        <w:rPr>
          <w:rFonts w:ascii="Aptos" w:hAnsi="Aptos"/>
          <w:sz w:val="18"/>
          <w:szCs w:val="18"/>
        </w:rPr>
        <w:t>save_artefacts -&gt; metadata rows; not full source content.</w:t>
      </w:r>
    </w:p>
    <w:p>
      <w:pPr>
        <w:spacing w:after="60" w:line="276" w:lineRule="auto"/>
        <w:pStyle w:val="Heading3"/>
        <w:keepNext/>
      </w:pPr>
      <w:r>
        <w:rPr>
          <w:rFonts w:ascii="Aptos" w:hAnsi="Aptos"/>
          <w:sz w:val="20"/>
          <w:szCs w:val="20"/>
        </w:rPr>
        <w:t>cobol_agent (T1)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Function: </w:t>
      </w:r>
      <w:r>
        <w:rPr>
          <w:rFonts w:ascii="Aptos" w:hAnsi="Aptos"/>
          <w:sz w:val="18"/>
          <w:szCs w:val="18"/>
        </w:rPr>
        <w:t>Parses COBOL programs/copybooks, assignments, calculations, constants and conditions.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Input: </w:t>
      </w:r>
      <w:r>
        <w:rPr>
          <w:rFonts w:ascii="Aptos" w:hAnsi="Aptos"/>
          <w:sz w:val="18"/>
          <w:szCs w:val="18"/>
        </w:rPr>
        <w:t>one Artefact.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Output: </w:t>
      </w:r>
      <w:r>
        <w:rPr>
          <w:rFonts w:ascii="Aptos" w:hAnsi="Aptos"/>
          <w:sz w:val="18"/>
          <w:szCs w:val="18"/>
        </w:rPr>
        <w:t>evidence-backed CandidateRule[].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Knowledge Core: </w:t>
      </w:r>
      <w:r>
        <w:rPr>
          <w:rFonts w:ascii="Aptos" w:hAnsi="Aptos"/>
          <w:sz w:val="18"/>
          <w:szCs w:val="18"/>
        </w:rPr>
        <w:t>Guarded then persisted as proposed Rule with provenance/audit.</w:t>
      </w:r>
    </w:p>
    <w:p>
      <w:pPr>
        <w:spacing w:after="60" w:line="276" w:lineRule="auto"/>
        <w:pStyle w:val="Heading3"/>
        <w:keepNext/>
      </w:pPr>
      <w:r>
        <w:rPr>
          <w:rFonts w:ascii="Aptos" w:hAnsi="Aptos"/>
          <w:sz w:val="20"/>
          <w:szCs w:val="20"/>
        </w:rPr>
        <w:t>plsql_agent (T1)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Function: </w:t>
      </w:r>
      <w:r>
        <w:rPr>
          <w:rFonts w:ascii="Aptos" w:hAnsi="Aptos"/>
          <w:sz w:val="18"/>
          <w:szCs w:val="18"/>
        </w:rPr>
        <w:t>Parses package/procedure/function expressions, conditions, inputs and line evidence.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Input: </w:t>
      </w:r>
      <w:r>
        <w:rPr>
          <w:rFonts w:ascii="Aptos" w:hAnsi="Aptos"/>
          <w:sz w:val="18"/>
          <w:szCs w:val="18"/>
        </w:rPr>
        <w:t>one Artefact.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Output: </w:t>
      </w:r>
      <w:r>
        <w:rPr>
          <w:rFonts w:ascii="Aptos" w:hAnsi="Aptos"/>
          <w:sz w:val="18"/>
          <w:szCs w:val="18"/>
        </w:rPr>
        <w:t>CandidateRule[] + parse summary.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Knowledge Core: </w:t>
      </w:r>
      <w:r>
        <w:rPr>
          <w:rFonts w:ascii="Aptos" w:hAnsi="Aptos"/>
          <w:sz w:val="18"/>
          <w:szCs w:val="18"/>
        </w:rPr>
        <w:t>Guarded proposed Rule path; execution and failure signal.</w:t>
      </w:r>
    </w:p>
    <w:p>
      <w:pPr>
        <w:spacing w:after="60" w:line="276" w:lineRule="auto"/>
        <w:pStyle w:val="Heading3"/>
        <w:keepNext/>
      </w:pPr>
      <w:r>
        <w:rPr>
          <w:rFonts w:ascii="Aptos" w:hAnsi="Aptos"/>
          <w:sz w:val="20"/>
          <w:szCs w:val="20"/>
        </w:rPr>
        <w:t>php_agent (T2)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Function: </w:t>
      </w:r>
      <w:r>
        <w:rPr>
          <w:rFonts w:ascii="Aptos" w:hAnsi="Aptos"/>
          <w:sz w:val="18"/>
          <w:szCs w:val="18"/>
        </w:rPr>
        <w:t>Parses target PHP logic, constants/defaults/reassignments and confidence.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Input: </w:t>
      </w:r>
      <w:r>
        <w:rPr>
          <w:rFonts w:ascii="Aptos" w:hAnsi="Aptos"/>
          <w:sz w:val="18"/>
          <w:szCs w:val="18"/>
        </w:rPr>
        <w:t>one Artefact.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Output: </w:t>
      </w:r>
      <w:r>
        <w:rPr>
          <w:rFonts w:ascii="Aptos" w:hAnsi="Aptos"/>
          <w:sz w:val="18"/>
          <w:szCs w:val="18"/>
        </w:rPr>
        <w:t>CandidateRule[] + summary.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Knowledge Core: </w:t>
      </w:r>
      <w:r>
        <w:rPr>
          <w:rFonts w:ascii="Aptos" w:hAnsi="Aptos"/>
          <w:sz w:val="18"/>
          <w:szCs w:val="18"/>
        </w:rPr>
        <w:t>Guarded proposed Rule path.</w:t>
      </w:r>
    </w:p>
    <w:p>
      <w:pPr>
        <w:spacing w:after="60" w:line="276" w:lineRule="auto"/>
        <w:pStyle w:val="Heading3"/>
        <w:keepNext/>
      </w:pPr>
      <w:r>
        <w:rPr>
          <w:rFonts w:ascii="Aptos" w:hAnsi="Aptos"/>
          <w:sz w:val="20"/>
          <w:szCs w:val="20"/>
        </w:rPr>
        <w:t>jcl_agent (T1)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Function: </w:t>
      </w:r>
      <w:r>
        <w:rPr>
          <w:rFonts w:ascii="Aptos" w:hAnsi="Aptos"/>
          <w:sz w:val="18"/>
          <w:szCs w:val="18"/>
        </w:rPr>
        <w:t>Parses job/step order, EXEC/PROC, COND, DD datasets and PARM values.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Input: </w:t>
      </w:r>
      <w:r>
        <w:rPr>
          <w:rFonts w:ascii="Aptos" w:hAnsi="Aptos"/>
          <w:sz w:val="18"/>
          <w:szCs w:val="18"/>
        </w:rPr>
        <w:t>one Artefact.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Output: </w:t>
      </w:r>
      <w:r>
        <w:rPr>
          <w:rFonts w:ascii="Aptos" w:hAnsi="Aptos"/>
          <w:sz w:val="18"/>
          <w:szCs w:val="18"/>
        </w:rPr>
        <w:t>schedule/constant CandidateRule[] + summary.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Knowledge Core: </w:t>
      </w:r>
      <w:r>
        <w:rPr>
          <w:rFonts w:ascii="Aptos" w:hAnsi="Aptos"/>
          <w:sz w:val="18"/>
          <w:szCs w:val="18"/>
        </w:rPr>
        <w:t>Guarded proposed Rule path.</w:t>
      </w:r>
    </w:p>
    <w:p>
      <w:pPr>
        <w:spacing w:after="60" w:line="276" w:lineRule="auto"/>
        <w:pStyle w:val="Heading3"/>
        <w:keepNext/>
      </w:pPr>
      <w:r>
        <w:rPr>
          <w:rFonts w:ascii="Aptos" w:hAnsi="Aptos"/>
          <w:sz w:val="20"/>
          <w:szCs w:val="20"/>
        </w:rPr>
        <w:t>ddl_agent (T2)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Function: </w:t>
      </w:r>
      <w:r>
        <w:rPr>
          <w:rFonts w:ascii="Aptos" w:hAnsi="Aptos"/>
          <w:sz w:val="18"/>
          <w:szCs w:val="18"/>
        </w:rPr>
        <w:t>Parses tables/columns, types, keys, nullability, CHECK/domain/default and structural objects.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Input: </w:t>
      </w:r>
      <w:r>
        <w:rPr>
          <w:rFonts w:ascii="Aptos" w:hAnsi="Aptos"/>
          <w:sz w:val="18"/>
          <w:szCs w:val="18"/>
        </w:rPr>
        <w:t>one Artefact.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Output: </w:t>
      </w:r>
      <w:r>
        <w:rPr>
          <w:rFonts w:ascii="Aptos" w:hAnsi="Aptos"/>
          <w:sz w:val="18"/>
          <w:szCs w:val="18"/>
        </w:rPr>
        <w:t>CandidateRule[] + typed DictionaryEntry[].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Knowledge Core: </w:t>
      </w:r>
      <w:r>
        <w:rPr>
          <w:rFonts w:ascii="Aptos" w:hAnsi="Aptos"/>
          <w:sz w:val="18"/>
          <w:szCs w:val="18"/>
        </w:rPr>
        <w:t>Rules use governed proposal path; dictionary saved by normaliser node.</w:t>
      </w:r>
    </w:p>
    <w:p>
      <w:pPr>
        <w:spacing w:after="60" w:line="276" w:lineRule="auto"/>
        <w:pStyle w:val="Heading3"/>
        <w:keepNext/>
      </w:pPr>
      <w:r>
        <w:rPr>
          <w:rFonts w:ascii="Aptos" w:hAnsi="Aptos"/>
          <w:sz w:val="20"/>
          <w:szCs w:val="20"/>
        </w:rPr>
        <w:t>spreadsheet_agent (T2)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Function: </w:t>
      </w:r>
      <w:r>
        <w:rPr>
          <w:rFonts w:ascii="Aptos" w:hAnsi="Aptos"/>
          <w:sz w:val="18"/>
          <w:szCs w:val="18"/>
        </w:rPr>
        <w:t>Extracts labelled values and formulas, canonicalizes formulas and anchors sheet/cell.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Input: </w:t>
      </w:r>
      <w:r>
        <w:rPr>
          <w:rFonts w:ascii="Aptos" w:hAnsi="Aptos"/>
          <w:sz w:val="18"/>
          <w:szCs w:val="18"/>
        </w:rPr>
        <w:t>one workbook Artefact.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Output: </w:t>
      </w:r>
      <w:r>
        <w:rPr>
          <w:rFonts w:ascii="Aptos" w:hAnsi="Aptos"/>
          <w:sz w:val="18"/>
          <w:szCs w:val="18"/>
        </w:rPr>
        <w:t>CandidateRule[] + summary.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Knowledge Core: </w:t>
      </w:r>
      <w:r>
        <w:rPr>
          <w:rFonts w:ascii="Aptos" w:hAnsi="Aptos"/>
          <w:sz w:val="18"/>
          <w:szCs w:val="18"/>
        </w:rPr>
        <w:t>Guarded proposed Rule path with cell locators.</w:t>
      </w:r>
    </w:p>
    <w:p>
      <w:pPr>
        <w:spacing w:after="60" w:line="276" w:lineRule="auto"/>
        <w:pStyle w:val="Heading3"/>
        <w:keepNext/>
      </w:pPr>
      <w:r>
        <w:rPr>
          <w:rFonts w:ascii="Aptos" w:hAnsi="Aptos"/>
          <w:sz w:val="20"/>
          <w:szCs w:val="20"/>
        </w:rPr>
        <w:t>document_agent (T2)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Function: </w:t>
      </w:r>
      <w:r>
        <w:rPr>
          <w:rFonts w:ascii="Aptos" w:hAnsi="Aptos"/>
          <w:sz w:val="18"/>
          <w:szCs w:val="18"/>
        </w:rPr>
        <w:t>Extracts deterministic claims first; constrained LLM may help with anchored numeric claims.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Input: </w:t>
      </w:r>
      <w:r>
        <w:rPr>
          <w:rFonts w:ascii="Aptos" w:hAnsi="Aptos"/>
          <w:sz w:val="18"/>
          <w:szCs w:val="18"/>
        </w:rPr>
        <w:t>document Artefact.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Output: </w:t>
      </w:r>
      <w:r>
        <w:rPr>
          <w:rFonts w:ascii="Aptos" w:hAnsi="Aptos"/>
          <w:sz w:val="18"/>
          <w:szCs w:val="18"/>
        </w:rPr>
        <w:t>assertion CandidateRule[] with page/section/line evidence.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Knowledge Core: </w:t>
      </w:r>
      <w:r>
        <w:rPr>
          <w:rFonts w:ascii="Aptos" w:hAnsi="Aptos"/>
          <w:sz w:val="18"/>
          <w:szCs w:val="18"/>
        </w:rPr>
        <w:t>Guarded proposed Rule path; ungrounded claim stays unresolved.</w:t>
      </w:r>
    </w:p>
    <w:p>
      <w:pPr>
        <w:spacing w:after="60" w:line="276" w:lineRule="auto"/>
        <w:pStyle w:val="Heading3"/>
        <w:keepNext/>
      </w:pPr>
      <w:r>
        <w:rPr>
          <w:rFonts w:ascii="Aptos" w:hAnsi="Aptos"/>
          <w:sz w:val="20"/>
          <w:szCs w:val="20"/>
        </w:rPr>
        <w:t>normaliser_agent (T2)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Function: </w:t>
      </w:r>
      <w:r>
        <w:rPr>
          <w:rFonts w:ascii="Aptos" w:hAnsi="Aptos"/>
          <w:sz w:val="18"/>
          <w:szCs w:val="18"/>
        </w:rPr>
        <w:t>Canonical names, domains, expressions, conditions and shared rule representation.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Input: </w:t>
      </w:r>
      <w:r>
        <w:rPr>
          <w:rFonts w:ascii="Aptos" w:hAnsi="Aptos"/>
          <w:sz w:val="18"/>
          <w:szCs w:val="18"/>
        </w:rPr>
        <w:t>accepted CandidateRule[].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Output: </w:t>
      </w:r>
      <w:r>
        <w:rPr>
          <w:rFonts w:ascii="Aptos" w:hAnsi="Aptos"/>
          <w:sz w:val="18"/>
          <w:szCs w:val="18"/>
        </w:rPr>
        <w:t>NormalisedRule[].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Knowledge Core: </w:t>
      </w:r>
      <w:r>
        <w:rPr>
          <w:rFonts w:ascii="Aptos" w:hAnsi="Aptos"/>
          <w:sz w:val="18"/>
          <w:szCs w:val="18"/>
        </w:rPr>
        <w:t>save_rules proposed rows + provenance/audit; save_dictionary.</w:t>
      </w:r>
    </w:p>
    <w:p>
      <w:pPr>
        <w:spacing w:after="60" w:line="276" w:lineRule="auto"/>
        <w:pStyle w:val="Heading3"/>
        <w:keepNext/>
      </w:pPr>
      <w:r>
        <w:rPr>
          <w:rFonts w:ascii="Aptos" w:hAnsi="Aptos"/>
          <w:sz w:val="20"/>
          <w:szCs w:val="20"/>
        </w:rPr>
        <w:t>differential_agent (T2)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Function: </w:t>
      </w:r>
      <w:r>
        <w:rPr>
          <w:rFonts w:ascii="Aptos" w:hAnsi="Aptos"/>
          <w:sz w:val="18"/>
          <w:szCs w:val="18"/>
        </w:rPr>
        <w:t>Aligns source/target/document rules, proves divergence with deterministic vectors, assesses exposure.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Input: </w:t>
      </w:r>
      <w:r>
        <w:rPr>
          <w:rFonts w:ascii="Aptos" w:hAnsi="Aptos"/>
          <w:sz w:val="18"/>
          <w:szCs w:val="18"/>
        </w:rPr>
        <w:t>NormalisedRule[].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Output: </w:t>
      </w:r>
      <w:r>
        <w:rPr>
          <w:rFonts w:ascii="Aptos" w:hAnsi="Aptos"/>
          <w:sz w:val="18"/>
          <w:szCs w:val="18"/>
        </w:rPr>
        <w:t>Differential[] (sides, evidence, vectors, severity/exposure).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Knowledge Core: </w:t>
      </w:r>
      <w:r>
        <w:rPr>
          <w:rFonts w:ascii="Aptos" w:hAnsi="Aptos"/>
          <w:sz w:val="18"/>
          <w:szCs w:val="18"/>
        </w:rPr>
        <w:t>Guard then save_differentials + provenance/audit.</w:t>
      </w:r>
    </w:p>
    <w:p>
      <w:pPr>
        <w:spacing w:after="60" w:line="276" w:lineRule="auto"/>
        <w:pStyle w:val="Heading3"/>
        <w:keepNext/>
      </w:pPr>
      <w:r>
        <w:rPr>
          <w:rFonts w:ascii="Aptos" w:hAnsi="Aptos"/>
          <w:sz w:val="20"/>
          <w:szCs w:val="20"/>
        </w:rPr>
        <w:t>adjudication_agent (T1)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Function: </w:t>
      </w:r>
      <w:r>
        <w:rPr>
          <w:rFonts w:ascii="Aptos" w:hAnsi="Aptos"/>
          <w:sz w:val="18"/>
          <w:szCs w:val="18"/>
        </w:rPr>
        <w:t>Packages options, positions, evidence and exposure for expert; makes no decision.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Input: </w:t>
      </w:r>
      <w:r>
        <w:rPr>
          <w:rFonts w:ascii="Aptos" w:hAnsi="Aptos"/>
          <w:sz w:val="18"/>
          <w:szCs w:val="18"/>
        </w:rPr>
        <w:t>Differential[].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Output: </w:t>
      </w:r>
      <w:r>
        <w:rPr>
          <w:rFonts w:ascii="Aptos" w:hAnsi="Aptos"/>
          <w:sz w:val="18"/>
          <w:szCs w:val="18"/>
        </w:rPr>
        <w:t>AdjudicationBrief[] requiring actuary_sme.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Knowledge Core: </w:t>
      </w:r>
      <w:r>
        <w:rPr>
          <w:rFonts w:ascii="Aptos" w:hAnsi="Aptos"/>
          <w:sz w:val="18"/>
          <w:szCs w:val="18"/>
        </w:rPr>
        <w:t>Updates Differential.brief and audit.</w:t>
      </w:r>
    </w:p>
    <w:p>
      <w:pPr>
        <w:spacing w:after="60" w:line="276" w:lineRule="auto"/>
        <w:pStyle w:val="Heading3"/>
        <w:keepNext/>
      </w:pPr>
      <w:r>
        <w:rPr>
          <w:rFonts w:ascii="Aptos" w:hAnsi="Aptos"/>
          <w:sz w:val="20"/>
          <w:szCs w:val="20"/>
        </w:rPr>
        <w:t>story_agent (T2)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Function: </w:t>
      </w:r>
      <w:r>
        <w:rPr>
          <w:rFonts w:ascii="Aptos" w:hAnsi="Aptos"/>
          <w:sz w:val="18"/>
          <w:szCs w:val="18"/>
        </w:rPr>
        <w:t>Creates implementation stories, criteria and examples from certified source rules.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Input: </w:t>
      </w:r>
      <w:r>
        <w:rPr>
          <w:rFonts w:ascii="Aptos" w:hAnsi="Aptos"/>
          <w:sz w:val="18"/>
          <w:szCs w:val="18"/>
        </w:rPr>
        <w:t>certified NormalisedRule[].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Output: </w:t>
      </w:r>
      <w:r>
        <w:rPr>
          <w:rFonts w:ascii="Aptos" w:hAnsi="Aptos"/>
          <w:sz w:val="18"/>
          <w:szCs w:val="18"/>
        </w:rPr>
        <w:t>UserStory[] with evidence/rule refs.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Knowledge Core: </w:t>
      </w:r>
      <w:r>
        <w:rPr>
          <w:rFonts w:ascii="Aptos" w:hAnsi="Aptos"/>
          <w:sz w:val="18"/>
          <w:szCs w:val="18"/>
        </w:rPr>
        <w:t>save_stories; external DevOps issue needs governed MCP/approval.</w:t>
      </w:r>
    </w:p>
    <w:p>
      <w:pPr>
        <w:spacing w:after="60" w:line="276" w:lineRule="auto"/>
        <w:pStyle w:val="Heading3"/>
        <w:keepNext/>
      </w:pPr>
      <w:r>
        <w:rPr>
          <w:rFonts w:ascii="Aptos" w:hAnsi="Aptos"/>
          <w:sz w:val="20"/>
          <w:szCs w:val="20"/>
        </w:rPr>
        <w:t>mapping_agent (T2)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Function: </w:t>
      </w:r>
      <w:r>
        <w:rPr>
          <w:rFonts w:ascii="Aptos" w:hAnsi="Aptos"/>
          <w:sz w:val="18"/>
          <w:szCs w:val="18"/>
        </w:rPr>
        <w:t>Scores field/entity pairs, proposes transforms, resolves contention with ATS; policy-limited LLM tie-break.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Input: </w:t>
      </w:r>
      <w:r>
        <w:rPr>
          <w:rFonts w:ascii="Aptos" w:hAnsi="Aptos"/>
          <w:sz w:val="18"/>
          <w:szCs w:val="18"/>
        </w:rPr>
        <w:t>DataDictionaryEntry[].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Output: </w:t>
      </w:r>
      <w:r>
        <w:rPr>
          <w:rFonts w:ascii="Aptos" w:hAnsi="Aptos"/>
          <w:sz w:val="18"/>
          <w:szCs w:val="18"/>
        </w:rPr>
        <w:t>MappingProposal[] + unmapped refs.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Knowledge Core: </w:t>
      </w:r>
      <w:r>
        <w:rPr>
          <w:rFonts w:ascii="Aptos" w:hAnsi="Aptos"/>
          <w:sz w:val="18"/>
          <w:szCs w:val="18"/>
        </w:rPr>
        <w:t>Evidence-check both endpoints; save_mappings with provenance/audit.</w:t>
      </w:r>
    </w:p>
    <w:p>
      <w:pPr>
        <w:spacing w:after="60" w:line="276" w:lineRule="auto"/>
        <w:pStyle w:val="Heading3"/>
        <w:keepNext/>
      </w:pPr>
      <w:r>
        <w:rPr>
          <w:rFonts w:ascii="Aptos" w:hAnsi="Aptos"/>
          <w:sz w:val="20"/>
          <w:szCs w:val="20"/>
        </w:rPr>
        <w:t>validation_agent (T2)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Function: </w:t>
      </w:r>
      <w:r>
        <w:rPr>
          <w:rFonts w:ascii="Aptos" w:hAnsi="Aptos"/>
          <w:sz w:val="18"/>
          <w:szCs w:val="18"/>
        </w:rPr>
        <w:t>Independently checks schema/type compatibility, assignment contention, transforms and domain/nullability.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Input: </w:t>
      </w:r>
      <w:r>
        <w:rPr>
          <w:rFonts w:ascii="Aptos" w:hAnsi="Aptos"/>
          <w:sz w:val="18"/>
          <w:szCs w:val="18"/>
        </w:rPr>
        <w:t>mappings + dictionary.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Output: </w:t>
      </w:r>
      <w:r>
        <w:rPr>
          <w:rFonts w:ascii="Aptos" w:hAnsi="Aptos"/>
          <w:sz w:val="18"/>
          <w:szCs w:val="18"/>
        </w:rPr>
        <w:t>MappingValidation[] and findings.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Knowledge Core: </w:t>
      </w:r>
      <w:r>
        <w:rPr>
          <w:rFonts w:ascii="Aptos" w:hAnsi="Aptos"/>
          <w:sz w:val="18"/>
          <w:szCs w:val="18"/>
        </w:rPr>
        <w:t>set_mapping_validation; audit. Never certifies by itself.</w:t>
      </w:r>
    </w:p>
    <w:p>
      <w:pPr>
        <w:spacing w:after="60" w:line="276" w:lineRule="auto"/>
        <w:pStyle w:val="Heading3"/>
        <w:keepNext/>
      </w:pPr>
      <w:r>
        <w:rPr>
          <w:rFonts w:ascii="Aptos" w:hAnsi="Aptos"/>
          <w:sz w:val="20"/>
          <w:szCs w:val="20"/>
        </w:rPr>
        <w:t>codegen_agent (T2)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Function: </w:t>
      </w:r>
      <w:r>
        <w:rPr>
          <w:rFonts w:ascii="Aptos" w:hAnsi="Aptos"/>
          <w:sz w:val="18"/>
          <w:szCs w:val="18"/>
        </w:rPr>
        <w:t>Generates mapping transform modules/tests; safety checks, compiles and sandbox-tests.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Input: </w:t>
      </w:r>
      <w:r>
        <w:rPr>
          <w:rFonts w:ascii="Aptos" w:hAnsi="Aptos"/>
          <w:sz w:val="18"/>
          <w:szCs w:val="18"/>
        </w:rPr>
        <w:t>certified MappingProposal[].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Output: </w:t>
      </w:r>
      <w:r>
        <w:rPr>
          <w:rFonts w:ascii="Aptos" w:hAnsi="Aptos"/>
          <w:sz w:val="18"/>
          <w:szCs w:val="18"/>
        </w:rPr>
        <w:t>GeneratedCode[] with module/tests/results.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Knowledge Core: </w:t>
      </w:r>
      <w:r>
        <w:rPr>
          <w:rFonts w:ascii="Aptos" w:hAnsi="Aptos"/>
          <w:sz w:val="18"/>
          <w:szCs w:val="18"/>
        </w:rPr>
        <w:t>save_generated_code with evidence/provenance/audit.</w:t>
      </w:r>
    </w:p>
    <w:p>
      <w:pPr>
        <w:spacing w:after="60" w:line="276" w:lineRule="auto"/>
        <w:pStyle w:val="Heading3"/>
        <w:keepNext/>
      </w:pPr>
      <w:r>
        <w:rPr>
          <w:rFonts w:ascii="Aptos" w:hAnsi="Aptos"/>
          <w:sz w:val="20"/>
          <w:szCs w:val="20"/>
        </w:rPr>
        <w:t>profiler_agent (T3)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Function: </w:t>
      </w:r>
      <w:r>
        <w:rPr>
          <w:rFonts w:ascii="Aptos" w:hAnsi="Aptos"/>
          <w:sz w:val="18"/>
          <w:szCs w:val="18"/>
        </w:rPr>
        <w:t>Computes per-column counts, null/distinct/type violations/ranges; suppresses classified PII values.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Input: </w:t>
      </w:r>
      <w:r>
        <w:rPr>
          <w:rFonts w:ascii="Aptos" w:hAnsi="Aptos"/>
          <w:sz w:val="18"/>
          <w:szCs w:val="18"/>
        </w:rPr>
        <w:t>dictionary (default source role).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Output: </w:t>
      </w:r>
      <w:r>
        <w:rPr>
          <w:rFonts w:ascii="Aptos" w:hAnsi="Aptos"/>
          <w:sz w:val="18"/>
          <w:szCs w:val="18"/>
        </w:rPr>
        <w:t>ColumnProfile[].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Knowledge Core: </w:t>
      </w:r>
      <w:r>
        <w:rPr>
          <w:rFonts w:ascii="Aptos" w:hAnsi="Aptos"/>
          <w:sz w:val="18"/>
          <w:szCs w:val="18"/>
        </w:rPr>
        <w:t>Graph output/signals; no authoritative business row.</w:t>
      </w:r>
    </w:p>
    <w:p>
      <w:pPr>
        <w:spacing w:after="60" w:line="276" w:lineRule="auto"/>
        <w:pStyle w:val="Heading3"/>
        <w:keepNext/>
      </w:pPr>
      <w:r>
        <w:rPr>
          <w:rFonts w:ascii="Aptos" w:hAnsi="Aptos"/>
          <w:sz w:val="20"/>
          <w:szCs w:val="20"/>
        </w:rPr>
        <w:t>anomaly_agent (T2)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Function: </w:t>
      </w:r>
      <w:r>
        <w:rPr>
          <w:rFonts w:ascii="Aptos" w:hAnsi="Aptos"/>
          <w:sz w:val="18"/>
          <w:szCs w:val="18"/>
        </w:rPr>
        <w:t>Finds invalid/null/sentinel/date/domain/range/duplicate-key cohorts against schema and certified domains.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Input: </w:t>
      </w:r>
      <w:r>
        <w:rPr>
          <w:rFonts w:ascii="Aptos" w:hAnsi="Aptos"/>
          <w:sz w:val="18"/>
          <w:szCs w:val="18"/>
        </w:rPr>
        <w:t>dictionary + certified_domains.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Output: </w:t>
      </w:r>
      <w:r>
        <w:rPr>
          <w:rFonts w:ascii="Aptos" w:hAnsi="Aptos"/>
          <w:sz w:val="18"/>
          <w:szCs w:val="18"/>
        </w:rPr>
        <w:t>evidence-backed Cohort[].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Knowledge Core: </w:t>
      </w:r>
      <w:r>
        <w:rPr>
          <w:rFonts w:ascii="Aptos" w:hAnsi="Aptos"/>
          <w:sz w:val="18"/>
          <w:szCs w:val="18"/>
        </w:rPr>
        <w:t>Guard then save_cohorts + provenance/audit.</w:t>
      </w:r>
    </w:p>
    <w:p>
      <w:pPr>
        <w:spacing w:after="60" w:line="276" w:lineRule="auto"/>
        <w:pStyle w:val="Heading3"/>
        <w:keepNext/>
      </w:pPr>
      <w:r>
        <w:rPr>
          <w:rFonts w:ascii="Aptos" w:hAnsi="Aptos"/>
          <w:sz w:val="20"/>
          <w:szCs w:val="20"/>
        </w:rPr>
        <w:t>root_cause_agent (T1)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Function: </w:t>
      </w:r>
      <w:r>
        <w:rPr>
          <w:rFonts w:ascii="Aptos" w:hAnsi="Aptos"/>
          <w:sz w:val="18"/>
          <w:szCs w:val="18"/>
        </w:rPr>
        <w:t>Tests bounded cause catalogue/ATS; optionally requests constrained LLM hypotheses.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Input: </w:t>
      </w:r>
      <w:r>
        <w:rPr>
          <w:rFonts w:ascii="Aptos" w:hAnsi="Aptos"/>
          <w:sz w:val="18"/>
          <w:szCs w:val="18"/>
        </w:rPr>
        <w:t>cohorts.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Output: </w:t>
      </w:r>
      <w:r>
        <w:rPr>
          <w:rFonts w:ascii="Aptos" w:hAnsi="Aptos"/>
          <w:sz w:val="18"/>
          <w:szCs w:val="18"/>
        </w:rPr>
        <w:t>hypotheses with evidence/confidence/alternatives.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Knowledge Core: </w:t>
      </w:r>
      <w:r>
        <w:rPr>
          <w:rFonts w:ascii="Aptos" w:hAnsi="Aptos"/>
          <w:sz w:val="18"/>
          <w:szCs w:val="18"/>
        </w:rPr>
        <w:t>annotate_cohort metadata; not a separate certified root-cause entity.</w:t>
      </w:r>
    </w:p>
    <w:p>
      <w:pPr>
        <w:spacing w:after="60" w:line="276" w:lineRule="auto"/>
        <w:pStyle w:val="Heading3"/>
        <w:keepNext/>
      </w:pPr>
      <w:r>
        <w:rPr>
          <w:rFonts w:ascii="Aptos" w:hAnsi="Aptos"/>
          <w:sz w:val="20"/>
          <w:szCs w:val="20"/>
        </w:rPr>
        <w:t>cleansing_agent (T2)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Function: </w:t>
      </w:r>
      <w:r>
        <w:rPr>
          <w:rFonts w:ascii="Aptos" w:hAnsi="Aptos"/>
          <w:sz w:val="18"/>
          <w:szCs w:val="18"/>
        </w:rPr>
        <w:t>Selects proposed cleanup playbook/action and rationale; does not mutate rows.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Input: </w:t>
      </w:r>
      <w:r>
        <w:rPr>
          <w:rFonts w:ascii="Aptos" w:hAnsi="Aptos"/>
          <w:sz w:val="18"/>
          <w:szCs w:val="18"/>
        </w:rPr>
        <w:t>cohorts + root-cause hypotheses.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Output: </w:t>
      </w:r>
      <w:r>
        <w:rPr>
          <w:rFonts w:ascii="Aptos" w:hAnsi="Aptos"/>
          <w:sz w:val="18"/>
          <w:szCs w:val="18"/>
        </w:rPr>
        <w:t>CleansingProposal[].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Knowledge Core: </w:t>
      </w:r>
      <w:r>
        <w:rPr>
          <w:rFonts w:ascii="Aptos" w:hAnsi="Aptos"/>
          <w:sz w:val="18"/>
          <w:szCs w:val="18"/>
        </w:rPr>
        <w:t>annotate_cohort; no source data modification.</w:t>
      </w:r>
    </w:p>
    <w:p>
      <w:pPr>
        <w:spacing w:after="60" w:line="276" w:lineRule="auto"/>
        <w:pStyle w:val="Heading3"/>
        <w:keepNext/>
      </w:pPr>
      <w:r>
        <w:rPr>
          <w:rFonts w:ascii="Aptos" w:hAnsi="Aptos"/>
          <w:sz w:val="20"/>
          <w:szCs w:val="20"/>
        </w:rPr>
        <w:t>live_archive_agent (T1)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Function: </w:t>
      </w:r>
      <w:r>
        <w:rPr>
          <w:rFonts w:ascii="Aptos" w:hAnsi="Aptos"/>
          <w:sz w:val="18"/>
          <w:szCs w:val="18"/>
        </w:rPr>
        <w:t>Scores live/archive likelihood from status, premium/payment recency and date validity.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Input: </w:t>
      </w:r>
      <w:r>
        <w:rPr>
          <w:rFonts w:ascii="Aptos" w:hAnsi="Aptos"/>
          <w:sz w:val="18"/>
          <w:szCs w:val="18"/>
        </w:rPr>
        <w:t>dictionary + extracts.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Output: </w:t>
      </w:r>
      <w:r>
        <w:rPr>
          <w:rFonts w:ascii="Aptos" w:hAnsi="Aptos"/>
          <w:sz w:val="18"/>
          <w:szCs w:val="18"/>
        </w:rPr>
        <w:t>per-record LiveArchiveScore[].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Knowledge Core: </w:t>
      </w:r>
      <w:r>
        <w:rPr>
          <w:rFonts w:ascii="Aptos" w:hAnsi="Aptos"/>
          <w:sz w:val="18"/>
          <w:szCs w:val="18"/>
        </w:rPr>
        <w:t>Graph result/signal only; not canonical KC truth.</w:t>
      </w:r>
    </w:p>
    <w:p>
      <w:pPr>
        <w:spacing w:after="60" w:line="276" w:lineRule="auto"/>
        <w:pStyle w:val="Heading3"/>
        <w:keepNext/>
      </w:pPr>
      <w:r>
        <w:rPr>
          <w:rFonts w:ascii="Aptos" w:hAnsi="Aptos"/>
          <w:sz w:val="20"/>
          <w:szCs w:val="20"/>
        </w:rPr>
        <w:t>entity_match_agent (T2)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Function: </w:t>
      </w:r>
      <w:r>
        <w:rPr>
          <w:rFonts w:ascii="Aptos" w:hAnsi="Aptos"/>
          <w:sz w:val="18"/>
          <w:szCs w:val="18"/>
        </w:rPr>
        <w:t>Blocks duplicate candidates by DOB, scores names/postcode/IDs and bounded ATS clusters.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Input: </w:t>
      </w:r>
      <w:r>
        <w:rPr>
          <w:rFonts w:ascii="Aptos" w:hAnsi="Aptos"/>
          <w:sz w:val="18"/>
          <w:szCs w:val="18"/>
        </w:rPr>
        <w:t>dictionary + source records.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Output: </w:t>
      </w:r>
      <w:r>
        <w:rPr>
          <w:rFonts w:ascii="Aptos" w:hAnsi="Aptos"/>
          <w:sz w:val="18"/>
          <w:szCs w:val="18"/>
        </w:rPr>
        <w:t>EntityMatch[] with opaque refs/scores/evidence.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Knowledge Core: </w:t>
      </w:r>
      <w:r>
        <w:rPr>
          <w:rFonts w:ascii="Aptos" w:hAnsi="Aptos"/>
          <w:sz w:val="18"/>
          <w:szCs w:val="18"/>
        </w:rPr>
        <w:t>Guard then save_entity_matches + provenance/audit; steward decides.</w:t>
      </w:r>
    </w:p>
    <w:p>
      <w:pPr>
        <w:spacing w:after="60" w:line="276" w:lineRule="auto"/>
        <w:pStyle w:val="Heading3"/>
        <w:keepNext/>
      </w:pPr>
      <w:r>
        <w:rPr>
          <w:rFonts w:ascii="Aptos" w:hAnsi="Aptos"/>
          <w:sz w:val="20"/>
          <w:szCs w:val="20"/>
        </w:rPr>
        <w:t>reconciler_agent (T3)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Function: </w:t>
      </w:r>
      <w:r>
        <w:rPr>
          <w:rFonts w:ascii="Aptos" w:hAnsi="Aptos"/>
          <w:sz w:val="18"/>
          <w:szCs w:val="18"/>
        </w:rPr>
        <w:t>Applies certified transforms, joins on certified keys, compares typed values and detects breaks.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Input: </w:t>
      </w:r>
      <w:r>
        <w:rPr>
          <w:rFonts w:ascii="Aptos" w:hAnsi="Aptos"/>
          <w:sz w:val="18"/>
          <w:szCs w:val="18"/>
        </w:rPr>
        <w:t>certified mappings + dictionary + extracts.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Output: </w:t>
      </w:r>
      <w:r>
        <w:rPr>
          <w:rFonts w:ascii="Aptos" w:hAnsi="Aptos"/>
          <w:sz w:val="18"/>
          <w:szCs w:val="18"/>
        </w:rPr>
        <w:t>ReconciliationBreak[] + summary.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Knowledge Core: </w:t>
      </w:r>
      <w:r>
        <w:rPr>
          <w:rFonts w:ascii="Aptos" w:hAnsi="Aptos"/>
          <w:sz w:val="18"/>
          <w:szCs w:val="18"/>
        </w:rPr>
        <w:t>Guard then save_breaks + provenance/audit.</w:t>
      </w:r>
    </w:p>
    <w:p>
      <w:pPr>
        <w:spacing w:after="60" w:line="276" w:lineRule="auto"/>
        <w:pStyle w:val="Heading3"/>
        <w:keepNext/>
      </w:pPr>
      <w:r>
        <w:rPr>
          <w:rFonts w:ascii="Aptos" w:hAnsi="Aptos"/>
          <w:sz w:val="20"/>
          <w:szCs w:val="20"/>
        </w:rPr>
        <w:t>break_cluster_agent (T2)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Function: </w:t>
      </w:r>
      <w:r>
        <w:rPr>
          <w:rFonts w:ascii="Aptos" w:hAnsi="Aptos"/>
          <w:sz w:val="18"/>
          <w:szCs w:val="18"/>
        </w:rPr>
        <w:t>Groups break signatures; links adjudicated differentials via replay/ATS; uses confirmed duplicate map.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Input: </w:t>
      </w:r>
      <w:r>
        <w:rPr>
          <w:rFonts w:ascii="Aptos" w:hAnsi="Aptos"/>
          <w:sz w:val="18"/>
          <w:szCs w:val="18"/>
        </w:rPr>
        <w:t>breaks, decided differentials, normalized rules, dictionary, confirmed duplicates.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Output: </w:t>
      </w:r>
      <w:r>
        <w:rPr>
          <w:rFonts w:ascii="Aptos" w:hAnsi="Aptos"/>
          <w:sz w:val="18"/>
          <w:szCs w:val="18"/>
        </w:rPr>
        <w:t>BreakCluster[].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Knowledge Core: </w:t>
      </w:r>
      <w:r>
        <w:rPr>
          <w:rFonts w:ascii="Aptos" w:hAnsi="Aptos"/>
          <w:sz w:val="18"/>
          <w:szCs w:val="18"/>
        </w:rPr>
        <w:t>save_clusters; human disposition remains separate.</w:t>
      </w:r>
    </w:p>
    <w:p>
      <w:pPr>
        <w:spacing w:after="60" w:line="276" w:lineRule="auto"/>
        <w:pStyle w:val="Heading3"/>
        <w:keepNext/>
      </w:pPr>
      <w:r>
        <w:rPr>
          <w:rFonts w:ascii="Aptos" w:hAnsi="Aptos"/>
          <w:sz w:val="20"/>
          <w:szCs w:val="20"/>
        </w:rPr>
        <w:t>lineage_agent (T3)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Function: </w:t>
      </w:r>
      <w:r>
        <w:rPr>
          <w:rFonts w:ascii="Aptos" w:hAnsi="Aptos"/>
          <w:sz w:val="18"/>
          <w:szCs w:val="18"/>
        </w:rPr>
        <w:t>Traces break -&gt; evidence -&gt; certified mapping -&gt; cluster -&gt; differential/rule; governed Git MCP may fetch lines.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Input: </w:t>
      </w:r>
      <w:r>
        <w:rPr>
          <w:rFonts w:ascii="Aptos" w:hAnsi="Aptos"/>
          <w:sz w:val="18"/>
          <w:szCs w:val="18"/>
        </w:rPr>
        <w:t>breaks, clusters, mappings, differentials.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Output: </w:t>
      </w:r>
      <w:r>
        <w:rPr>
          <w:rFonts w:ascii="Aptos" w:hAnsi="Aptos"/>
          <w:sz w:val="18"/>
          <w:szCs w:val="18"/>
        </w:rPr>
        <w:t>LineageTrace[] / compact graph facts.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Knowledge Core: </w:t>
      </w:r>
      <w:r>
        <w:rPr>
          <w:rFonts w:ascii="Aptos" w:hAnsi="Aptos"/>
          <w:sz w:val="18"/>
          <w:szCs w:val="18"/>
        </w:rPr>
        <w:t>set_break_lineage; MCP invocation and execution telemetry.</w:t>
      </w:r>
    </w:p>
    <w:p>
      <w:pPr>
        <w:spacing w:after="60" w:line="276" w:lineRule="auto"/>
        <w:pStyle w:val="Heading3"/>
        <w:keepNext/>
      </w:pPr>
      <w:r>
        <w:rPr>
          <w:rFonts w:ascii="Aptos" w:hAnsi="Aptos"/>
          <w:sz w:val="20"/>
          <w:szCs w:val="20"/>
        </w:rPr>
        <w:t>outcome_agent (T1)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Function: </w:t>
      </w:r>
      <w:r>
        <w:rPr>
          <w:rFonts w:ascii="Aptos" w:hAnsi="Aptos"/>
          <w:sz w:val="18"/>
          <w:szCs w:val="18"/>
        </w:rPr>
        <w:t>Finds potential overcharge, benefit reduction or missing cover; annualizes monthly detriment.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Input: </w:t>
      </w:r>
      <w:r>
        <w:rPr>
          <w:rFonts w:ascii="Aptos" w:hAnsi="Aptos"/>
          <w:sz w:val="18"/>
          <w:szCs w:val="18"/>
        </w:rPr>
        <w:t>breaks + clusters.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Output: </w:t>
      </w:r>
      <w:r>
        <w:rPr>
          <w:rFonts w:ascii="Aptos" w:hAnsi="Aptos"/>
          <w:sz w:val="18"/>
          <w:szCs w:val="18"/>
        </w:rPr>
        <w:t>ConductOutcome[] with impact/evidence/rationale.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Knowledge Core: </w:t>
      </w:r>
      <w:r>
        <w:rPr>
          <w:rFonts w:ascii="Aptos" w:hAnsi="Aptos"/>
          <w:sz w:val="18"/>
          <w:szCs w:val="18"/>
        </w:rPr>
        <w:t>Graph output; downstream routing creates persisted case.</w:t>
      </w:r>
    </w:p>
    <w:p>
      <w:pPr>
        <w:spacing w:after="60" w:line="276" w:lineRule="auto"/>
        <w:pStyle w:val="Heading3"/>
        <w:keepNext/>
      </w:pPr>
      <w:r>
        <w:rPr>
          <w:rFonts w:ascii="Aptos" w:hAnsi="Aptos"/>
          <w:sz w:val="20"/>
          <w:szCs w:val="20"/>
        </w:rPr>
        <w:t>case_routing_agent (T1)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Function: </w:t>
      </w:r>
      <w:r>
        <w:rPr>
          <w:rFonts w:ascii="Aptos" w:hAnsi="Aptos"/>
          <w:sz w:val="18"/>
          <w:szCs w:val="18"/>
        </w:rPr>
        <w:t>Assigns materiality band, queue route and priority for officer review.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Input: </w:t>
      </w:r>
      <w:r>
        <w:rPr>
          <w:rFonts w:ascii="Aptos" w:hAnsi="Aptos"/>
          <w:sz w:val="18"/>
          <w:szCs w:val="18"/>
        </w:rPr>
        <w:t>ConductOutcome[].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Output: </w:t>
      </w:r>
      <w:r>
        <w:rPr>
          <w:rFonts w:ascii="Aptos" w:hAnsi="Aptos"/>
          <w:sz w:val="18"/>
          <w:szCs w:val="18"/>
        </w:rPr>
        <w:t>ConductCase[].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Knowledge Core: </w:t>
      </w:r>
      <w:r>
        <w:rPr>
          <w:rFonts w:ascii="Aptos" w:hAnsi="Aptos"/>
          <w:sz w:val="18"/>
          <w:szCs w:val="18"/>
        </w:rPr>
        <w:t>Evidence guard then save_conduct_cases + provenance/audit.</w:t>
      </w:r>
    </w:p>
    <w:p>
      <w:pPr>
        <w:spacing w:after="60" w:line="276" w:lineRule="auto"/>
        <w:pStyle w:val="Heading3"/>
        <w:keepNext/>
      </w:pPr>
      <w:r>
        <w:rPr>
          <w:rFonts w:ascii="Aptos" w:hAnsi="Aptos"/>
          <w:sz w:val="20"/>
          <w:szCs w:val="20"/>
        </w:rPr>
        <w:t>retrieval_agent (T3)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Function: </w:t>
      </w:r>
      <w:r>
        <w:rPr>
          <w:rFonts w:ascii="Aptos" w:hAnsi="Aptos"/>
          <w:sz w:val="18"/>
          <w:szCs w:val="18"/>
        </w:rPr>
        <w:t>Refreshes run search index from certified-only content.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Input: </w:t>
      </w:r>
      <w:r>
        <w:rPr>
          <w:rFonts w:ascii="Aptos" w:hAnsi="Aptos"/>
          <w:sz w:val="18"/>
          <w:szCs w:val="18"/>
        </w:rPr>
        <w:t>run_id + runtime services.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Output: </w:t>
      </w:r>
      <w:r>
        <w:rPr>
          <w:rFonts w:ascii="Aptos" w:hAnsi="Aptos"/>
          <w:sz w:val="18"/>
          <w:szCs w:val="18"/>
        </w:rPr>
        <w:t>indexed document count.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Knowledge Core: </w:t>
      </w:r>
      <w:r>
        <w:rPr>
          <w:rFonts w:ascii="Aptos" w:hAnsi="Aptos"/>
          <w:sz w:val="18"/>
          <w:szCs w:val="18"/>
        </w:rPr>
        <w:t>Reads certified KC; updates pgvector retrieval_document or SQLite BM25.</w:t>
      </w:r>
    </w:p>
    <w:p>
      <w:pPr>
        <w:spacing w:after="60" w:line="276" w:lineRule="auto"/>
        <w:pStyle w:val="Heading3"/>
        <w:keepNext/>
      </w:pPr>
      <w:r>
        <w:rPr>
          <w:rFonts w:ascii="Aptos" w:hAnsi="Aptos"/>
          <w:sz w:val="20"/>
          <w:szCs w:val="20"/>
        </w:rPr>
        <w:t>assistant_agent (T2)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Function: </w:t>
      </w:r>
      <w:r>
        <w:rPr>
          <w:rFonts w:ascii="Aptos" w:hAnsi="Aptos"/>
          <w:sz w:val="18"/>
          <w:szCs w:val="18"/>
        </w:rPr>
        <w:t>Separate Q&amp;A: injection guard, PII redaction, certified retrieval, citation/claim validation, refusal.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Input: </w:t>
      </w:r>
      <w:r>
        <w:rPr>
          <w:rFonts w:ascii="Aptos" w:hAnsi="Aptos"/>
          <w:sz w:val="18"/>
          <w:szCs w:val="18"/>
        </w:rPr>
        <w:t>question + optional run_id.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Output: </w:t>
      </w:r>
      <w:r>
        <w:rPr>
          <w:rFonts w:ascii="Aptos" w:hAnsi="Aptos"/>
          <w:sz w:val="18"/>
          <w:szCs w:val="18"/>
        </w:rPr>
        <w:t>answer/refusal/mode/citations.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Knowledge Core: </w:t>
      </w:r>
      <w:r>
        <w:rPr>
          <w:rFonts w:ascii="Aptos" w:hAnsi="Aptos"/>
          <w:sz w:val="18"/>
          <w:szCs w:val="18"/>
        </w:rPr>
        <w:t>Reads certified KC/index; LLM telemetry; no business truth writes.</w:t>
      </w:r>
    </w:p>
    <w:p>
      <w:pPr>
        <w:spacing w:after="60" w:line="276" w:lineRule="auto"/>
        <w:pStyle w:val="Heading3"/>
        <w:keepNext/>
      </w:pPr>
      <w:r>
        <w:rPr>
          <w:rFonts w:ascii="Aptos" w:hAnsi="Aptos"/>
          <w:sz w:val="20"/>
          <w:szCs w:val="20"/>
        </w:rPr>
        <w:t>assurance_agent (T3)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Function: </w:t>
      </w:r>
      <w:r>
        <w:rPr>
          <w:rFonts w:ascii="Aptos" w:hAnsi="Aptos"/>
          <w:sz w:val="18"/>
          <w:szCs w:val="18"/>
        </w:rPr>
        <w:t>Measures capability floors, completeness, cost/latency, readiness and blockers; does not decide.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Input: </w:t>
      </w:r>
      <w:r>
        <w:rPr>
          <w:rFonts w:ascii="Aptos" w:hAnsi="Aptos"/>
          <w:sz w:val="18"/>
          <w:szCs w:val="18"/>
        </w:rPr>
        <w:t>run facts + KC/telemetry.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Output: </w:t>
      </w:r>
      <w:r>
        <w:rPr>
          <w:rFonts w:ascii="Aptos" w:hAnsi="Aptos"/>
          <w:sz w:val="18"/>
          <w:szCs w:val="18"/>
        </w:rPr>
        <w:t>AssuranceReport.</w:t>
      </w:r>
    </w:p>
    <w:p>
      <w:pPr>
        <w:spacing w:after="55" w:line="250" w:lineRule="auto"/>
      </w:pPr>
      <w:r>
        <w:rPr>
          <w:rFonts w:ascii="Aptos" w:hAnsi="Aptos"/>
          <w:sz w:val="18"/>
          <w:szCs w:val="18"/>
          <w:b/>
          <w:color w:val="2878A8"/>
        </w:rPr>
        <w:t xml:space="preserve">Knowledge Core: </w:t>
      </w:r>
      <w:r>
        <w:rPr>
          <w:rFonts w:ascii="Aptos" w:hAnsi="Aptos"/>
          <w:sz w:val="18"/>
          <w:szCs w:val="18"/>
        </w:rPr>
        <w:t>Reads multiple KC entities; save_assurance_report + signal.</w:t>
      </w:r>
    </w:p>
    <w:p>
      <w:pPr>
        <w:spacing w:after="130" w:line="276" w:lineRule="auto"/>
        <w:pStyle w:val="Heading1"/>
        <w:keepNext/>
      </w:pPr>
      <w:r>
        <w:rPr>
          <w:rFonts w:ascii="Aptos" w:hAnsi="Aptos"/>
          <w:sz w:val="20"/>
          <w:szCs w:val="20"/>
        </w:rPr>
        <w:t>4. Knowledge Core: entities and governed writes</w:t>
      </w:r>
    </w:p>
    <w:p>
      <w:pPr>
        <w:spacing w:after="110" w:line="276" w:lineRule="auto"/>
      </w:pPr>
      <w:r>
        <w:rPr>
          <w:rFonts w:ascii="Aptos" w:hAnsi="Aptos"/>
          <w:sz w:val="20"/>
          <w:szCs w:val="20"/>
        </w:rPr>
        <w:t>KnowledgeCore is the SQLAlchemy-backed relational system of record behind db/repository.py. It is not an evidence blob store, graph blackboard, or search engine. PostgreSQL is production-capable; SQLite supports local and test runs.</w:t>
      </w:r>
    </w:p>
    <w:tbl>
      <w:tblPr>
        <w:tblW w:w="9360" w:type="dxa"/>
        <w:tblLayout w:type="fixed"/>
        <w:tblBorders>
          <w:top w:val="single" w:sz="5" w:color="8EAFC8"/>
          <w:left w:val="single" w:sz="5" w:color="8EAFC8"/>
          <w:bottom w:val="single" w:sz="5" w:color="8EAFC8"/>
          <w:right w:val="single" w:sz="5" w:color="8EAFC8"/>
          <w:insideH w:val="single" w:sz="4" w:color="CBD7E1"/>
          <w:insideV w:val="single" w:sz="4" w:color="CBD7E1"/>
        </w:tblBorders>
        <w:tblCellMar>
          <w:top w:w="60" w:type="dxa"/>
          <w:left w:w="75" w:type="dxa"/>
          <w:bottom w:w="60" w:type="dxa"/>
          <w:right w:w="75" w:type="dxa"/>
        </w:tblCellMar>
      </w:tblPr>
      <w:tblGrid>
        <w:gridCol w:w="3300"/>
        <w:gridCol w:w="6060"/>
      </w:tblGrid>
      <w:tr>
        <w:trPr>
          <w:tblHeader/>
        </w:trPr>
        <w:tc>
          <w:tcPr>
            <w:tcW w:w="3300" w:type="dxa"/>
            <w:shd w:fill="17365D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7"/>
                <w:szCs w:val="17"/>
                <w:b/>
                <w:color w:val="FFFFFF"/>
              </w:rPr>
              <w:t>Entity family</w:t>
            </w:r>
          </w:p>
        </w:tc>
        <w:tc>
          <w:tcPr>
            <w:tcW w:w="6060" w:type="dxa"/>
            <w:shd w:fill="17365D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7"/>
                <w:szCs w:val="17"/>
                <w:b/>
                <w:color w:val="FFFFFF"/>
              </w:rPr>
              <w:t>Technical contents / role</w:t>
            </w:r>
          </w:p>
        </w:tc>
      </w:tr>
      <w:tr>
        <w:tc>
          <w:tcPr>
            <w:tcW w:w="330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ingest_run, upload, artefact</w:t>
            </w:r>
          </w:p>
        </w:tc>
        <w:tc>
          <w:tcPr>
            <w:tcW w:w="606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Run lifecycle/summary, bundle manifest and per-file metadata/evidence reference.</w:t>
            </w:r>
          </w:p>
        </w:tc>
      </w:tr>
      <w:tr>
        <w:tc>
          <w:tcPr>
            <w:tcW w:w="330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data_dictionary, rule, differential, adjudication</w:t>
            </w:r>
          </w:p>
        </w:tc>
        <w:tc>
          <w:tcPr>
            <w:tcW w:w="606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Typed schema facts, extracted/certified logic, source-target differences, expert briefs and decisions.</w:t>
            </w:r>
          </w:p>
        </w:tc>
      </w:tr>
      <w:tr>
        <w:tc>
          <w:tcPr>
            <w:tcW w:w="330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mapping, cohort, entity_match</w:t>
            </w:r>
          </w:p>
        </w:tc>
        <w:tc>
          <w:tcPr>
            <w:tcW w:w="606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Field transforms/validation/status, quality defects and candidate duplicate pairs.</w:t>
            </w:r>
          </w:p>
        </w:tc>
      </w:tr>
      <w:tr>
        <w:tc>
          <w:tcPr>
            <w:tcW w:w="330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reconciliation_break, break_cluster, conduct_case</w:t>
            </w:r>
          </w:p>
        </w:tc>
        <w:tc>
          <w:tcPr>
            <w:tcW w:w="606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Record-level variance, grouped explanation/lineage and customer detriment case.</w:t>
            </w:r>
          </w:p>
        </w:tc>
      </w:tr>
      <w:tr>
        <w:tc>
          <w:tcPr>
            <w:tcW w:w="330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story, generated_code</w:t>
            </w:r>
          </w:p>
        </w:tc>
        <w:tc>
          <w:tcPr>
            <w:tcW w:w="606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Implementation story and generated mapping code/tests linked to rules, mappings and evidence.</w:t>
            </w:r>
          </w:p>
        </w:tc>
      </w:tr>
      <w:tr>
        <w:tc>
          <w:tcPr>
            <w:tcW w:w="330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provenance, audit, hitl_task</w:t>
            </w:r>
          </w:p>
        </w:tc>
        <w:tc>
          <w:tcPr>
            <w:tcW w:w="606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Evidence-to-entity links, append-only actor/action/reason history and durable human review work.</w:t>
            </w:r>
          </w:p>
        </w:tc>
      </w:tr>
      <w:tr>
        <w:tc>
          <w:tcPr>
            <w:tcW w:w="330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signal, agent_execution, trace_span</w:t>
            </w:r>
          </w:p>
        </w:tc>
        <w:tc>
          <w:tcPr>
            <w:tcW w:w="606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Run feed, execution state, duration/reasoning and trace hierarchy.</w:t>
            </w:r>
          </w:p>
        </w:tc>
      </w:tr>
      <w:tr>
        <w:tc>
          <w:tcPr>
            <w:tcW w:w="330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llm_call, headroom_event, guardrail_event, mcp_invocation</w:t>
            </w:r>
          </w:p>
        </w:tc>
        <w:tc>
          <w:tcPr>
            <w:tcW w:w="606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Cost and usage, compression, policy, refusal and external tool telemetry.</w:t>
            </w:r>
          </w:p>
        </w:tc>
      </w:tr>
      <w:tr>
        <w:tc>
          <w:tcPr>
            <w:tcW w:w="330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assurance_report, eval_result</w:t>
            </w:r>
          </w:p>
        </w:tc>
        <w:tc>
          <w:tcPr>
            <w:tcW w:w="606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Capability/readiness evidence and stored evaluation results/configuration.</w:t>
            </w:r>
          </w:p>
        </w:tc>
      </w:tr>
    </w:tbl>
    <w:p>
      <w:pPr>
        <w:spacing w:after="65" w:line="276" w:lineRule="auto"/>
      </w:pPr>
    </w:p>
    <w:p>
      <w:pPr>
        <w:spacing w:after="130" w:line="276" w:lineRule="auto"/>
        <w:pStyle w:val="Heading1"/>
        <w:keepNext/>
      </w:pPr>
      <w:r>
        <w:rPr>
          <w:rFonts w:ascii="Aptos" w:hAnsi="Aptos"/>
          <w:sz w:val="20"/>
          <w:szCs w:val="20"/>
        </w:rPr>
        <w:t>4.1 Governed write path</w:t>
      </w:r>
    </w:p>
    <w:p>
      <w:pPr>
        <w:spacing w:after="55" w:line="276" w:lineRule="auto"/>
      </w:pPr>
      <w:r>
        <w:rPr>
          <w:rFonts w:ascii="Aptos" w:hAnsi="Aptos"/>
          <w:sz w:val="19"/>
          <w:szCs w:val="19"/>
        </w:rPr>
        <w:t>• Agents return typed output; graph nodes coordinate evidence guard and repository persistence.</w:t>
      </w:r>
    </w:p>
    <w:p>
      <w:pPr>
        <w:spacing w:after="55" w:line="276" w:lineRule="auto"/>
      </w:pPr>
      <w:r>
        <w:rPr>
          <w:rFonts w:ascii="Aptos" w:hAnsi="Aptos"/>
          <w:sz w:val="19"/>
          <w:szCs w:val="19"/>
        </w:rPr>
        <w:t>• Guard resolves source references against controlled evidence and checks the exact span/cell/row or schema fact.</w:t>
      </w:r>
    </w:p>
    <w:p>
      <w:pPr>
        <w:spacing w:after="55" w:line="276" w:lineRule="auto"/>
      </w:pPr>
      <w:r>
        <w:rPr>
          <w:rFonts w:ascii="Aptos" w:hAnsi="Aptos"/>
          <w:sz w:val="19"/>
          <w:szCs w:val="19"/>
        </w:rPr>
        <w:t>• Governed writes validate identity, permitted entity, lifecycle status and evidence, then persist entity, provenance and audit transactionally.</w:t>
      </w:r>
    </w:p>
    <w:p>
      <w:pPr>
        <w:spacing w:after="55" w:line="276" w:lineRule="auto"/>
      </w:pPr>
      <w:r>
        <w:rPr>
          <w:rFonts w:ascii="Aptos" w:hAnsi="Aptos"/>
          <w:sz w:val="19"/>
          <w:szCs w:val="19"/>
        </w:rPr>
        <w:t>• HITL API verifies the authenticated principal's required role. HumanDecision is revalidated at gate; apply_human_decision transitions status and audits it.</w:t>
      </w:r>
    </w:p>
    <w:p>
      <w:pPr>
        <w:spacing w:after="55" w:line="276" w:lineRule="auto"/>
      </w:pPr>
      <w:r>
        <w:rPr>
          <w:rFonts w:ascii="Aptos" w:hAnsi="Aptos"/>
          <w:sz w:val="19"/>
          <w:szCs w:val="19"/>
        </w:rPr>
        <w:t>• certify_rule requires provenance and stores exact certified expression, named certifier, role and time. Other entity types use their own approval/status transition.</w:t>
      </w:r>
    </w:p>
    <w:p>
      <w:pPr>
        <w:spacing w:after="55" w:line="276" w:lineRule="auto"/>
      </w:pPr>
      <w:r>
        <w:rPr>
          <w:rFonts w:ascii="Aptos" w:hAnsi="Aptos"/>
          <w:sz w:val="19"/>
          <w:szCs w:val="19"/>
        </w:rPr>
        <w:t>• Missing/invalid decisions become explicit unresolved state with audit; they never become certified by default.</w:t>
      </w:r>
    </w:p>
    <w:p>
      <w:pPr>
        <w:spacing w:after="55" w:line="276" w:lineRule="auto"/>
      </w:pPr>
      <w:r>
        <w:rPr>
          <w:rFonts w:ascii="Aptos" w:hAnsi="Aptos"/>
          <w:sz w:val="19"/>
          <w:szCs w:val="19"/>
        </w:rPr>
        <w:t>• Agents may emit execution/signal telemetry without persisting their intermediate result as a business entity.</w:t>
      </w:r>
    </w:p>
    <w:p>
      <w:pPr>
        <w:spacing w:after="130" w:line="276" w:lineRule="auto"/>
        <w:pStyle w:val="Heading1"/>
        <w:keepNext/>
      </w:pPr>
      <w:r>
        <w:rPr>
          <w:rFonts w:ascii="Aptos" w:hAnsi="Aptos"/>
          <w:sz w:val="20"/>
          <w:szCs w:val="20"/>
        </w:rPr>
        <w:t>4.2 Stage-to-KC cross-reference</w:t>
      </w:r>
    </w:p>
    <w:tbl>
      <w:tblPr>
        <w:tblW w:w="9360" w:type="dxa"/>
        <w:tblLayout w:type="fixed"/>
        <w:tblBorders>
          <w:top w:val="single" w:sz="5" w:color="8EAFC8"/>
          <w:left w:val="single" w:sz="5" w:color="8EAFC8"/>
          <w:bottom w:val="single" w:sz="5" w:color="8EAFC8"/>
          <w:right w:val="single" w:sz="5" w:color="8EAFC8"/>
          <w:insideH w:val="single" w:sz="4" w:color="CBD7E1"/>
          <w:insideV w:val="single" w:sz="4" w:color="CBD7E1"/>
        </w:tblBorders>
        <w:tblCellMar>
          <w:top w:w="60" w:type="dxa"/>
          <w:left w:w="75" w:type="dxa"/>
          <w:bottom w:w="60" w:type="dxa"/>
          <w:right w:w="75" w:type="dxa"/>
        </w:tblCellMar>
      </w:tblPr>
      <w:tblGrid>
        <w:gridCol w:w="2500"/>
        <w:gridCol w:w="6860"/>
      </w:tblGrid>
      <w:tr>
        <w:trPr>
          <w:tblHeader/>
        </w:trPr>
        <w:tc>
          <w:tcPr>
            <w:tcW w:w="2500" w:type="dxa"/>
            <w:shd w:fill="17365D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7"/>
                <w:szCs w:val="17"/>
                <w:b/>
                <w:color w:val="FFFFFF"/>
              </w:rPr>
              <w:t>Stage</w:t>
            </w:r>
          </w:p>
        </w:tc>
        <w:tc>
          <w:tcPr>
            <w:tcW w:w="6860" w:type="dxa"/>
            <w:shd w:fill="17365D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7"/>
                <w:szCs w:val="17"/>
                <w:b/>
                <w:color w:val="FFFFFF"/>
              </w:rPr>
              <w:t>KC effects</w:t>
            </w:r>
          </w:p>
        </w:tc>
      </w:tr>
      <w:tr>
        <w:tc>
          <w:tcPr>
            <w:tcW w:w="250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Intake / ingest</w:t>
            </w:r>
          </w:p>
        </w:tc>
        <w:tc>
          <w:tcPr>
            <w:tcW w:w="686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Upload, IngestRun, Artefact, Audit; EvidenceStore owns file bytes.</w:t>
            </w:r>
          </w:p>
        </w:tc>
      </w:tr>
      <w:tr>
        <w:tc>
          <w:tcPr>
            <w:tcW w:w="250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Discovery</w:t>
            </w:r>
          </w:p>
        </w:tc>
        <w:tc>
          <w:tcPr>
            <w:tcW w:w="686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Proposed Rule, DictionaryEntry, Differential and brief; provenance/audit.</w:t>
            </w:r>
          </w:p>
        </w:tc>
      </w:tr>
      <w:tr>
        <w:tc>
          <w:tcPr>
            <w:tcW w:w="250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Rule gate</w:t>
            </w:r>
          </w:p>
        </w:tc>
        <w:tc>
          <w:tcPr>
            <w:tcW w:w="686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HitlTask, Adjudication, Rule certification or unresolved status, Audit.</w:t>
            </w:r>
          </w:p>
        </w:tc>
      </w:tr>
      <w:tr>
        <w:tc>
          <w:tcPr>
            <w:tcW w:w="250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Mapping / data quality</w:t>
            </w:r>
          </w:p>
        </w:tc>
        <w:tc>
          <w:tcPr>
            <w:tcW w:w="686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Mapping proposal/validation, Cohort annotations, EntityMatch, provenance/audit.</w:t>
            </w:r>
          </w:p>
        </w:tc>
      </w:tr>
      <w:tr>
        <w:tc>
          <w:tcPr>
            <w:tcW w:w="250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Build / reconciliation</w:t>
            </w:r>
          </w:p>
        </w:tc>
        <w:tc>
          <w:tcPr>
            <w:tcW w:w="686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GeneratedCode, ReconciliationBreak, BreakCluster, lineage.</w:t>
            </w:r>
          </w:p>
        </w:tc>
      </w:tr>
      <w:tr>
        <w:tc>
          <w:tcPr>
            <w:tcW w:w="250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Conduct</w:t>
            </w:r>
          </w:p>
        </w:tc>
        <w:tc>
          <w:tcPr>
            <w:tcW w:w="686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ConductCase and reviewer decision; HITL/Audit.</w:t>
            </w:r>
          </w:p>
        </w:tc>
      </w:tr>
      <w:tr>
        <w:tc>
          <w:tcPr>
            <w:tcW w:w="250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Retrieval / assurance</w:t>
            </w:r>
          </w:p>
        </w:tc>
        <w:tc>
          <w:tcPr>
            <w:tcW w:w="686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Derived retrieval index and AssuranceReport; telemetry reads.</w:t>
            </w:r>
          </w:p>
        </w:tc>
      </w:tr>
      <w:tr>
        <w:tc>
          <w:tcPr>
            <w:tcW w:w="250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Finalize</w:t>
            </w:r>
          </w:p>
        </w:tc>
        <w:tc>
          <w:tcPr>
            <w:tcW w:w="686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IngestRun summary/status/end time and final signal.</w:t>
            </w:r>
          </w:p>
        </w:tc>
      </w:tr>
    </w:tbl>
    <w:p>
      <w:pPr>
        <w:spacing w:after="65" w:line="276" w:lineRule="auto"/>
      </w:pPr>
    </w:p>
    <w:p>
      <w:pPr>
        <w:spacing w:after="130" w:line="276" w:lineRule="auto"/>
        <w:pStyle w:val="Heading1"/>
        <w:keepNext/>
      </w:pPr>
      <w:r>
        <w:rPr>
          <w:rFonts w:ascii="Aptos" w:hAnsi="Aptos"/>
          <w:sz w:val="20"/>
          <w:szCs w:val="20"/>
        </w:rPr>
        <w:t>5. Human gates and durable decisions</w:t>
      </w:r>
    </w:p>
    <w:p>
      <w:pPr>
        <w:spacing w:after="110" w:line="276" w:lineRule="auto"/>
      </w:pPr>
      <w:r>
        <w:rPr>
          <w:rFonts w:ascii="Aptos" w:hAnsi="Aptos"/>
          <w:sz w:val="20"/>
          <w:szCs w:val="20"/>
        </w:rPr>
        <w:t>Gates use LangGraph interrupt/resume, not a synchronous agent answer. Before interrupt, the graph creates idempotent HitlTask rows, sets IngestRun.status/current_gate, emits a review signal and persists checkpoint state. RunService resumes the same run thread with decisions.</w:t>
      </w:r>
    </w:p>
    <w:tbl>
      <w:tblPr>
        <w:tblW w:w="9360" w:type="dxa"/>
        <w:tblLayout w:type="fixed"/>
        <w:tblBorders>
          <w:top w:val="single" w:sz="5" w:color="8EAFC8"/>
          <w:left w:val="single" w:sz="5" w:color="8EAFC8"/>
          <w:bottom w:val="single" w:sz="5" w:color="8EAFC8"/>
          <w:right w:val="single" w:sz="5" w:color="8EAFC8"/>
          <w:insideH w:val="single" w:sz="4" w:color="CBD7E1"/>
          <w:insideV w:val="single" w:sz="4" w:color="CBD7E1"/>
        </w:tblBorders>
        <w:tblCellMar>
          <w:top w:w="60" w:type="dxa"/>
          <w:left w:w="75" w:type="dxa"/>
          <w:bottom w:w="60" w:type="dxa"/>
          <w:right w:w="75" w:type="dxa"/>
        </w:tblCellMar>
      </w:tblPr>
      <w:tblGrid>
        <w:gridCol w:w="2050"/>
        <w:gridCol w:w="1950"/>
        <w:gridCol w:w="5360"/>
      </w:tblGrid>
      <w:tr>
        <w:trPr>
          <w:tblHeader/>
        </w:trPr>
        <w:tc>
          <w:tcPr>
            <w:tcW w:w="2050" w:type="dxa"/>
            <w:shd w:fill="17365D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7"/>
                <w:szCs w:val="17"/>
                <w:b/>
                <w:color w:val="FFFFFF"/>
              </w:rPr>
              <w:t>Gate</w:t>
            </w:r>
          </w:p>
        </w:tc>
        <w:tc>
          <w:tcPr>
            <w:tcW w:w="1950" w:type="dxa"/>
            <w:shd w:fill="17365D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7"/>
                <w:szCs w:val="17"/>
                <w:b/>
                <w:color w:val="FFFFFF"/>
              </w:rPr>
              <w:t>Required role</w:t>
            </w:r>
          </w:p>
        </w:tc>
        <w:tc>
          <w:tcPr>
            <w:tcW w:w="5360" w:type="dxa"/>
            <w:shd w:fill="17365D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7"/>
                <w:szCs w:val="17"/>
                <w:b/>
                <w:color w:val="FFFFFF"/>
              </w:rPr>
              <w:t>What is decided</w:t>
            </w:r>
          </w:p>
        </w:tc>
      </w:tr>
      <w:tr>
        <w:tc>
          <w:tcPr>
            <w:tcW w:w="205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rule_adjudication</w:t>
            </w:r>
          </w:p>
        </w:tc>
        <w:tc>
          <w:tcPr>
            <w:tcW w:w="195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actuary_sme</w:t>
            </w:r>
          </w:p>
        </w:tc>
        <w:tc>
          <w:tcPr>
            <w:tcW w:w="536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Differential side/override/reject and aggregate accepted rules; certification needs a valid expression/evidence.</w:t>
            </w:r>
          </w:p>
        </w:tc>
      </w:tr>
      <w:tr>
        <w:tc>
          <w:tcPr>
            <w:tcW w:w="205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mapping_approval</w:t>
            </w:r>
          </w:p>
        </w:tc>
        <w:tc>
          <w:tcPr>
            <w:tcW w:w="195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data_steward</w:t>
            </w:r>
          </w:p>
        </w:tc>
        <w:tc>
          <w:tcPr>
            <w:tcW w:w="536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Mapping endpoints/transform with alternatives and independent validation.</w:t>
            </w:r>
          </w:p>
        </w:tc>
      </w:tr>
      <w:tr>
        <w:tc>
          <w:tcPr>
            <w:tcW w:w="205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data_quality_review</w:t>
            </w:r>
          </w:p>
        </w:tc>
        <w:tc>
          <w:tcPr>
            <w:tcW w:w="195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data_steward</w:t>
            </w:r>
          </w:p>
        </w:tc>
        <w:tc>
          <w:tcPr>
            <w:tcW w:w="536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Cohort proposals and duplicate matches; agent scores are not the decision.</w:t>
            </w:r>
          </w:p>
        </w:tc>
      </w:tr>
      <w:tr>
        <w:tc>
          <w:tcPr>
            <w:tcW w:w="205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reconciliation_review</w:t>
            </w:r>
          </w:p>
        </w:tc>
        <w:tc>
          <w:tcPr>
            <w:tcW w:w="195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reconciliation_analyst</w:t>
            </w:r>
          </w:p>
        </w:tc>
        <w:tc>
          <w:tcPr>
            <w:tcW w:w="536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Break-cluster attribution/disposition and variance.</w:t>
            </w:r>
          </w:p>
        </w:tc>
      </w:tr>
      <w:tr>
        <w:tc>
          <w:tcPr>
            <w:tcW w:w="205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conduct_review</w:t>
            </w:r>
          </w:p>
        </w:tc>
        <w:tc>
          <w:tcPr>
            <w:tcW w:w="195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conduct_officer</w:t>
            </w:r>
          </w:p>
        </w:tc>
        <w:tc>
          <w:tcPr>
            <w:tcW w:w="536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Customer impact, materiality and remediation/no-action route.</w:t>
            </w:r>
          </w:p>
        </w:tc>
      </w:tr>
      <w:tr>
        <w:tc>
          <w:tcPr>
            <w:tcW w:w="205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go_no_go</w:t>
            </w:r>
          </w:p>
        </w:tc>
        <w:tc>
          <w:tcPr>
            <w:tcW w:w="195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migration_lead</w:t>
            </w:r>
          </w:p>
        </w:tc>
        <w:tc>
          <w:tcPr>
            <w:tcW w:w="536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Explicit run-level decision informed by assurance blockers and previous gates.</w:t>
            </w:r>
          </w:p>
        </w:tc>
      </w:tr>
    </w:tbl>
    <w:p>
      <w:pPr>
        <w:spacing w:after="65" w:line="276" w:lineRule="auto"/>
      </w:pPr>
    </w:p>
    <w:p>
      <w:pPr>
        <w:spacing w:after="110" w:line="276" w:lineRule="auto"/>
      </w:pPr>
      <w:r>
        <w:rPr>
          <w:rFonts w:ascii="Aptos" w:hAnsi="Aptos"/>
          <w:sz w:val="20"/>
          <w:szCs w:val="20"/>
        </w:rPr>
        <w:t>API decision endpoints derive required role from the reviewed item and authenticated principal; callers cannot elevate role by supplying a different role string. The control plane independently checks allowed transitions and decision values.</w:t>
      </w:r>
    </w:p>
    <w:p>
      <w:pPr>
        <w:spacing w:after="130" w:line="276" w:lineRule="auto"/>
        <w:pStyle w:val="Heading1"/>
        <w:keepNext/>
      </w:pPr>
      <w:r>
        <w:rPr>
          <w:rFonts w:ascii="Aptos" w:hAnsi="Aptos"/>
          <w:sz w:val="20"/>
          <w:szCs w:val="20"/>
        </w:rPr>
        <w:t>6. Blackboard, fan-out and subgraphs</w:t>
      </w:r>
    </w:p>
    <w:p>
      <w:pPr>
        <w:spacing w:after="55" w:line="276" w:lineRule="auto"/>
      </w:pPr>
      <w:r>
        <w:rPr>
          <w:rFonts w:ascii="Aptos" w:hAnsi="Aptos"/>
          <w:sz w:val="19"/>
          <w:szCs w:val="19"/>
        </w:rPr>
        <w:t>• aiwbState is the top-level graph TypedDict; StreamState is the compact shared schema used by subgraphs. Model outputs are JSON-compatible Pydantic dumps and are revalidated when read.</w:t>
      </w:r>
    </w:p>
    <w:p>
      <w:pPr>
        <w:spacing w:after="55" w:line="276" w:lineRule="auto"/>
      </w:pPr>
      <w:r>
        <w:rPr>
          <w:rFonts w:ascii="Aptos" w:hAnsi="Aptos"/>
          <w:sz w:val="19"/>
          <w:szCs w:val="19"/>
        </w:rPr>
        <w:t>• Extraction Send tasks append to candidate_parts, dictionary_parts and analysis_parts via reducers; guard fan-in validates and consolidates those channels.</w:t>
      </w:r>
    </w:p>
    <w:p>
      <w:pPr>
        <w:spacing w:after="55" w:line="276" w:lineRule="auto"/>
      </w:pPr>
      <w:r>
        <w:rPr>
          <w:rFonts w:ascii="Aptos" w:hAnsi="Aptos"/>
          <w:sz w:val="19"/>
          <w:szCs w:val="19"/>
        </w:rPr>
        <w:t>• After certified_core, story, mapping_build and data_quality fan out in parallel. mapping_build contains mapping -&gt; validation. data_quality is profiler -&gt; anomaly -&gt; root_cause -&gt; cleansing -&gt; live_archive -&gt; entity_match.</w:t>
      </w:r>
    </w:p>
    <w:p>
      <w:pPr>
        <w:spacing w:after="55" w:line="276" w:lineRule="auto"/>
      </w:pPr>
      <w:r>
        <w:rPr>
          <w:rFonts w:ascii="Aptos" w:hAnsi="Aptos"/>
          <w:sz w:val="19"/>
          <w:szCs w:val="19"/>
        </w:rPr>
        <w:t>• Reconciliation is reconciler -&gt; break_cluster -&gt; lineage. Conduct is outcome -&gt; case_routing. Their durable review gates occur after each subgraph.</w:t>
      </w:r>
    </w:p>
    <w:p>
      <w:pPr>
        <w:spacing w:after="55" w:line="276" w:lineRule="auto"/>
      </w:pPr>
      <w:r>
        <w:rPr>
          <w:rFonts w:ascii="Aptos" w:hAnsi="Aptos"/>
          <w:sz w:val="19"/>
          <w:szCs w:val="19"/>
        </w:rPr>
        <w:t>• State contains IDs, evidence locators/hashes and bounded summaries, not raw artefact bytes. Agents open blob_uri via EvidenceReader.</w:t>
      </w:r>
    </w:p>
    <w:p>
      <w:pPr>
        <w:spacing w:after="55" w:line="276" w:lineRule="auto"/>
      </w:pPr>
      <w:r>
        <w:rPr>
          <w:rFonts w:ascii="Aptos" w:hAnsi="Aptos"/>
          <w:sz w:val="19"/>
          <w:szCs w:val="19"/>
        </w:rPr>
        <w:t>• Graph checkpoint persistence is separate from KC migration/schema and separate from the evidence store.</w:t>
      </w:r>
    </w:p>
    <w:p>
      <w:pPr>
        <w:spacing w:after="130" w:line="276" w:lineRule="auto"/>
        <w:pStyle w:val="Heading1"/>
        <w:keepNext/>
      </w:pPr>
      <w:r>
        <w:rPr>
          <w:rFonts w:ascii="Aptos" w:hAnsi="Aptos"/>
          <w:sz w:val="20"/>
          <w:szCs w:val="20"/>
        </w:rPr>
        <w:t>7. Certified retrieval and pgvector</w:t>
      </w:r>
    </w:p>
    <w:p>
      <w:pPr>
        <w:spacing w:after="110" w:line="276" w:lineRule="auto"/>
      </w:pPr>
      <w:r>
        <w:rPr>
          <w:rFonts w:ascii="Aptos" w:hAnsi="Aptos"/>
          <w:sz w:val="20"/>
          <w:szCs w:val="20"/>
        </w:rPr>
        <w:t>PostgreSQL runtime selects tools.search.pgvector.PgVectorIndex. It builds SearchDocument records only from eligible certified Knowledge Core content: certified Rule rows, adjudication explanations linked to Differential, and certified Mapping rows. It does not index raw artefact bytes or the complete customer extract.</w:t>
      </w:r>
    </w:p>
    <w:p>
      <w:pPr>
        <w:spacing w:after="55" w:line="276" w:lineRule="auto"/>
      </w:pPr>
      <w:r>
        <w:rPr>
          <w:rFonts w:ascii="Aptos" w:hAnsi="Aptos"/>
          <w:sz w:val="19"/>
          <w:szCs w:val="19"/>
        </w:rPr>
        <w:t>• Embedding provider: OpenAI text-embedding-3-small, 1,536 dimensions; API key comes from OPENAI_API_KEY.</w:t>
      </w:r>
    </w:p>
    <w:p>
      <w:pPr>
        <w:spacing w:after="55" w:line="276" w:lineRule="auto"/>
      </w:pPr>
      <w:r>
        <w:rPr>
          <w:rFonts w:ascii="Aptos" w:hAnsi="Aptos"/>
          <w:sz w:val="19"/>
          <w:szCs w:val="19"/>
        </w:rPr>
        <w:t>• Alembic migration 0002 creates the PostgreSQL vector extension, retrieval_document table, run/kind indexes and HNSW cosine index. Database permissions or DBA enablement may be needed for CREATE EXTENSION.</w:t>
      </w:r>
    </w:p>
    <w:p>
      <w:pPr>
        <w:spacing w:after="55" w:line="276" w:lineRule="auto"/>
      </w:pPr>
      <w:r>
        <w:rPr>
          <w:rFonts w:ascii="Aptos" w:hAnsi="Aptos"/>
          <w:sz w:val="19"/>
          <w:szCs w:val="19"/>
        </w:rPr>
        <w:t>• Run refresh transactionally replaces that run's documents; an empty refresh removes stale documents. Similarity uses cosine distance (1 - embedding &lt;=&gt; query_embedding), then retrieval.min_similarity filters weak hits.</w:t>
      </w:r>
    </w:p>
    <w:p>
      <w:pPr>
        <w:spacing w:after="55" w:line="276" w:lineRule="auto"/>
      </w:pPr>
      <w:r>
        <w:rPr>
          <w:rFonts w:ascii="Aptos" w:hAnsi="Aptos"/>
          <w:sz w:val="19"/>
          <w:szCs w:val="19"/>
        </w:rPr>
        <w:t>• Production PgVectorIndex requires retrieval.allow_external_embeddings explicitly enabled because content is sent to an external embedding processor. Obtain security/data-protection approval before enabling it; this is a policy gate, not a guarantee that Compose sends no content.</w:t>
      </w:r>
    </w:p>
    <w:p>
      <w:pPr>
        <w:spacing w:after="55" w:line="276" w:lineRule="auto"/>
      </w:pPr>
      <w:r>
        <w:rPr>
          <w:rFonts w:ascii="Aptos" w:hAnsi="Aptos"/>
          <w:sz w:val="19"/>
          <w:szCs w:val="19"/>
        </w:rPr>
        <w:t>• SQLite continues to use BM25 in memory without external embeddings. This is the offline/test compatibility path; PostgreSQL chooses pgvector.</w:t>
      </w:r>
    </w:p>
    <w:p>
      <w:pPr>
        <w:spacing w:after="55" w:line="276" w:lineRule="auto"/>
      </w:pPr>
      <w:r>
        <w:rPr>
          <w:rFonts w:ascii="Aptos" w:hAnsi="Aptos"/>
          <w:sz w:val="19"/>
          <w:szCs w:val="19"/>
        </w:rPr>
        <w:t>• AssistantAgent is a separate /v1/assistant/ask path, not a graph stage. It guards injection, redacts PII in the question, retrieves certified content, checks citations/unsupported claims and refuses when unsupported. It does not write certified business truth.</w:t>
      </w:r>
    </w:p>
    <w:p>
      <w:pPr>
        <w:spacing w:after="110" w:line="276" w:lineRule="auto"/>
      </w:pPr>
      <w:r>
        <w:rPr>
          <w:rFonts w:ascii="Aptos" w:hAnsi="Aptos"/>
          <w:sz w:val="20"/>
          <w:szCs w:val="20"/>
        </w:rPr>
        <w:t>There are three distinct PostgreSQL concerns: KC Alembic schema, LangGraph PostgresSaver checkpoint setup, and pgvector retrieval index. One does not substitute for another.</w:t>
      </w:r>
    </w:p>
    <w:p>
      <w:pPr>
        <w:spacing w:after="130" w:line="276" w:lineRule="auto"/>
        <w:pStyle w:val="Heading1"/>
        <w:keepNext/>
      </w:pPr>
      <w:r>
        <w:rPr>
          <w:rFonts w:ascii="Aptos" w:hAnsi="Aptos"/>
          <w:sz w:val="20"/>
          <w:szCs w:val="20"/>
        </w:rPr>
        <w:t>8. API surface and outputs</w:t>
      </w:r>
    </w:p>
    <w:p>
      <w:pPr>
        <w:spacing w:after="110" w:line="276" w:lineRule="auto"/>
      </w:pPr>
      <w:r>
        <w:rPr>
          <w:rFonts w:ascii="Aptos" w:hAnsi="Aptos"/>
          <w:sz w:val="20"/>
          <w:szCs w:val="20"/>
        </w:rPr>
        <w:t>The FastAPI /v1 surface includes health/agent catalog; uploads; create, status, events, halt and resume for runs; artefact, trace, execution, cost and guardrail reads; review/decision routes for rules, mappings, quality, reconciliation and conduct; assistant ask; readiness; audit; evidence provenance; and evaluation results. Events are exposed from KC signals using server-sent events.</w:t>
      </w:r>
    </w:p>
    <w:p>
      <w:pPr>
        <w:spacing w:after="130" w:line="276" w:lineRule="auto"/>
        <w:pStyle w:val="Heading2"/>
        <w:keepNext/>
      </w:pPr>
      <w:r>
        <w:rPr>
          <w:rFonts w:ascii="Aptos" w:hAnsi="Aptos"/>
          <w:sz w:val="20"/>
          <w:szCs w:val="20"/>
        </w:rPr>
        <w:t>8.1 End-of-run artifacts</w:t>
      </w:r>
    </w:p>
    <w:p>
      <w:pPr>
        <w:spacing w:after="55" w:line="276" w:lineRule="auto"/>
      </w:pPr>
      <w:r>
        <w:rPr>
          <w:rFonts w:ascii="Aptos" w:hAnsi="Aptos"/>
          <w:sz w:val="19"/>
          <w:szCs w:val="19"/>
        </w:rPr>
        <w:t>• Run summary: artefact/rule/differential/mapping/cohort/break/case counts, gate and go/no-go status, assurance and blockers.</w:t>
      </w:r>
    </w:p>
    <w:p>
      <w:pPr>
        <w:spacing w:after="55" w:line="276" w:lineRule="auto"/>
      </w:pPr>
      <w:r>
        <w:rPr>
          <w:rFonts w:ascii="Aptos" w:hAnsi="Aptos"/>
          <w:sz w:val="19"/>
          <w:szCs w:val="19"/>
        </w:rPr>
        <w:t>• Certified business records: rules with approved expressions, mappings with transforms/approver, decided cohorts/matches/clusters/cases with provenance and audit.</w:t>
      </w:r>
    </w:p>
    <w:p>
      <w:pPr>
        <w:spacing w:after="55" w:line="276" w:lineRule="auto"/>
      </w:pPr>
      <w:r>
        <w:rPr>
          <w:rFonts w:ascii="Aptos" w:hAnsi="Aptos"/>
          <w:sz w:val="19"/>
          <w:szCs w:val="19"/>
        </w:rPr>
        <w:t>• Operational evidence: signals, agent executions/spans, guardrail events, LLM/MCP/cost/headroom telemetry, human decisions and assurance metrics.</w:t>
      </w:r>
    </w:p>
    <w:p>
      <w:pPr>
        <w:spacing w:after="55" w:line="276" w:lineRule="auto"/>
      </w:pPr>
      <w:r>
        <w:rPr>
          <w:rFonts w:ascii="Aptos" w:hAnsi="Aptos"/>
          <w:sz w:val="19"/>
          <w:szCs w:val="19"/>
        </w:rPr>
        <w:t>• Derived outputs: mapping code/tests and pgvector search documents/vectors, each linked back to KC identifiers/evidence.</w:t>
      </w:r>
    </w:p>
    <w:p>
      <w:pPr>
        <w:spacing w:after="130" w:line="276" w:lineRule="auto"/>
        <w:pStyle w:val="Heading1"/>
        <w:keepNext/>
      </w:pPr>
      <w:r>
        <w:rPr>
          <w:rFonts w:ascii="Aptos" w:hAnsi="Aptos"/>
          <w:sz w:val="20"/>
          <w:szCs w:val="20"/>
        </w:rPr>
        <w:t>9. Failure, safety and consistency</w:t>
      </w:r>
    </w:p>
    <w:p>
      <w:pPr>
        <w:spacing w:after="55" w:line="276" w:lineRule="auto"/>
      </w:pPr>
      <w:r>
        <w:rPr>
          <w:rFonts w:ascii="Aptos" w:hAnsi="Aptos"/>
          <w:sz w:val="19"/>
          <w:szCs w:val="19"/>
        </w:rPr>
        <w:t>• Unsafe or malformed ZIP members (path traversal, symlinks, duplicate paths, excessive size/count/uncompressed size/compression ratio) are rejected before analysis.</w:t>
      </w:r>
    </w:p>
    <w:p>
      <w:pPr>
        <w:spacing w:after="55" w:line="276" w:lineRule="auto"/>
      </w:pPr>
      <w:r>
        <w:rPr>
          <w:rFonts w:ascii="Aptos" w:hAnsi="Aptos"/>
          <w:sz w:val="19"/>
          <w:szCs w:val="19"/>
        </w:rPr>
        <w:t>• Ingest rechecks bundle/member checksums. Mismatches and parse failures are explicit errors/signals/statuses, not empty-success results.</w:t>
      </w:r>
    </w:p>
    <w:p>
      <w:pPr>
        <w:spacing w:after="55" w:line="276" w:lineRule="auto"/>
      </w:pPr>
      <w:r>
        <w:rPr>
          <w:rFonts w:ascii="Aptos" w:hAnsi="Aptos"/>
          <w:sz w:val="19"/>
          <w:szCs w:val="19"/>
        </w:rPr>
        <w:t>• Agent exceptions and budgets produce explicit failed, blocked or budget_stopped states; retries are bounded for transient failures; kill-switch and time budget are checked at execution boundaries.</w:t>
      </w:r>
    </w:p>
    <w:p>
      <w:pPr>
        <w:spacing w:after="55" w:line="276" w:lineRule="auto"/>
      </w:pPr>
      <w:r>
        <w:rPr>
          <w:rFonts w:ascii="Aptos" w:hAnsi="Aptos"/>
          <w:sz w:val="19"/>
          <w:szCs w:val="19"/>
        </w:rPr>
        <w:t>• Evidence guards, provenance/audit, role checks and human policy are independent of model output. Heuristic, ATS or LLM output alone never certifies a record.</w:t>
      </w:r>
    </w:p>
    <w:p>
      <w:pPr>
        <w:spacing w:after="55" w:line="276" w:lineRule="auto"/>
      </w:pPr>
      <w:r>
        <w:rPr>
          <w:rFonts w:ascii="Aptos" w:hAnsi="Aptos"/>
          <w:sz w:val="19"/>
          <w:szCs w:val="19"/>
        </w:rPr>
        <w:t>• PII controls include configured ingestion obfuscation, profile value suppression, opaque extract references and assistant question redaction. Raw content stays in EvidenceStore.</w:t>
      </w:r>
    </w:p>
    <w:p>
      <w:pPr>
        <w:spacing w:after="55" w:line="276" w:lineRule="auto"/>
      </w:pPr>
      <w:r>
        <w:rPr>
          <w:rFonts w:ascii="Aptos" w:hAnsi="Aptos"/>
          <w:sz w:val="19"/>
          <w:szCs w:val="19"/>
        </w:rPr>
        <w:t>• PostgreSQL embeddings are an external data-flow boundary. Approve the data class and processor before enabling the feature in production.</w:t>
      </w:r>
    </w:p>
    <w:p>
      <w:pPr>
        <w:spacing w:after="130" w:line="276" w:lineRule="auto"/>
        <w:pStyle w:val="Heading1"/>
        <w:keepNext/>
      </w:pPr>
      <w:r>
        <w:rPr>
          <w:rFonts w:ascii="Aptos" w:hAnsi="Aptos"/>
          <w:sz w:val="20"/>
          <w:szCs w:val="20"/>
        </w:rPr>
        <w:t>10. Source map</w:t>
      </w:r>
    </w:p>
    <w:tbl>
      <w:tblPr>
        <w:tblW w:w="9360" w:type="dxa"/>
        <w:tblLayout w:type="fixed"/>
        <w:tblBorders>
          <w:top w:val="single" w:sz="5" w:color="8EAFC8"/>
          <w:left w:val="single" w:sz="5" w:color="8EAFC8"/>
          <w:bottom w:val="single" w:sz="5" w:color="8EAFC8"/>
          <w:right w:val="single" w:sz="5" w:color="8EAFC8"/>
          <w:insideH w:val="single" w:sz="4" w:color="CBD7E1"/>
          <w:insideV w:val="single" w:sz="4" w:color="CBD7E1"/>
        </w:tblBorders>
        <w:tblCellMar>
          <w:top w:w="60" w:type="dxa"/>
          <w:left w:w="75" w:type="dxa"/>
          <w:bottom w:w="60" w:type="dxa"/>
          <w:right w:w="75" w:type="dxa"/>
        </w:tblCellMar>
      </w:tblPr>
      <w:tblGrid>
        <w:gridCol w:w="2500"/>
        <w:gridCol w:w="6860"/>
      </w:tblGrid>
      <w:tr>
        <w:trPr>
          <w:tblHeader/>
        </w:trPr>
        <w:tc>
          <w:tcPr>
            <w:tcW w:w="2500" w:type="dxa"/>
            <w:shd w:fill="17365D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7"/>
                <w:szCs w:val="17"/>
                <w:b/>
                <w:color w:val="FFFFFF"/>
              </w:rPr>
              <w:t>Concern</w:t>
            </w:r>
          </w:p>
        </w:tc>
        <w:tc>
          <w:tcPr>
            <w:tcW w:w="6860" w:type="dxa"/>
            <w:shd w:fill="17365D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7"/>
                <w:szCs w:val="17"/>
                <w:b/>
                <w:color w:val="FFFFFF"/>
              </w:rPr>
              <w:t>Implementation modules</w:t>
            </w:r>
          </w:p>
        </w:tc>
      </w:tr>
      <w:tr>
        <w:tc>
          <w:tcPr>
            <w:tcW w:w="250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API / lifecycle</w:t>
            </w:r>
          </w:p>
        </w:tc>
        <w:tc>
          <w:tcPr>
            <w:tcW w:w="686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api/app.py, api/auth.py, services/run_service.py</w:t>
            </w:r>
          </w:p>
        </w:tc>
      </w:tr>
      <w:tr>
        <w:tc>
          <w:tcPr>
            <w:tcW w:w="250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Graph / gates</w:t>
            </w:r>
          </w:p>
        </w:tc>
        <w:tc>
          <w:tcPr>
            <w:tcW w:w="686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graph/main.py, graph/nodes.py, graph/state.py, graph/gates.py, graph/checkpointer.py, graph/dispatch.py</w:t>
            </w:r>
          </w:p>
        </w:tc>
      </w:tr>
      <w:tr>
        <w:tc>
          <w:tcPr>
            <w:tcW w:w="250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Agents / policy</w:t>
            </w:r>
          </w:p>
        </w:tc>
        <w:tc>
          <w:tcPr>
            <w:tcW w:w="686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agents/**, agents/base.py, blackboard/identity.py, blackboard/control_plane.py</w:t>
            </w:r>
          </w:p>
        </w:tc>
      </w:tr>
      <w:tr>
        <w:tc>
          <w:tcPr>
            <w:tcW w:w="250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Knowledge Core</w:t>
            </w:r>
          </w:p>
        </w:tc>
        <w:tc>
          <w:tcPr>
            <w:tcW w:w="686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db/models.py, db/repository.py, db/session.py, db/migrations/</w:t>
            </w:r>
          </w:p>
        </w:tc>
      </w:tr>
      <w:tr>
        <w:tc>
          <w:tcPr>
            <w:tcW w:w="250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Evidence / upload</w:t>
            </w:r>
          </w:p>
        </w:tc>
        <w:tc>
          <w:tcPr>
            <w:tcW w:w="686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ingestion/upload.py, ingestion/decode.py, ingestion/pii.py, ingestion/evidence_store.py</w:t>
            </w:r>
          </w:p>
        </w:tc>
      </w:tr>
      <w:tr>
        <w:tc>
          <w:tcPr>
            <w:tcW w:w="250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Guard / provenance</w:t>
            </w:r>
          </w:p>
        </w:tc>
        <w:tc>
          <w:tcPr>
            <w:tcW w:w="686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guardrails/**, schemas/provenance.py, schemas/rules.py</w:t>
            </w:r>
          </w:p>
        </w:tc>
      </w:tr>
      <w:tr>
        <w:tc>
          <w:tcPr>
            <w:tcW w:w="250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Retrieval</w:t>
            </w:r>
          </w:p>
        </w:tc>
        <w:tc>
          <w:tcPr>
            <w:tcW w:w="686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retrieval/certified.py, retrieval/embeddings.py, tools/search/index.py, tools/search/pgvector.py, db/migrations/versions/0002_pgvector_retrieval.py</w:t>
            </w:r>
          </w:p>
        </w:tc>
      </w:tr>
      <w:tr>
        <w:tc>
          <w:tcPr>
            <w:tcW w:w="250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Runtime / deployment</w:t>
            </w:r>
          </w:p>
        </w:tc>
        <w:tc>
          <w:tcPr>
            <w:tcW w:w="6860" w:type="dxa"/>
            <w:shd w:fill="FFFFFF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services/runtime.py, config/settings.py, config/aiwb.yaml, docker-compose.yml</w:t>
            </w:r>
          </w:p>
        </w:tc>
      </w:tr>
      <w:tr>
        <w:tc>
          <w:tcPr>
            <w:tcW w:w="250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Tests / evaluation</w:t>
            </w:r>
          </w:p>
        </w:tc>
        <w:tc>
          <w:tcPr>
            <w:tcW w:w="6860" w:type="dxa"/>
            <w:shd w:fill="EAF1F7"/>
          </w:tcPr>
          <w:p>
            <w:pPr>
              <w:spacing w:after="25" w:line="230" w:lineRule="auto"/>
            </w:pPr>
            <w:r>
              <w:rPr>
                <w:rFonts w:ascii="Aptos" w:hAnsi="Aptos"/>
                <w:sz w:val="16"/>
                <w:szCs w:val="16"/>
              </w:rPr>
              <w:t>tests/**, evals/harness.py, evals/retrieval/evaluator.py, evals/run_all.py</w:t>
            </w:r>
          </w:p>
        </w:tc>
      </w:tr>
    </w:tbl>
    <w:p>
      <w:pPr>
        <w:spacing w:after="65" w:line="276" w:lineRule="auto"/>
      </w:pPr>
    </w:p>
    <w:p>
      <w:pPr>
        <w:spacing w:after="150" w:line="276" w:lineRule="auto"/>
      </w:pPr>
      <w:r>
        <w:rPr>
          <w:rFonts w:ascii="Aptos" w:hAnsi="Aptos"/>
          <w:sz w:val="16"/>
          <w:szCs w:val="16"/>
        </w:rPr>
        <w:t>End of document</w:t>
      </w:r>
    </w:p>
    <w:sectPr>
      <w:headerReference w:type="default" r:id="rId2"/>
      <w:footerReference w:type="default" r:id="rId3"/>
      <w:pgSz w:w="12240" w:h="15840"/>
      <w:pgMar w:top="900" w:right="850" w:bottom="900" w:left="850" w:header="400" w:footer="400"/>
    </w:sectPr>
  </w:body>
</w:document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0"/>
        <w:color w:val="202A35"/>
      </w:rPr>
    </w:rPrDefault>
    <w:pPrDefault>
      <w:pPr>
        <w:spacing w:after="10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pPr>
      <w:spacing w:before="1500" w:after="100"/>
    </w:pPr>
    <w:rPr>
      <w:b/>
      <w:color w:val="17365D"/>
      <w:sz w:val="40"/>
    </w:rPr>
  </w:style>
  <w:style w:type="paragraph" w:styleId="Subtitle">
    <w:name w:val="Subtitle"/>
    <w:rPr>
      <w:color w:val="2878A8"/>
      <w:sz w:val="32"/>
    </w:rPr>
  </w:style>
  <w:style w:type="paragraph" w:styleId="Heading1">
    <w:name w:val="heading 1"/>
    <w:basedOn w:val="Normal"/>
    <w:next w:val="Normal"/>
    <w:qFormat/>
    <w:pPr>
      <w:keepNext/>
      <w:spacing w:before="380" w:after="150"/>
      <w:outlineLvl w:val="0"/>
    </w:pPr>
    <w:rPr>
      <w:b/>
      <w:color w:val="17365D"/>
      <w:sz w:val="30"/>
    </w:rPr>
  </w:style>
  <w:style w:type="paragraph" w:styleId="Heading2">
    <w:name w:val="heading 2"/>
    <w:basedOn w:val="Normal"/>
    <w:next w:val="Normal"/>
    <w:qFormat/>
    <w:pPr>
      <w:keepNext/>
      <w:spacing w:before="250" w:after="100"/>
      <w:outlineLvl w:val="1"/>
    </w:pPr>
    <w:rPr>
      <w:b/>
      <w:color w:val="2878A8"/>
      <w:sz w:val="24"/>
    </w:rPr>
  </w:style>
  <w:style w:type="paragraph" w:styleId="Heading3">
    <w:name w:val="heading 3"/>
    <w:basedOn w:val="Normal"/>
    <w:next w:val="Normal"/>
    <w:qFormat/>
    <w:pPr>
      <w:keepNext/>
      <w:spacing w:before="140" w:after="70"/>
      <w:outlineLvl w:val="2"/>
    </w:pPr>
    <w:rPr>
      <w:b/>
      <w:color w:val="39566F"/>
      <w:sz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AI Workbench - Technical Workflow and Knowledge Core</dc:title>
  <dc:subject>Workflow, agents, and Knowledge Core</dc:subject>
  <dc:creator>AI Workbench Documentation</dc:creator>
  <cp:keywords/>
  <dc:description/>
</cp:coreProperties>
</file>