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4.7864324651728"/>
        <w:gridCol w:w="808.4390066626288"/>
        <w:gridCol w:w="1002.8346456692916"/>
        <w:gridCol w:w="549.244821320412"/>
        <w:gridCol w:w="660.3280436099335"/>
        <w:gridCol w:w="632.5572380375531"/>
        <w:gridCol w:w="919.5222289521503"/>
        <w:gridCol w:w="734.3835251362812"/>
        <w:gridCol w:w="762.1543307086615"/>
        <w:gridCol w:w="419.64772864930353"/>
        <w:gridCol w:w="1373.1120533010298"/>
        <w:gridCol w:w="558.5017565112055"/>
        <w:tblGridChange w:id="0">
          <w:tblGrid>
            <w:gridCol w:w="604.7864324651728"/>
            <w:gridCol w:w="808.4390066626288"/>
            <w:gridCol w:w="1002.8346456692916"/>
            <w:gridCol w:w="549.244821320412"/>
            <w:gridCol w:w="660.3280436099335"/>
            <w:gridCol w:w="632.5572380375531"/>
            <w:gridCol w:w="919.5222289521503"/>
            <w:gridCol w:w="734.3835251362812"/>
            <w:gridCol w:w="762.1543307086615"/>
            <w:gridCol w:w="419.64772864930353"/>
            <w:gridCol w:w="1373.1120533010298"/>
            <w:gridCol w:w="558.501756511205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 Usage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Onboarding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Response Time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Retention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PU-1025-001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1 180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Role visibility overlap persisted for 4 admins.Fix rolled out mid-month; no escalation required.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PU-1025-002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1 030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Average latency reduced to 0.8s.Webhook throughput steady; spike alerts below threshold for 3 consecutive weeks.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PU-1025-003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1 640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New invoice visualization launched; usage up 45%.Finance sentiment highly positive in post-release survey.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PU-1025-004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Gamma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Sandbox setup delays due to unclear API key handling.Docs scheduled for revision in Q4 onboarding guide.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PU-1025-005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Dashboard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1 060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Compliance team awaiting PDF export.Report generation activity up 12%, indicating preparation for that workflow.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PU-1025-006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Horizon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“Smooth throughout” in post-implementation survey.Zero latency complaints since mid-October.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PU-1025-007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730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Tutorial pop-up increased automation adoption 2.3×.Support ticket volume dropped 35% for the same feature.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PU-1025-008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1 110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710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100% onboarding completion sustained.CSM flagged this as a model customer training 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PU-1025-009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Polaris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790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760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New enterprise customer onboarded successfully.Latency well within expected 1–1.2s range; no intervention needed.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PU-1025-010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Regional finance teams requested consolidated invoices.Analytics team preparing unified billing report template.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