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2.2060205437285"/>
        <w:gridCol w:w="647.9219727163735"/>
        <w:gridCol w:w="1081.2455850426106"/>
        <w:gridCol w:w="1341.2397524383528"/>
        <w:gridCol w:w="1551.711221282525"/>
        <w:gridCol w:w="957.4388386636858"/>
        <w:gridCol w:w="746.9673698195135"/>
        <w:gridCol w:w="883.1547908363308"/>
        <w:gridCol w:w="1093.6262596805032"/>
        <w:tblGridChange w:id="0">
          <w:tblGrid>
            <w:gridCol w:w="722.2060205437285"/>
            <w:gridCol w:w="647.9219727163735"/>
            <w:gridCol w:w="1081.2455850426106"/>
            <w:gridCol w:w="1341.2397524383528"/>
            <w:gridCol w:w="1551.711221282525"/>
            <w:gridCol w:w="957.4388386636858"/>
            <w:gridCol w:w="746.9673698195135"/>
            <w:gridCol w:w="883.1547908363308"/>
            <w:gridCol w:w="1093.626259680503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Ticket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T-1025-001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2025-10-02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Permissions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Beta Corp raised a new permissions conflict where “Team Viewer” and “Admin” roles were overlapping, causing duplicated access warnings.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T-1025-002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2025-10-05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Delta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Delta noted occasional webhook spikes during overnight batch jobs. These lasted only seconds but triggered alert emails.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T-1025-003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2025-10-07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Billing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Acme Tech confirmed that the new invoice layout resolved their concerns, noting the charts were clear and accurate.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Low (Positive)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Closed – Positive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T-1025-004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2025-10-09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Gamma 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Gamma’s onboarding specialist requested clearer sandbox-setup documentation after confusion with API tokens.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Logged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T-1025-005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2025-10-12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Nova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Dashboard Customization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Nova Health requested the ability to export dashboards to PDF for compliance reports.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T-1025-006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2025-10-16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Horizon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Horizon confirmed that latency issues were resolved and performance was “smooth throughout.”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Low (Positive)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Closed – Positive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T-1025-007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2025-10-19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Orion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Feature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Orion Labs followed up to say the new in-app tutorial was helpful and reduced their support requests.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Low (Positive)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Closed – Positive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T-1025-008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2025-10-22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Zenith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Zenith’s customer-success lead reported zero onboarding-related queries for the month—first time since deployment.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Low (Positive)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Closed – Positive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T-1025-009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2025-10-25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Polaris Systems </w:t>
            </w:r>
            <w:r w:rsidDel="00000000" w:rsidR="00000000" w:rsidRPr="00000000">
              <w:rPr>
                <w:i w:val="1"/>
                <w:rtl w:val="0"/>
              </w:rPr>
              <w:t xml:space="preserve">(new)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 new client onboarding in October experienced latency within expected limits, describing setup as “smooth and straightforward.”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T-1025-010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2025-10-28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Delta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Billing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Delta’s accounting team requested that multiple regional accounts be consolidated into a single invoice for simplicity.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