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.4325787401576"/>
        <w:gridCol w:w="731.5600393700788"/>
        <w:gridCol w:w="810.8858267716537"/>
        <w:gridCol w:w="1194.2937992125985"/>
        <w:gridCol w:w="1498.3759842519685"/>
        <w:gridCol w:w="1828.900098425197"/>
        <w:gridCol w:w="943.0954724409451"/>
        <w:gridCol w:w="1114.9680118110236"/>
        <w:tblGridChange w:id="0">
          <w:tblGrid>
            <w:gridCol w:w="903.4325787401576"/>
            <w:gridCol w:w="731.5600393700788"/>
            <w:gridCol w:w="810.8858267716537"/>
            <w:gridCol w:w="1194.2937992125985"/>
            <w:gridCol w:w="1498.3759842519685"/>
            <w:gridCol w:w="1828.900098425197"/>
            <w:gridCol w:w="943.0954724409451"/>
            <w:gridCol w:w="1114.968011811023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CRM_Note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CRM-1025-001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2025-10-03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“Latency issues resolved. Now facing overlapping admin permissions; escalation logged.”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CRM-1025-002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2025-10-05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“System stable this month. Exploring consolidated billing request with Finance.”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CRM-1025-003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2025-10-07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“Finance team praised new invoice layout and visualization. Called it ‘clear and actionable.’”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CRM-1025-004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2025-10-09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“New sandbox setup causing confusion. CSM scheduled guided walkthrough.”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CRM-1025-005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2025-10-11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“Asked about PDF export for compliance audits. Feature planned for Q1.”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CRM-1025-006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2025-10-14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“No incidents reported. Client described performance as ‘rock solid.’”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CRM-1025-007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2025-10-17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“New tutorial highly effective — client said support requests dropped 40%.”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CRM-1025-008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2025-10-20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“Client confirmed zero onboarding issues for second month in a row.”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CRM-1025-009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2025-10-24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Polaris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“First deployment smooth; no latency complaints.”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