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0.9597058313922"/>
        <w:gridCol w:w="706.1525133319217"/>
        <w:gridCol w:w="1222.5265387058892"/>
        <w:gridCol w:w="1103.3633020811274"/>
        <w:gridCol w:w="1553.5355293302273"/>
        <w:gridCol w:w="1725.6602044548833"/>
        <w:gridCol w:w="798.8350307067362"/>
        <w:gridCol w:w="944.478986581445"/>
        <w:tblGridChange w:id="0">
          <w:tblGrid>
            <w:gridCol w:w="970.9597058313922"/>
            <w:gridCol w:w="706.1525133319217"/>
            <w:gridCol w:w="1222.5265387058892"/>
            <w:gridCol w:w="1103.3633020811274"/>
            <w:gridCol w:w="1553.5355293302273"/>
            <w:gridCol w:w="1725.6602044548833"/>
            <w:gridCol w:w="798.8350307067362"/>
            <w:gridCol w:w="944.4789865814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S-0825-001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2025-08-03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#acme-onboarding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“Hey team, we’re stuck again on the data-mapping step — the labels don’t match our CRM fields.”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S-0825-002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2025-08-06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#beta-integrations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“Anyone else seeing 504s from SmartOnboard’s API this morning?”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S-0825-003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2025-08-09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#nova-admin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“Can’t seem to assign read-only roles — button just spins.”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S-0825-004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2025-08-11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#zenith-feedback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“Usage and adoption graphs look reversed. Might be labeling issue?”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S-0825-005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2025-08-14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#orion-product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“Just realized there’s an automation-rule tab! Wish that was highlighted during onboarding.”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S-0825-006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2025-08-18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#delta-ops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“Webhook delays again — shipment status taking hours to refresh.”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S-0825-007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2025-08-22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#nova-support-praise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Support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“Huge thanks to @support for fixing our permission bug in record time!”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S-0825-008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2025-08-25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#acme-finance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“Finance can’t match the July invoice to actual usage—need a usage breakdown.”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S-0825-009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2025-08-27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#zenith-onboarding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“New manager reopened onboarding ticket; internal doc still outdated.”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S-0825-010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2025-08-29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#beta-ops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“Nightly data sync failed twice; SLA breach logged.”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2025-08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SCM-01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