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CARDIVEX® (Metopravil Succinate)</w:t>
      </w:r>
    </w:p>
    <w:p>
      <w:pPr>
        <w:jc w:val="center"/>
      </w:pPr>
      <w:r>
        <w:rPr>
          <w:color w:val="505050"/>
          <w:sz w:val="36"/>
        </w:rPr>
        <w:t>Extended-Release Tablets</w:t>
        <w:br/>
        <w:t>50 mg, 100 mg, 200 mg</w:t>
      </w:r>
    </w:p>
    <w:p/>
    <w:p>
      <w:pPr>
        <w:jc w:val="center"/>
      </w:pPr>
      <w:r>
        <w:rPr>
          <w:color w:val="006699"/>
        </w:rPr>
        <w:t>────────────────────────────────────────────────────────────</w:t>
      </w:r>
    </w:p>
    <w:p/>
    <w:p>
      <w:pPr>
        <w:jc w:val="center"/>
      </w:pPr>
      <w:r>
        <w:rPr>
          <w:sz w:val="24"/>
        </w:rPr>
        <w:t>COMPREHENSIVE PRESCRIBING INFORMATION</w:t>
      </w:r>
    </w:p>
    <w:p>
      <w:pPr>
        <w:jc w:val="center"/>
      </w:pPr>
      <w:r>
        <w:rPr>
          <w:sz w:val="24"/>
        </w:rPr>
        <w:t>AND CLINICAL DOCUMENTATION</w:t>
      </w:r>
    </w:p>
    <w:p>
      <w:pPr>
        <w:jc w:val="center"/>
      </w:pPr>
      <w:r>
        <w:rPr>
          <w:sz w:val="24"/>
        </w:rPr>
      </w:r>
    </w:p>
    <w:p>
      <w:pPr>
        <w:jc w:val="center"/>
      </w:pPr>
      <w:r>
        <w:rPr>
          <w:sz w:val="24"/>
        </w:rPr>
        <w:t>Document Version: 4.2</w:t>
      </w:r>
    </w:p>
    <w:p>
      <w:pPr>
        <w:jc w:val="center"/>
      </w:pPr>
      <w:r>
        <w:rPr>
          <w:sz w:val="24"/>
        </w:rPr>
        <w:t>Effective Date: March 2026</w:t>
      </w:r>
    </w:p>
    <w:p>
      <w:pPr>
        <w:jc w:val="center"/>
      </w:pPr>
      <w:r>
        <w:rPr>
          <w:sz w:val="24"/>
        </w:rPr>
        <w:t>NDA Number: 215-847</w:t>
      </w:r>
    </w:p>
    <w:p>
      <w:pPr>
        <w:jc w:val="center"/>
      </w:pPr>
      <w:r>
        <w:rPr>
          <w:sz w:val="24"/>
        </w:rPr>
      </w:r>
    </w:p>
    <w:p>
      <w:pPr>
        <w:jc w:val="center"/>
      </w:pPr>
      <w:r>
        <w:rPr>
          <w:sz w:val="24"/>
        </w:rPr>
        <w:t>Prepared by: Pharmacore Therapeutics, Inc.</w:t>
      </w:r>
    </w:p>
    <w:p>
      <w:pPr>
        <w:jc w:val="center"/>
      </w:pPr>
      <w:r>
        <w:rPr>
          <w:sz w:val="24"/>
        </w:rPr>
        <w:t>Medical Writing Division</w:t>
      </w:r>
    </w:p>
    <w:p>
      <w:pPr>
        <w:jc w:val="center"/>
      </w:pPr>
      <w:r>
        <w:rPr>
          <w:sz w:val="24"/>
        </w:rPr>
        <w:t>500 Research Boulevard, Cambridge, MA 02142</w:t>
      </w:r>
    </w:p>
    <w:p>
      <w:pPr>
        <w:jc w:val="center"/>
      </w:pPr>
      <w:r>
        <w:rPr>
          <w:sz w:val="24"/>
        </w:rPr>
      </w:r>
    </w:p>
    <w:p>
      <w:pPr>
        <w:jc w:val="center"/>
      </w:pPr>
      <w:r>
        <w:rPr>
          <w:b/>
          <w:color w:val="B40000"/>
          <w:sz w:val="24"/>
        </w:rPr>
        <w:t>CONFIDENTIAL — FOR REGULATORY AND MEDICAL USE ONLY</w:t>
      </w:r>
    </w:p>
    <w:p>
      <w:r>
        <w:br w:type="page"/>
      </w:r>
    </w:p>
    <w:p>
      <w:pPr>
        <w:pStyle w:val="Heading1"/>
      </w:pPr>
      <w:r>
        <w:t>TABLE OF CONTENTS</w:t>
      </w:r>
    </w:p>
    <w:p/>
    <w:tbl>
      <w:tblPr>
        <w:tblW w:type="auto" w:w="0"/>
        <w:jc w:val="center"/>
        <w:tblLook w:firstColumn="1" w:firstRow="1" w:lastColumn="0" w:lastRow="0" w:noHBand="0" w:noVBand="1" w:val="04A0"/>
      </w:tblPr>
      <w:tblGrid>
        <w:gridCol w:w="3120"/>
        <w:gridCol w:w="3120"/>
        <w:gridCol w:w="3120"/>
      </w:tblGrid>
      <w:tr>
        <w:tc>
          <w:tcPr>
            <w:tcW w:type="dxa" w:w="720"/>
          </w:tcPr>
          <w:p>
            <w:r>
              <w:rPr>
                <w:sz w:val="22"/>
              </w:rPr>
              <w:t>1.</w:t>
            </w:r>
          </w:p>
        </w:tc>
        <w:tc>
          <w:tcPr>
            <w:tcW w:type="dxa" w:w="7200"/>
          </w:tcPr>
          <w:p>
            <w:r>
              <w:rPr>
                <w:sz w:val="22"/>
              </w:rPr>
              <w:t>Executive Summary</w:t>
            </w:r>
          </w:p>
        </w:tc>
        <w:tc>
          <w:tcPr>
            <w:tcW w:type="dxa" w:w="1152"/>
          </w:tcPr>
          <w:p>
            <w:r>
              <w:rPr>
                <w:sz w:val="22"/>
              </w:rPr>
              <w:t>3</w:t>
            </w:r>
          </w:p>
        </w:tc>
      </w:tr>
      <w:tr>
        <w:tc>
          <w:tcPr>
            <w:tcW w:type="dxa" w:w="720"/>
          </w:tcPr>
          <w:p>
            <w:r>
              <w:rPr>
                <w:sz w:val="22"/>
              </w:rPr>
              <w:t>2.</w:t>
            </w:r>
          </w:p>
        </w:tc>
        <w:tc>
          <w:tcPr>
            <w:tcW w:type="dxa" w:w="7200"/>
          </w:tcPr>
          <w:p>
            <w:r>
              <w:rPr>
                <w:sz w:val="22"/>
              </w:rPr>
              <w:t>Drug Identification and Overview</w:t>
            </w:r>
          </w:p>
        </w:tc>
        <w:tc>
          <w:tcPr>
            <w:tcW w:type="dxa" w:w="1152"/>
          </w:tcPr>
          <w:p>
            <w:r>
              <w:rPr>
                <w:sz w:val="22"/>
              </w:rPr>
              <w:t>4</w:t>
            </w:r>
          </w:p>
        </w:tc>
      </w:tr>
      <w:tr>
        <w:tc>
          <w:tcPr>
            <w:tcW w:type="dxa" w:w="720"/>
          </w:tcPr>
          <w:p>
            <w:r>
              <w:rPr>
                <w:sz w:val="22"/>
              </w:rPr>
              <w:t>3.</w:t>
            </w:r>
          </w:p>
        </w:tc>
        <w:tc>
          <w:tcPr>
            <w:tcW w:type="dxa" w:w="7200"/>
          </w:tcPr>
          <w:p>
            <w:r>
              <w:rPr>
                <w:sz w:val="22"/>
              </w:rPr>
              <w:t>Qualitative and Quantitative Composition</w:t>
            </w:r>
          </w:p>
        </w:tc>
        <w:tc>
          <w:tcPr>
            <w:tcW w:type="dxa" w:w="1152"/>
          </w:tcPr>
          <w:p>
            <w:r>
              <w:rPr>
                <w:sz w:val="22"/>
              </w:rPr>
              <w:t>5</w:t>
            </w:r>
          </w:p>
        </w:tc>
      </w:tr>
      <w:tr>
        <w:tc>
          <w:tcPr>
            <w:tcW w:type="dxa" w:w="720"/>
          </w:tcPr>
          <w:p>
            <w:r>
              <w:rPr>
                <w:sz w:val="22"/>
              </w:rPr>
              <w:t>4.</w:t>
            </w:r>
          </w:p>
        </w:tc>
        <w:tc>
          <w:tcPr>
            <w:tcW w:type="dxa" w:w="7200"/>
          </w:tcPr>
          <w:p>
            <w:r>
              <w:rPr>
                <w:sz w:val="22"/>
              </w:rPr>
              <w:t>Pharmaceutical Form</w:t>
            </w:r>
          </w:p>
        </w:tc>
        <w:tc>
          <w:tcPr>
            <w:tcW w:type="dxa" w:w="1152"/>
          </w:tcPr>
          <w:p>
            <w:r>
              <w:rPr>
                <w:sz w:val="22"/>
              </w:rPr>
              <w:t>6</w:t>
            </w:r>
          </w:p>
        </w:tc>
      </w:tr>
      <w:tr>
        <w:tc>
          <w:tcPr>
            <w:tcW w:type="dxa" w:w="720"/>
          </w:tcPr>
          <w:p>
            <w:r>
              <w:rPr>
                <w:sz w:val="22"/>
              </w:rPr>
              <w:t>5.</w:t>
            </w:r>
          </w:p>
        </w:tc>
        <w:tc>
          <w:tcPr>
            <w:tcW w:type="dxa" w:w="7200"/>
          </w:tcPr>
          <w:p>
            <w:r>
              <w:rPr>
                <w:sz w:val="22"/>
              </w:rPr>
              <w:t>Chemical and Pharmaceutical Properties</w:t>
            </w:r>
          </w:p>
        </w:tc>
        <w:tc>
          <w:tcPr>
            <w:tcW w:type="dxa" w:w="1152"/>
          </w:tcPr>
          <w:p>
            <w:r>
              <w:rPr>
                <w:sz w:val="22"/>
              </w:rPr>
              <w:t>6</w:t>
            </w:r>
          </w:p>
        </w:tc>
      </w:tr>
      <w:tr>
        <w:tc>
          <w:tcPr>
            <w:tcW w:type="dxa" w:w="720"/>
          </w:tcPr>
          <w:p>
            <w:r>
              <w:rPr>
                <w:sz w:val="22"/>
              </w:rPr>
              <w:t>6.</w:t>
            </w:r>
          </w:p>
        </w:tc>
        <w:tc>
          <w:tcPr>
            <w:tcW w:type="dxa" w:w="7200"/>
          </w:tcPr>
          <w:p>
            <w:r>
              <w:rPr>
                <w:sz w:val="22"/>
              </w:rPr>
              <w:t>Mechanism of Action</w:t>
            </w:r>
          </w:p>
        </w:tc>
        <w:tc>
          <w:tcPr>
            <w:tcW w:type="dxa" w:w="1152"/>
          </w:tcPr>
          <w:p>
            <w:r>
              <w:rPr>
                <w:sz w:val="22"/>
              </w:rPr>
              <w:t>7</w:t>
            </w:r>
          </w:p>
        </w:tc>
      </w:tr>
      <w:tr>
        <w:tc>
          <w:tcPr>
            <w:tcW w:type="dxa" w:w="720"/>
          </w:tcPr>
          <w:p>
            <w:r>
              <w:rPr>
                <w:sz w:val="22"/>
              </w:rPr>
              <w:t>7.</w:t>
            </w:r>
          </w:p>
        </w:tc>
        <w:tc>
          <w:tcPr>
            <w:tcW w:type="dxa" w:w="7200"/>
          </w:tcPr>
          <w:p>
            <w:r>
              <w:rPr>
                <w:sz w:val="22"/>
              </w:rPr>
              <w:t>Pharmacodynamics</w:t>
            </w:r>
          </w:p>
        </w:tc>
        <w:tc>
          <w:tcPr>
            <w:tcW w:type="dxa" w:w="1152"/>
          </w:tcPr>
          <w:p>
            <w:r>
              <w:rPr>
                <w:sz w:val="22"/>
              </w:rPr>
              <w:t>8</w:t>
            </w:r>
          </w:p>
        </w:tc>
      </w:tr>
      <w:tr>
        <w:tc>
          <w:tcPr>
            <w:tcW w:type="dxa" w:w="720"/>
          </w:tcPr>
          <w:p>
            <w:r>
              <w:rPr>
                <w:sz w:val="22"/>
              </w:rPr>
              <w:t>8.</w:t>
            </w:r>
          </w:p>
        </w:tc>
        <w:tc>
          <w:tcPr>
            <w:tcW w:type="dxa" w:w="7200"/>
          </w:tcPr>
          <w:p>
            <w:r>
              <w:rPr>
                <w:sz w:val="22"/>
              </w:rPr>
              <w:t>Pharmacokinetics</w:t>
            </w:r>
          </w:p>
        </w:tc>
        <w:tc>
          <w:tcPr>
            <w:tcW w:type="dxa" w:w="1152"/>
          </w:tcPr>
          <w:p>
            <w:r>
              <w:rPr>
                <w:sz w:val="22"/>
              </w:rPr>
              <w:t>9</w:t>
            </w:r>
          </w:p>
        </w:tc>
      </w:tr>
      <w:tr>
        <w:tc>
          <w:tcPr>
            <w:tcW w:type="dxa" w:w="720"/>
          </w:tcPr>
          <w:p>
            <w:r>
              <w:rPr>
                <w:sz w:val="22"/>
              </w:rPr>
              <w:t>9.</w:t>
            </w:r>
          </w:p>
        </w:tc>
        <w:tc>
          <w:tcPr>
            <w:tcW w:type="dxa" w:w="7200"/>
          </w:tcPr>
          <w:p>
            <w:r>
              <w:rPr>
                <w:sz w:val="22"/>
              </w:rPr>
              <w:t>Clinical Indications and Usage</w:t>
            </w:r>
          </w:p>
        </w:tc>
        <w:tc>
          <w:tcPr>
            <w:tcW w:type="dxa" w:w="1152"/>
          </w:tcPr>
          <w:p>
            <w:r>
              <w:rPr>
                <w:sz w:val="22"/>
              </w:rPr>
              <w:t>11</w:t>
            </w:r>
          </w:p>
        </w:tc>
      </w:tr>
      <w:tr>
        <w:tc>
          <w:tcPr>
            <w:tcW w:type="dxa" w:w="720"/>
          </w:tcPr>
          <w:p>
            <w:r>
              <w:rPr>
                <w:sz w:val="22"/>
              </w:rPr>
              <w:t>10.</w:t>
            </w:r>
          </w:p>
        </w:tc>
        <w:tc>
          <w:tcPr>
            <w:tcW w:type="dxa" w:w="7200"/>
          </w:tcPr>
          <w:p>
            <w:r>
              <w:rPr>
                <w:sz w:val="22"/>
              </w:rPr>
              <w:t>Dosage and Administration</w:t>
            </w:r>
          </w:p>
        </w:tc>
        <w:tc>
          <w:tcPr>
            <w:tcW w:type="dxa" w:w="1152"/>
          </w:tcPr>
          <w:p>
            <w:r>
              <w:rPr>
                <w:sz w:val="22"/>
              </w:rPr>
              <w:t>12</w:t>
            </w:r>
          </w:p>
        </w:tc>
      </w:tr>
      <w:tr>
        <w:tc>
          <w:tcPr>
            <w:tcW w:type="dxa" w:w="720"/>
          </w:tcPr>
          <w:p>
            <w:r>
              <w:rPr>
                <w:sz w:val="22"/>
              </w:rPr>
              <w:t>11.</w:t>
            </w:r>
          </w:p>
        </w:tc>
        <w:tc>
          <w:tcPr>
            <w:tcW w:type="dxa" w:w="7200"/>
          </w:tcPr>
          <w:p>
            <w:r>
              <w:rPr>
                <w:sz w:val="22"/>
              </w:rPr>
              <w:t>Clinical Trials — Phase I</w:t>
            </w:r>
          </w:p>
        </w:tc>
        <w:tc>
          <w:tcPr>
            <w:tcW w:type="dxa" w:w="1152"/>
          </w:tcPr>
          <w:p>
            <w:r>
              <w:rPr>
                <w:sz w:val="22"/>
              </w:rPr>
              <w:t>14</w:t>
            </w:r>
          </w:p>
        </w:tc>
      </w:tr>
      <w:tr>
        <w:tc>
          <w:tcPr>
            <w:tcW w:type="dxa" w:w="720"/>
          </w:tcPr>
          <w:p>
            <w:r>
              <w:rPr>
                <w:sz w:val="22"/>
              </w:rPr>
              <w:t>12.</w:t>
            </w:r>
          </w:p>
        </w:tc>
        <w:tc>
          <w:tcPr>
            <w:tcW w:type="dxa" w:w="7200"/>
          </w:tcPr>
          <w:p>
            <w:r>
              <w:rPr>
                <w:sz w:val="22"/>
              </w:rPr>
              <w:t>Clinical Trials — Phase II</w:t>
            </w:r>
          </w:p>
        </w:tc>
        <w:tc>
          <w:tcPr>
            <w:tcW w:type="dxa" w:w="1152"/>
          </w:tcPr>
          <w:p>
            <w:r>
              <w:rPr>
                <w:sz w:val="22"/>
              </w:rPr>
              <w:t>15</w:t>
            </w:r>
          </w:p>
        </w:tc>
      </w:tr>
      <w:tr>
        <w:tc>
          <w:tcPr>
            <w:tcW w:type="dxa" w:w="720"/>
          </w:tcPr>
          <w:p>
            <w:r>
              <w:rPr>
                <w:sz w:val="22"/>
              </w:rPr>
              <w:t>13.</w:t>
            </w:r>
          </w:p>
        </w:tc>
        <w:tc>
          <w:tcPr>
            <w:tcW w:type="dxa" w:w="7200"/>
          </w:tcPr>
          <w:p>
            <w:r>
              <w:rPr>
                <w:sz w:val="22"/>
              </w:rPr>
              <w:t>Clinical Trials — Phase III</w:t>
            </w:r>
          </w:p>
        </w:tc>
        <w:tc>
          <w:tcPr>
            <w:tcW w:type="dxa" w:w="1152"/>
          </w:tcPr>
          <w:p>
            <w:r>
              <w:rPr>
                <w:sz w:val="22"/>
              </w:rPr>
              <w:t>17</w:t>
            </w:r>
          </w:p>
        </w:tc>
      </w:tr>
      <w:tr>
        <w:tc>
          <w:tcPr>
            <w:tcW w:type="dxa" w:w="720"/>
          </w:tcPr>
          <w:p>
            <w:r>
              <w:rPr>
                <w:sz w:val="22"/>
              </w:rPr>
              <w:t>14.</w:t>
            </w:r>
          </w:p>
        </w:tc>
        <w:tc>
          <w:tcPr>
            <w:tcW w:type="dxa" w:w="7200"/>
          </w:tcPr>
          <w:p>
            <w:r>
              <w:rPr>
                <w:sz w:val="22"/>
              </w:rPr>
              <w:t>Efficacy Summary</w:t>
            </w:r>
          </w:p>
        </w:tc>
        <w:tc>
          <w:tcPr>
            <w:tcW w:type="dxa" w:w="1152"/>
          </w:tcPr>
          <w:p>
            <w:r>
              <w:rPr>
                <w:sz w:val="22"/>
              </w:rPr>
              <w:t>19</w:t>
            </w:r>
          </w:p>
        </w:tc>
      </w:tr>
      <w:tr>
        <w:tc>
          <w:tcPr>
            <w:tcW w:type="dxa" w:w="720"/>
          </w:tcPr>
          <w:p>
            <w:r>
              <w:rPr>
                <w:sz w:val="22"/>
              </w:rPr>
              <w:t>15.</w:t>
            </w:r>
          </w:p>
        </w:tc>
        <w:tc>
          <w:tcPr>
            <w:tcW w:type="dxa" w:w="7200"/>
          </w:tcPr>
          <w:p>
            <w:r>
              <w:rPr>
                <w:sz w:val="22"/>
              </w:rPr>
              <w:t>Safety Profile and Adverse Events</w:t>
            </w:r>
          </w:p>
        </w:tc>
        <w:tc>
          <w:tcPr>
            <w:tcW w:type="dxa" w:w="1152"/>
          </w:tcPr>
          <w:p>
            <w:r>
              <w:rPr>
                <w:sz w:val="22"/>
              </w:rPr>
              <w:t>20</w:t>
            </w:r>
          </w:p>
        </w:tc>
      </w:tr>
      <w:tr>
        <w:tc>
          <w:tcPr>
            <w:tcW w:type="dxa" w:w="720"/>
          </w:tcPr>
          <w:p>
            <w:r>
              <w:rPr>
                <w:sz w:val="22"/>
              </w:rPr>
              <w:t>16.</w:t>
            </w:r>
          </w:p>
        </w:tc>
        <w:tc>
          <w:tcPr>
            <w:tcW w:type="dxa" w:w="7200"/>
          </w:tcPr>
          <w:p>
            <w:r>
              <w:rPr>
                <w:sz w:val="22"/>
              </w:rPr>
              <w:t>Drug Interactions</w:t>
            </w:r>
          </w:p>
        </w:tc>
        <w:tc>
          <w:tcPr>
            <w:tcW w:type="dxa" w:w="1152"/>
          </w:tcPr>
          <w:p>
            <w:r>
              <w:rPr>
                <w:sz w:val="22"/>
              </w:rPr>
              <w:t>22</w:t>
            </w:r>
          </w:p>
        </w:tc>
      </w:tr>
      <w:tr>
        <w:tc>
          <w:tcPr>
            <w:tcW w:type="dxa" w:w="720"/>
          </w:tcPr>
          <w:p>
            <w:r>
              <w:rPr>
                <w:sz w:val="22"/>
              </w:rPr>
              <w:t>17.</w:t>
            </w:r>
          </w:p>
        </w:tc>
        <w:tc>
          <w:tcPr>
            <w:tcW w:type="dxa" w:w="7200"/>
          </w:tcPr>
          <w:p>
            <w:r>
              <w:rPr>
                <w:sz w:val="22"/>
              </w:rPr>
              <w:t>Contraindications</w:t>
            </w:r>
          </w:p>
        </w:tc>
        <w:tc>
          <w:tcPr>
            <w:tcW w:type="dxa" w:w="1152"/>
          </w:tcPr>
          <w:p>
            <w:r>
              <w:rPr>
                <w:sz w:val="22"/>
              </w:rPr>
              <w:t>24</w:t>
            </w:r>
          </w:p>
        </w:tc>
      </w:tr>
      <w:tr>
        <w:tc>
          <w:tcPr>
            <w:tcW w:type="dxa" w:w="720"/>
          </w:tcPr>
          <w:p>
            <w:r>
              <w:rPr>
                <w:sz w:val="22"/>
              </w:rPr>
              <w:t>18.</w:t>
            </w:r>
          </w:p>
        </w:tc>
        <w:tc>
          <w:tcPr>
            <w:tcW w:type="dxa" w:w="7200"/>
          </w:tcPr>
          <w:p>
            <w:r>
              <w:rPr>
                <w:sz w:val="22"/>
              </w:rPr>
              <w:t>Warnings and Precautions</w:t>
            </w:r>
          </w:p>
        </w:tc>
        <w:tc>
          <w:tcPr>
            <w:tcW w:type="dxa" w:w="1152"/>
          </w:tcPr>
          <w:p>
            <w:r>
              <w:rPr>
                <w:sz w:val="22"/>
              </w:rPr>
              <w:t>25</w:t>
            </w:r>
          </w:p>
        </w:tc>
      </w:tr>
      <w:tr>
        <w:tc>
          <w:tcPr>
            <w:tcW w:type="dxa" w:w="720"/>
          </w:tcPr>
          <w:p>
            <w:r>
              <w:rPr>
                <w:sz w:val="22"/>
              </w:rPr>
              <w:t>19.</w:t>
            </w:r>
          </w:p>
        </w:tc>
        <w:tc>
          <w:tcPr>
            <w:tcW w:type="dxa" w:w="7200"/>
          </w:tcPr>
          <w:p>
            <w:r>
              <w:rPr>
                <w:sz w:val="22"/>
              </w:rPr>
              <w:t>Use in Special Populations</w:t>
            </w:r>
          </w:p>
        </w:tc>
        <w:tc>
          <w:tcPr>
            <w:tcW w:type="dxa" w:w="1152"/>
          </w:tcPr>
          <w:p>
            <w:r>
              <w:rPr>
                <w:sz w:val="22"/>
              </w:rPr>
              <w:t>26</w:t>
            </w:r>
          </w:p>
        </w:tc>
      </w:tr>
      <w:tr>
        <w:tc>
          <w:tcPr>
            <w:tcW w:type="dxa" w:w="720"/>
          </w:tcPr>
          <w:p>
            <w:r>
              <w:rPr>
                <w:sz w:val="22"/>
              </w:rPr>
              <w:t>20.</w:t>
            </w:r>
          </w:p>
        </w:tc>
        <w:tc>
          <w:tcPr>
            <w:tcW w:type="dxa" w:w="7200"/>
          </w:tcPr>
          <w:p>
            <w:r>
              <w:rPr>
                <w:sz w:val="22"/>
              </w:rPr>
              <w:t>Overdosage</w:t>
            </w:r>
          </w:p>
        </w:tc>
        <w:tc>
          <w:tcPr>
            <w:tcW w:type="dxa" w:w="1152"/>
          </w:tcPr>
          <w:p>
            <w:r>
              <w:rPr>
                <w:sz w:val="22"/>
              </w:rPr>
              <w:t>27</w:t>
            </w:r>
          </w:p>
        </w:tc>
      </w:tr>
      <w:tr>
        <w:tc>
          <w:tcPr>
            <w:tcW w:type="dxa" w:w="720"/>
          </w:tcPr>
          <w:p>
            <w:r>
              <w:rPr>
                <w:sz w:val="22"/>
              </w:rPr>
              <w:t>21.</w:t>
            </w:r>
          </w:p>
        </w:tc>
        <w:tc>
          <w:tcPr>
            <w:tcW w:type="dxa" w:w="7200"/>
          </w:tcPr>
          <w:p>
            <w:r>
              <w:rPr>
                <w:sz w:val="22"/>
              </w:rPr>
              <w:t>Storage and Handling</w:t>
            </w:r>
          </w:p>
        </w:tc>
        <w:tc>
          <w:tcPr>
            <w:tcW w:type="dxa" w:w="1152"/>
          </w:tcPr>
          <w:p>
            <w:r>
              <w:rPr>
                <w:sz w:val="22"/>
              </w:rPr>
              <w:t>28</w:t>
            </w:r>
          </w:p>
        </w:tc>
      </w:tr>
      <w:tr>
        <w:tc>
          <w:tcPr>
            <w:tcW w:type="dxa" w:w="720"/>
          </w:tcPr>
          <w:p>
            <w:r>
              <w:rPr>
                <w:sz w:val="22"/>
              </w:rPr>
              <w:t>22.</w:t>
            </w:r>
          </w:p>
        </w:tc>
        <w:tc>
          <w:tcPr>
            <w:tcW w:type="dxa" w:w="7200"/>
          </w:tcPr>
          <w:p>
            <w:r>
              <w:rPr>
                <w:sz w:val="22"/>
              </w:rPr>
              <w:t>Regulatory Status</w:t>
            </w:r>
          </w:p>
        </w:tc>
        <w:tc>
          <w:tcPr>
            <w:tcW w:type="dxa" w:w="1152"/>
          </w:tcPr>
          <w:p>
            <w:r>
              <w:rPr>
                <w:sz w:val="22"/>
              </w:rPr>
              <w:t>28</w:t>
            </w:r>
          </w:p>
        </w:tc>
      </w:tr>
      <w:tr>
        <w:tc>
          <w:tcPr>
            <w:tcW w:type="dxa" w:w="720"/>
          </w:tcPr>
          <w:p>
            <w:r>
              <w:rPr>
                <w:sz w:val="22"/>
              </w:rPr>
              <w:t>23.</w:t>
            </w:r>
          </w:p>
        </w:tc>
        <w:tc>
          <w:tcPr>
            <w:tcW w:type="dxa" w:w="7200"/>
          </w:tcPr>
          <w:p>
            <w:r>
              <w:rPr>
                <w:sz w:val="22"/>
              </w:rPr>
              <w:t>Patient Counseling Information</w:t>
            </w:r>
          </w:p>
        </w:tc>
        <w:tc>
          <w:tcPr>
            <w:tcW w:type="dxa" w:w="1152"/>
          </w:tcPr>
          <w:p>
            <w:r>
              <w:rPr>
                <w:sz w:val="22"/>
              </w:rPr>
              <w:t>29</w:t>
            </w:r>
          </w:p>
        </w:tc>
      </w:tr>
      <w:tr>
        <w:tc>
          <w:tcPr>
            <w:tcW w:type="dxa" w:w="720"/>
          </w:tcPr>
          <w:p>
            <w:r>
              <w:rPr>
                <w:sz w:val="22"/>
              </w:rPr>
              <w:t>24.</w:t>
            </w:r>
          </w:p>
        </w:tc>
        <w:tc>
          <w:tcPr>
            <w:tcW w:type="dxa" w:w="7200"/>
          </w:tcPr>
          <w:p>
            <w:r>
              <w:rPr>
                <w:sz w:val="22"/>
              </w:rPr>
              <w:t>References</w:t>
            </w:r>
          </w:p>
        </w:tc>
        <w:tc>
          <w:tcPr>
            <w:tcW w:type="dxa" w:w="1152"/>
          </w:tcPr>
          <w:p>
            <w:r>
              <w:rPr>
                <w:sz w:val="22"/>
              </w:rPr>
              <w:t>30</w:t>
            </w:r>
          </w:p>
        </w:tc>
      </w:tr>
    </w:tbl>
    <w:p>
      <w:r>
        <w:br w:type="page"/>
      </w:r>
    </w:p>
    <w:p>
      <w:pPr>
        <w:pStyle w:val="Heading1"/>
      </w:pPr>
      <w:r>
        <w:t>1. Executive Summary</w:t>
      </w:r>
    </w:p>
    <w:p>
      <w:r>
        <w:t>Cardivex® (metopravil succinate) is a novel, highly selective beta-1 adrenergic receptor antagonist developed by Pharmacore Therapeutics, Inc. for the management of hypertension, chronic heart failure (NYHA Class II–IV), and stable angina pectoris. The extended-release formulation provides consistent 24-hour blood pressure control with once-daily dosing, significantly improving patient compliance compared to immediate-release beta-blocker alternatives.</w:t>
      </w:r>
    </w:p>
    <w:p>
      <w:r>
        <w:t>Metopravil succinate demonstrates superior beta-1 selectivity (β1/β2 ratio of 1:380) compared to existing agents, resulting in a substantially reduced incidence of bronchospasm, peripheral vasoconstriction, and metabolic adverse effects. The compound exhibits linear pharmacokinetics across the therapeutic dose range (50–200 mg), with a mean elimination half-life of 14.6 hours, supporting once-daily administration.</w:t>
      </w:r>
    </w:p>
    <w:p>
      <w:r>
        <w:t>The clinical development program comprised 14 clinical studies enrolling 12,847 patients across 42 countries. In the pivotal Phase III CARDIAC-SHIELD trial (N=4,218), Cardivex® demonstrated a statistically significant reduction in the primary composite endpoint of cardiovascular death, non-fatal myocardial infarction, and hospitalization for heart failure (HR 0.72, 95% CI: 0.63–0.82, p&lt;0.001) compared to placebo when added to standard-of-care therapy.</w:t>
      </w:r>
    </w:p>
    <w:p>
      <w:pPr>
        <w:pStyle w:val="Heading2"/>
      </w:pPr>
      <w:r>
        <w:t>Key Clinical Highlights</w:t>
      </w:r>
    </w:p>
    <w:p>
      <w:pPr>
        <w:pStyle w:val="ListBullet"/>
      </w:pPr>
      <w:r>
        <w:t>Mean systolic blood pressure reduction of 18.4 mmHg (±3.2) at 12 weeks vs. 6.1 mmHg (±2.8) for placebo</w:t>
      </w:r>
    </w:p>
    <w:p>
      <w:pPr>
        <w:pStyle w:val="ListBullet"/>
      </w:pPr>
      <w:r>
        <w:t>38% relative risk reduction in all-cause mortality at 24 months in heart failure patients</w:t>
      </w:r>
    </w:p>
    <w:p>
      <w:pPr>
        <w:pStyle w:val="ListBullet"/>
      </w:pPr>
      <w:r>
        <w:t>Favorable tolerability profile with discontinuation rates of 4.7% vs. 3.9% for placebo</w:t>
      </w:r>
    </w:p>
    <w:p>
      <w:pPr>
        <w:pStyle w:val="ListBullet"/>
      </w:pPr>
      <w:r>
        <w:t>No clinically significant QTc prolongation at supratherapeutic doses (up to 800 mg)</w:t>
      </w:r>
    </w:p>
    <w:p>
      <w:pPr>
        <w:pStyle w:val="ListBullet"/>
      </w:pPr>
      <w:r>
        <w:t>Minimal effect on lipid profiles and glucose metabolism compared to non-selective beta-blockers</w:t>
      </w:r>
    </w:p>
    <w:p>
      <w:pPr>
        <w:pStyle w:val="ListBullet"/>
      </w:pPr>
      <w:r>
        <w:t>Demonstrated efficacy across age groups, ethnicities, and baseline cardiovascular risk categories</w:t>
      </w:r>
    </w:p>
    <w:p>
      <w:r>
        <w:br w:type="page"/>
      </w:r>
    </w:p>
    <w:p>
      <w:pPr>
        <w:pStyle w:val="Heading1"/>
      </w:pPr>
      <w:r>
        <w:t>2. Drug Identification and Overview</w:t>
      </w:r>
    </w:p>
    <w:tbl>
      <w:tblPr>
        <w:tblStyle w:val="LightGrid-Accent1"/>
        <w:tblW w:type="auto" w:w="0"/>
        <w:jc w:val="center"/>
        <w:tblLook w:firstColumn="1" w:firstRow="1" w:lastColumn="0" w:lastRow="0" w:noHBand="0" w:noVBand="1" w:val="04A0"/>
      </w:tblPr>
      <w:tblGrid>
        <w:gridCol w:w="4680"/>
        <w:gridCol w:w="4680"/>
      </w:tblGrid>
      <w:tr>
        <w:tc>
          <w:tcPr>
            <w:tcW w:type="dxa" w:w="3600"/>
            <w:shd w:fill="003366"/>
          </w:tcPr>
          <w:p>
            <w:pPr>
              <w:jc w:val="center"/>
            </w:pPr>
            <w:r>
              <w:rPr>
                <w:b/>
                <w:color w:val="FFFFFF"/>
                <w:sz w:val="20"/>
              </w:rPr>
              <w:t>Parameter</w:t>
            </w:r>
          </w:p>
        </w:tc>
        <w:tc>
          <w:tcPr>
            <w:tcW w:type="dxa" w:w="5760"/>
            <w:shd w:fill="003366"/>
          </w:tcPr>
          <w:p>
            <w:pPr>
              <w:jc w:val="center"/>
            </w:pPr>
            <w:r>
              <w:rPr>
                <w:b/>
                <w:color w:val="FFFFFF"/>
                <w:sz w:val="20"/>
              </w:rPr>
              <w:t>Details</w:t>
            </w:r>
          </w:p>
        </w:tc>
      </w:tr>
      <w:tr>
        <w:tc>
          <w:tcPr>
            <w:tcW w:type="dxa" w:w="3600"/>
          </w:tcPr>
          <w:p>
            <w:pPr/>
            <w:r>
              <w:rPr>
                <w:sz w:val="20"/>
              </w:rPr>
              <w:t>Brand Name</w:t>
            </w:r>
          </w:p>
        </w:tc>
        <w:tc>
          <w:tcPr>
            <w:tcW w:type="dxa" w:w="5760"/>
          </w:tcPr>
          <w:p>
            <w:pPr/>
            <w:r>
              <w:rPr>
                <w:sz w:val="20"/>
              </w:rPr>
              <w:t>Cardivex®</w:t>
            </w:r>
          </w:p>
        </w:tc>
      </w:tr>
      <w:tr>
        <w:tc>
          <w:tcPr>
            <w:tcW w:type="dxa" w:w="3600"/>
          </w:tcPr>
          <w:p>
            <w:pPr/>
            <w:r>
              <w:rPr>
                <w:sz w:val="20"/>
              </w:rPr>
              <w:t>Generic Name (INN)</w:t>
            </w:r>
          </w:p>
        </w:tc>
        <w:tc>
          <w:tcPr>
            <w:tcW w:type="dxa" w:w="5760"/>
          </w:tcPr>
          <w:p>
            <w:pPr/>
            <w:r>
              <w:rPr>
                <w:sz w:val="20"/>
              </w:rPr>
              <w:t>Metopravil Succinate</w:t>
            </w:r>
          </w:p>
        </w:tc>
      </w:tr>
      <w:tr>
        <w:tc>
          <w:tcPr>
            <w:tcW w:type="dxa" w:w="3600"/>
          </w:tcPr>
          <w:p>
            <w:pPr/>
            <w:r>
              <w:rPr>
                <w:sz w:val="20"/>
              </w:rPr>
              <w:t>Chemical Name</w:t>
            </w:r>
          </w:p>
        </w:tc>
        <w:tc>
          <w:tcPr>
            <w:tcW w:type="dxa" w:w="5760"/>
          </w:tcPr>
          <w:p>
            <w:pPr/>
            <w:r>
              <w:rPr>
                <w:sz w:val="20"/>
              </w:rPr>
              <w:t>(RS)-1-[4-(2-Methoxyethyl)phenoxy]-3-(isopropylamino)-2-propanol succinate (2:1)</w:t>
            </w:r>
          </w:p>
        </w:tc>
      </w:tr>
      <w:tr>
        <w:tc>
          <w:tcPr>
            <w:tcW w:type="dxa" w:w="3600"/>
          </w:tcPr>
          <w:p>
            <w:pPr/>
            <w:r>
              <w:rPr>
                <w:sz w:val="20"/>
              </w:rPr>
              <w:t>CAS Registry Number</w:t>
            </w:r>
          </w:p>
        </w:tc>
        <w:tc>
          <w:tcPr>
            <w:tcW w:type="dxa" w:w="5760"/>
          </w:tcPr>
          <w:p>
            <w:pPr/>
            <w:r>
              <w:rPr>
                <w:sz w:val="20"/>
              </w:rPr>
              <w:t>98764-32-1 (free base); 98764-33-2 (succinate salt)</w:t>
            </w:r>
          </w:p>
        </w:tc>
      </w:tr>
      <w:tr>
        <w:tc>
          <w:tcPr>
            <w:tcW w:type="dxa" w:w="3600"/>
          </w:tcPr>
          <w:p>
            <w:pPr/>
            <w:r>
              <w:rPr>
                <w:sz w:val="20"/>
              </w:rPr>
              <w:t>Molecular Formula</w:t>
            </w:r>
          </w:p>
        </w:tc>
        <w:tc>
          <w:tcPr>
            <w:tcW w:type="dxa" w:w="5760"/>
          </w:tcPr>
          <w:p>
            <w:pPr/>
            <w:r>
              <w:rPr>
                <w:sz w:val="20"/>
              </w:rPr>
              <w:t>C₁₅H₂₅NO₃ · ½ C₄H₆O₄</w:t>
            </w:r>
          </w:p>
        </w:tc>
      </w:tr>
      <w:tr>
        <w:tc>
          <w:tcPr>
            <w:tcW w:type="dxa" w:w="3600"/>
          </w:tcPr>
          <w:p>
            <w:pPr/>
            <w:r>
              <w:rPr>
                <w:sz w:val="20"/>
              </w:rPr>
              <w:t>Molecular Weight</w:t>
            </w:r>
          </w:p>
        </w:tc>
        <w:tc>
          <w:tcPr>
            <w:tcW w:type="dxa" w:w="5760"/>
          </w:tcPr>
          <w:p>
            <w:pPr/>
            <w:r>
              <w:rPr>
                <w:sz w:val="20"/>
              </w:rPr>
              <w:t>325.42 g/mol (succinate salt)</w:t>
            </w:r>
          </w:p>
        </w:tc>
      </w:tr>
      <w:tr>
        <w:tc>
          <w:tcPr>
            <w:tcW w:type="dxa" w:w="3600"/>
          </w:tcPr>
          <w:p>
            <w:pPr/>
            <w:r>
              <w:rPr>
                <w:sz w:val="20"/>
              </w:rPr>
              <w:t>ATC Code</w:t>
            </w:r>
          </w:p>
        </w:tc>
        <w:tc>
          <w:tcPr>
            <w:tcW w:type="dxa" w:w="5760"/>
          </w:tcPr>
          <w:p>
            <w:pPr/>
            <w:r>
              <w:rPr>
                <w:sz w:val="20"/>
              </w:rPr>
              <w:t>C07AB13</w:t>
            </w:r>
          </w:p>
        </w:tc>
      </w:tr>
      <w:tr>
        <w:tc>
          <w:tcPr>
            <w:tcW w:type="dxa" w:w="3600"/>
          </w:tcPr>
          <w:p>
            <w:pPr/>
            <w:r>
              <w:rPr>
                <w:sz w:val="20"/>
              </w:rPr>
              <w:t>Therapeutic Class</w:t>
            </w:r>
          </w:p>
        </w:tc>
        <w:tc>
          <w:tcPr>
            <w:tcW w:type="dxa" w:w="5760"/>
          </w:tcPr>
          <w:p>
            <w:pPr/>
            <w:r>
              <w:rPr>
                <w:sz w:val="20"/>
              </w:rPr>
              <w:t>Selective Beta-1 Adrenergic Receptor Antagonist</w:t>
            </w:r>
          </w:p>
        </w:tc>
      </w:tr>
      <w:tr>
        <w:tc>
          <w:tcPr>
            <w:tcW w:type="dxa" w:w="3600"/>
          </w:tcPr>
          <w:p>
            <w:pPr/>
            <w:r>
              <w:rPr>
                <w:sz w:val="20"/>
              </w:rPr>
              <w:t>Route of Administration</w:t>
            </w:r>
          </w:p>
        </w:tc>
        <w:tc>
          <w:tcPr>
            <w:tcW w:type="dxa" w:w="5760"/>
          </w:tcPr>
          <w:p>
            <w:pPr/>
            <w:r>
              <w:rPr>
                <w:sz w:val="20"/>
              </w:rPr>
              <w:t>Oral</w:t>
            </w:r>
          </w:p>
        </w:tc>
      </w:tr>
      <w:tr>
        <w:tc>
          <w:tcPr>
            <w:tcW w:type="dxa" w:w="3600"/>
          </w:tcPr>
          <w:p>
            <w:pPr/>
            <w:r>
              <w:rPr>
                <w:sz w:val="20"/>
              </w:rPr>
              <w:t>Dosage Form</w:t>
            </w:r>
          </w:p>
        </w:tc>
        <w:tc>
          <w:tcPr>
            <w:tcW w:type="dxa" w:w="5760"/>
          </w:tcPr>
          <w:p>
            <w:pPr/>
            <w:r>
              <w:rPr>
                <w:sz w:val="20"/>
              </w:rPr>
              <w:t>Extended-release film-coated tablets</w:t>
            </w:r>
          </w:p>
        </w:tc>
      </w:tr>
      <w:tr>
        <w:tc>
          <w:tcPr>
            <w:tcW w:type="dxa" w:w="3600"/>
          </w:tcPr>
          <w:p>
            <w:pPr/>
            <w:r>
              <w:rPr>
                <w:sz w:val="20"/>
              </w:rPr>
              <w:t>Available Strengths</w:t>
            </w:r>
          </w:p>
        </w:tc>
        <w:tc>
          <w:tcPr>
            <w:tcW w:type="dxa" w:w="5760"/>
          </w:tcPr>
          <w:p>
            <w:pPr/>
            <w:r>
              <w:rPr>
                <w:sz w:val="20"/>
              </w:rPr>
              <w:t>50 mg, 100 mg, 200 mg</w:t>
            </w:r>
          </w:p>
        </w:tc>
      </w:tr>
      <w:tr>
        <w:tc>
          <w:tcPr>
            <w:tcW w:type="dxa" w:w="3600"/>
          </w:tcPr>
          <w:p>
            <w:pPr/>
            <w:r>
              <w:rPr>
                <w:sz w:val="20"/>
              </w:rPr>
              <w:t>Manufacturer</w:t>
            </w:r>
          </w:p>
        </w:tc>
        <w:tc>
          <w:tcPr>
            <w:tcW w:type="dxa" w:w="5760"/>
          </w:tcPr>
          <w:p>
            <w:pPr/>
            <w:r>
              <w:rPr>
                <w:sz w:val="20"/>
              </w:rPr>
              <w:t>Pharmacore Therapeutics, Inc.</w:t>
            </w:r>
          </w:p>
        </w:tc>
      </w:tr>
      <w:tr>
        <w:tc>
          <w:tcPr>
            <w:tcW w:type="dxa" w:w="3600"/>
          </w:tcPr>
          <w:p>
            <w:pPr/>
            <w:r>
              <w:rPr>
                <w:sz w:val="20"/>
              </w:rPr>
              <w:t>NDA Number</w:t>
            </w:r>
          </w:p>
        </w:tc>
        <w:tc>
          <w:tcPr>
            <w:tcW w:type="dxa" w:w="5760"/>
          </w:tcPr>
          <w:p>
            <w:pPr/>
            <w:r>
              <w:rPr>
                <w:sz w:val="20"/>
              </w:rPr>
              <w:t>215-847</w:t>
            </w:r>
          </w:p>
        </w:tc>
      </w:tr>
      <w:tr>
        <w:tc>
          <w:tcPr>
            <w:tcW w:type="dxa" w:w="3600"/>
          </w:tcPr>
          <w:p>
            <w:pPr/>
            <w:r>
              <w:rPr>
                <w:sz w:val="20"/>
              </w:rPr>
              <w:t>Initial Approval Date</w:t>
            </w:r>
          </w:p>
        </w:tc>
        <w:tc>
          <w:tcPr>
            <w:tcW w:type="dxa" w:w="5760"/>
          </w:tcPr>
          <w:p>
            <w:pPr/>
            <w:r>
              <w:rPr>
                <w:sz w:val="20"/>
              </w:rPr>
              <w:t>October 14, 2025 (FDA)</w:t>
            </w:r>
          </w:p>
        </w:tc>
      </w:tr>
      <w:tr>
        <w:tc>
          <w:tcPr>
            <w:tcW w:type="dxa" w:w="3600"/>
          </w:tcPr>
          <w:p>
            <w:pPr/>
            <w:r>
              <w:rPr>
                <w:sz w:val="20"/>
              </w:rPr>
              <w:t>DEA Schedule</w:t>
            </w:r>
          </w:p>
        </w:tc>
        <w:tc>
          <w:tcPr>
            <w:tcW w:type="dxa" w:w="5760"/>
          </w:tcPr>
          <w:p>
            <w:pPr/>
            <w:r>
              <w:rPr>
                <w:sz w:val="20"/>
              </w:rPr>
              <w:t>Not a controlled substance</w:t>
            </w:r>
          </w:p>
        </w:tc>
      </w:tr>
    </w:tbl>
    <w:p/>
    <w:p>
      <w:pPr>
        <w:pStyle w:val="Heading2"/>
      </w:pPr>
      <w:r>
        <w:t>2.1 Structural Formula</w:t>
      </w:r>
    </w:p>
    <w:p>
      <w:r>
        <w:t>Metopravil succinate is a white to off-white crystalline powder that is freely soluble in water, soluble in methanol and ethanol, and slightly soluble in dichloromethane. The compound exists as a racemic mixture. The pKa of the free base is 9.7. The partition coefficient (log P) is 1.88, indicating moderate lipophilicity suitable for oral absorption and CNS penetration. The succinate salt form was selected for its superior stability and consistent dissolution characteristics.</w:t>
      </w:r>
    </w:p>
    <w:p>
      <w:r>
        <w:br w:type="page"/>
      </w:r>
    </w:p>
    <w:p>
      <w:pPr>
        <w:pStyle w:val="Heading1"/>
      </w:pPr>
      <w:r>
        <w:t>3. Qualitative and Quantitative Composition</w:t>
      </w:r>
    </w:p>
    <w:p>
      <w:pPr>
        <w:pStyle w:val="Heading2"/>
      </w:pPr>
      <w:r>
        <w:t>3.1 Active Ingredient</w:t>
      </w:r>
    </w:p>
    <w:p>
      <w:r>
        <w:t>Each extended-release tablet contains metopravil succinate equivalent to 50 mg, 100 mg, or 200 mg of metopravil free base.</w:t>
      </w:r>
    </w:p>
    <w:p>
      <w:pPr>
        <w:pStyle w:val="Heading2"/>
      </w:pPr>
      <w:r>
        <w:t>3.2 Excipients — 100 mg Tablet (Representative)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168"/>
            <w:shd w:fill="003366"/>
          </w:tcPr>
          <w:p>
            <w:pPr>
              <w:jc w:val="center"/>
            </w:pPr>
            <w:r>
              <w:rPr>
                <w:b/>
                <w:color w:val="FFFFFF"/>
                <w:sz w:val="20"/>
              </w:rPr>
              <w:t>Excipient</w:t>
            </w:r>
          </w:p>
        </w:tc>
        <w:tc>
          <w:tcPr>
            <w:tcW w:type="dxa" w:w="2592"/>
            <w:shd w:fill="003366"/>
          </w:tcPr>
          <w:p>
            <w:pPr>
              <w:jc w:val="center"/>
            </w:pPr>
            <w:r>
              <w:rPr>
                <w:b/>
                <w:color w:val="FFFFFF"/>
                <w:sz w:val="20"/>
              </w:rPr>
              <w:t>Function</w:t>
            </w:r>
          </w:p>
        </w:tc>
        <w:tc>
          <w:tcPr>
            <w:tcW w:type="dxa" w:w="2016"/>
            <w:shd w:fill="003366"/>
          </w:tcPr>
          <w:p>
            <w:pPr>
              <w:jc w:val="center"/>
            </w:pPr>
            <w:r>
              <w:rPr>
                <w:b/>
                <w:color w:val="FFFFFF"/>
                <w:sz w:val="20"/>
              </w:rPr>
              <w:t>Quantity (mg/tablet)</w:t>
            </w:r>
          </w:p>
        </w:tc>
        <w:tc>
          <w:tcPr>
            <w:tcW w:type="dxa" w:w="1152"/>
            <w:shd w:fill="003366"/>
          </w:tcPr>
          <w:p>
            <w:pPr>
              <w:jc w:val="center"/>
            </w:pPr>
            <w:r>
              <w:rPr>
                <w:b/>
                <w:color w:val="FFFFFF"/>
                <w:sz w:val="20"/>
              </w:rPr>
              <w:t>% w/w</w:t>
            </w:r>
          </w:p>
        </w:tc>
      </w:tr>
      <w:tr>
        <w:tc>
          <w:tcPr>
            <w:tcW w:type="dxa" w:w="3168"/>
          </w:tcPr>
          <w:p>
            <w:pPr/>
            <w:r>
              <w:rPr>
                <w:sz w:val="20"/>
              </w:rPr>
              <w:t>Metopravil Succinate</w:t>
            </w:r>
          </w:p>
        </w:tc>
        <w:tc>
          <w:tcPr>
            <w:tcW w:type="dxa" w:w="2592"/>
          </w:tcPr>
          <w:p>
            <w:pPr/>
            <w:r>
              <w:rPr>
                <w:sz w:val="20"/>
              </w:rPr>
              <w:t>Active Ingredient</w:t>
            </w:r>
          </w:p>
        </w:tc>
        <w:tc>
          <w:tcPr>
            <w:tcW w:type="dxa" w:w="2016"/>
          </w:tcPr>
          <w:p>
            <w:pPr/>
            <w:r>
              <w:rPr>
                <w:sz w:val="20"/>
              </w:rPr>
              <w:t>116.5*</w:t>
            </w:r>
          </w:p>
        </w:tc>
        <w:tc>
          <w:tcPr>
            <w:tcW w:type="dxa" w:w="1152"/>
          </w:tcPr>
          <w:p>
            <w:pPr/>
            <w:r>
              <w:rPr>
                <w:sz w:val="20"/>
              </w:rPr>
              <w:t>38.83</w:t>
            </w:r>
          </w:p>
        </w:tc>
      </w:tr>
      <w:tr>
        <w:tc>
          <w:tcPr>
            <w:tcW w:type="dxa" w:w="3168"/>
          </w:tcPr>
          <w:p>
            <w:pPr/>
            <w:r>
              <w:rPr>
                <w:sz w:val="20"/>
              </w:rPr>
              <w:t>Microcrystalline Cellulose (PH-102)</w:t>
            </w:r>
          </w:p>
        </w:tc>
        <w:tc>
          <w:tcPr>
            <w:tcW w:type="dxa" w:w="2592"/>
          </w:tcPr>
          <w:p>
            <w:pPr/>
            <w:r>
              <w:rPr>
                <w:sz w:val="20"/>
              </w:rPr>
              <w:t>Diluent/Binder</w:t>
            </w:r>
          </w:p>
        </w:tc>
        <w:tc>
          <w:tcPr>
            <w:tcW w:type="dxa" w:w="2016"/>
          </w:tcPr>
          <w:p>
            <w:pPr/>
            <w:r>
              <w:rPr>
                <w:sz w:val="20"/>
              </w:rPr>
              <w:t>85.0</w:t>
            </w:r>
          </w:p>
        </w:tc>
        <w:tc>
          <w:tcPr>
            <w:tcW w:type="dxa" w:w="1152"/>
          </w:tcPr>
          <w:p>
            <w:pPr/>
            <w:r>
              <w:rPr>
                <w:sz w:val="20"/>
              </w:rPr>
              <w:t>28.33</w:t>
            </w:r>
          </w:p>
        </w:tc>
      </w:tr>
      <w:tr>
        <w:tc>
          <w:tcPr>
            <w:tcW w:type="dxa" w:w="3168"/>
          </w:tcPr>
          <w:p>
            <w:pPr/>
            <w:r>
              <w:rPr>
                <w:sz w:val="20"/>
              </w:rPr>
              <w:t>Hypromellose 2208 (K100M)</w:t>
            </w:r>
          </w:p>
        </w:tc>
        <w:tc>
          <w:tcPr>
            <w:tcW w:type="dxa" w:w="2592"/>
          </w:tcPr>
          <w:p>
            <w:pPr/>
            <w:r>
              <w:rPr>
                <w:sz w:val="20"/>
              </w:rPr>
              <w:t>Extended-release matrix</w:t>
            </w:r>
          </w:p>
        </w:tc>
        <w:tc>
          <w:tcPr>
            <w:tcW w:type="dxa" w:w="2016"/>
          </w:tcPr>
          <w:p>
            <w:pPr/>
            <w:r>
              <w:rPr>
                <w:sz w:val="20"/>
              </w:rPr>
              <w:t>45.0</w:t>
            </w:r>
          </w:p>
        </w:tc>
        <w:tc>
          <w:tcPr>
            <w:tcW w:type="dxa" w:w="1152"/>
          </w:tcPr>
          <w:p>
            <w:pPr/>
            <w:r>
              <w:rPr>
                <w:sz w:val="20"/>
              </w:rPr>
              <w:t>15.00</w:t>
            </w:r>
          </w:p>
        </w:tc>
      </w:tr>
      <w:tr>
        <w:tc>
          <w:tcPr>
            <w:tcW w:type="dxa" w:w="3168"/>
          </w:tcPr>
          <w:p>
            <w:pPr/>
            <w:r>
              <w:rPr>
                <w:sz w:val="20"/>
              </w:rPr>
              <w:t>Ethylcellulose (N-20)</w:t>
            </w:r>
          </w:p>
        </w:tc>
        <w:tc>
          <w:tcPr>
            <w:tcW w:type="dxa" w:w="2592"/>
          </w:tcPr>
          <w:p>
            <w:pPr/>
            <w:r>
              <w:rPr>
                <w:sz w:val="20"/>
              </w:rPr>
              <w:t>Rate-controlling polymer</w:t>
            </w:r>
          </w:p>
        </w:tc>
        <w:tc>
          <w:tcPr>
            <w:tcW w:type="dxa" w:w="2016"/>
          </w:tcPr>
          <w:p>
            <w:pPr/>
            <w:r>
              <w:rPr>
                <w:sz w:val="20"/>
              </w:rPr>
              <w:t>18.0</w:t>
            </w:r>
          </w:p>
        </w:tc>
        <w:tc>
          <w:tcPr>
            <w:tcW w:type="dxa" w:w="1152"/>
          </w:tcPr>
          <w:p>
            <w:pPr/>
            <w:r>
              <w:rPr>
                <w:sz w:val="20"/>
              </w:rPr>
              <w:t>6.00</w:t>
            </w:r>
          </w:p>
        </w:tc>
      </w:tr>
      <w:tr>
        <w:tc>
          <w:tcPr>
            <w:tcW w:type="dxa" w:w="3168"/>
          </w:tcPr>
          <w:p>
            <w:pPr/>
            <w:r>
              <w:rPr>
                <w:sz w:val="20"/>
              </w:rPr>
              <w:t>Colloidal Silicon Dioxide</w:t>
            </w:r>
          </w:p>
        </w:tc>
        <w:tc>
          <w:tcPr>
            <w:tcW w:type="dxa" w:w="2592"/>
          </w:tcPr>
          <w:p>
            <w:pPr/>
            <w:r>
              <w:rPr>
                <w:sz w:val="20"/>
              </w:rPr>
              <w:t>Glidant</w:t>
            </w:r>
          </w:p>
        </w:tc>
        <w:tc>
          <w:tcPr>
            <w:tcW w:type="dxa" w:w="2016"/>
          </w:tcPr>
          <w:p>
            <w:pPr/>
            <w:r>
              <w:rPr>
                <w:sz w:val="20"/>
              </w:rPr>
              <w:t>3.0</w:t>
            </w:r>
          </w:p>
        </w:tc>
        <w:tc>
          <w:tcPr>
            <w:tcW w:type="dxa" w:w="1152"/>
          </w:tcPr>
          <w:p>
            <w:pPr/>
            <w:r>
              <w:rPr>
                <w:sz w:val="20"/>
              </w:rPr>
              <w:t>1.00</w:t>
            </w:r>
          </w:p>
        </w:tc>
      </w:tr>
      <w:tr>
        <w:tc>
          <w:tcPr>
            <w:tcW w:type="dxa" w:w="3168"/>
          </w:tcPr>
          <w:p>
            <w:pPr/>
            <w:r>
              <w:rPr>
                <w:sz w:val="20"/>
              </w:rPr>
              <w:t>Magnesium Stearate</w:t>
            </w:r>
          </w:p>
        </w:tc>
        <w:tc>
          <w:tcPr>
            <w:tcW w:type="dxa" w:w="2592"/>
          </w:tcPr>
          <w:p>
            <w:pPr/>
            <w:r>
              <w:rPr>
                <w:sz w:val="20"/>
              </w:rPr>
              <w:t>Lubricant</w:t>
            </w:r>
          </w:p>
        </w:tc>
        <w:tc>
          <w:tcPr>
            <w:tcW w:type="dxa" w:w="2016"/>
          </w:tcPr>
          <w:p>
            <w:pPr/>
            <w:r>
              <w:rPr>
                <w:sz w:val="20"/>
              </w:rPr>
              <w:t>4.5</w:t>
            </w:r>
          </w:p>
        </w:tc>
        <w:tc>
          <w:tcPr>
            <w:tcW w:type="dxa" w:w="1152"/>
          </w:tcPr>
          <w:p>
            <w:pPr/>
            <w:r>
              <w:rPr>
                <w:sz w:val="20"/>
              </w:rPr>
              <w:t>1.50</w:t>
            </w:r>
          </w:p>
        </w:tc>
      </w:tr>
      <w:tr>
        <w:tc>
          <w:tcPr>
            <w:tcW w:type="dxa" w:w="3168"/>
          </w:tcPr>
          <w:p>
            <w:pPr/>
            <w:r>
              <w:rPr>
                <w:sz w:val="20"/>
              </w:rPr>
              <w:t>Lactose Monohydrate</w:t>
            </w:r>
          </w:p>
        </w:tc>
        <w:tc>
          <w:tcPr>
            <w:tcW w:type="dxa" w:w="2592"/>
          </w:tcPr>
          <w:p>
            <w:pPr/>
            <w:r>
              <w:rPr>
                <w:sz w:val="20"/>
              </w:rPr>
              <w:t>Diluent</w:t>
            </w:r>
          </w:p>
        </w:tc>
        <w:tc>
          <w:tcPr>
            <w:tcW w:type="dxa" w:w="2016"/>
          </w:tcPr>
          <w:p>
            <w:pPr/>
            <w:r>
              <w:rPr>
                <w:sz w:val="20"/>
              </w:rPr>
              <w:t>22.0</w:t>
            </w:r>
          </w:p>
        </w:tc>
        <w:tc>
          <w:tcPr>
            <w:tcW w:type="dxa" w:w="1152"/>
          </w:tcPr>
          <w:p>
            <w:pPr/>
            <w:r>
              <w:rPr>
                <w:sz w:val="20"/>
              </w:rPr>
              <w:t>7.33</w:t>
            </w:r>
          </w:p>
        </w:tc>
      </w:tr>
      <w:tr>
        <w:tc>
          <w:tcPr>
            <w:tcW w:type="dxa" w:w="3168"/>
          </w:tcPr>
          <w:p>
            <w:pPr/>
            <w:r>
              <w:rPr>
                <w:sz w:val="20"/>
              </w:rPr>
              <w:t>Opadry® II White (Y-30-18037)</w:t>
            </w:r>
          </w:p>
        </w:tc>
        <w:tc>
          <w:tcPr>
            <w:tcW w:type="dxa" w:w="2592"/>
          </w:tcPr>
          <w:p>
            <w:pPr/>
            <w:r>
              <w:rPr>
                <w:sz w:val="20"/>
              </w:rPr>
              <w:t>Film coat</w:t>
            </w:r>
          </w:p>
        </w:tc>
        <w:tc>
          <w:tcPr>
            <w:tcW w:type="dxa" w:w="2016"/>
          </w:tcPr>
          <w:p>
            <w:pPr/>
            <w:r>
              <w:rPr>
                <w:sz w:val="20"/>
              </w:rPr>
              <w:t>6.0</w:t>
            </w:r>
          </w:p>
        </w:tc>
        <w:tc>
          <w:tcPr>
            <w:tcW w:type="dxa" w:w="1152"/>
          </w:tcPr>
          <w:p>
            <w:pPr/>
            <w:r>
              <w:rPr>
                <w:sz w:val="20"/>
              </w:rPr>
              <w:t>2.00</w:t>
            </w:r>
          </w:p>
        </w:tc>
      </w:tr>
      <w:tr>
        <w:tc>
          <w:tcPr>
            <w:tcW w:type="dxa" w:w="3168"/>
          </w:tcPr>
          <w:p>
            <w:pPr/>
            <w:r>
              <w:rPr>
                <w:sz w:val="20"/>
              </w:rPr>
              <w:t>Total Tablet Weight</w:t>
            </w:r>
          </w:p>
        </w:tc>
        <w:tc>
          <w:tcPr>
            <w:tcW w:type="dxa" w:w="2592"/>
          </w:tcPr>
          <w:p>
            <w:pPr/>
            <w:r>
              <w:rPr>
                <w:sz w:val="20"/>
              </w:rPr>
              <w:t>—</w:t>
            </w:r>
          </w:p>
        </w:tc>
        <w:tc>
          <w:tcPr>
            <w:tcW w:type="dxa" w:w="2016"/>
          </w:tcPr>
          <w:p>
            <w:pPr/>
            <w:r>
              <w:rPr>
                <w:sz w:val="20"/>
              </w:rPr>
              <w:t>300.0</w:t>
            </w:r>
          </w:p>
        </w:tc>
        <w:tc>
          <w:tcPr>
            <w:tcW w:type="dxa" w:w="1152"/>
          </w:tcPr>
          <w:p>
            <w:pPr/>
            <w:r>
              <w:rPr>
                <w:sz w:val="20"/>
              </w:rPr>
              <w:t>100.00</w:t>
            </w:r>
          </w:p>
        </w:tc>
      </w:tr>
    </w:tbl>
    <w:p/>
    <w:p>
      <w:pPr/>
      <w:r>
        <w:t>*Equivalent to 100 mg metopravil free base.</w:t>
      </w:r>
    </w:p>
    <w:p>
      <w:pPr>
        <w:pStyle w:val="Heading2"/>
      </w:pPr>
      <w:r>
        <w:t>3.3 Tablet Description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440"/>
            <w:shd w:fill="003366"/>
          </w:tcPr>
          <w:p>
            <w:pPr>
              <w:jc w:val="center"/>
            </w:pPr>
            <w:r>
              <w:rPr>
                <w:b/>
                <w:color w:val="FFFFFF"/>
                <w:sz w:val="20"/>
              </w:rPr>
              <w:t>Strength</w:t>
            </w:r>
          </w:p>
        </w:tc>
        <w:tc>
          <w:tcPr>
            <w:tcW w:type="dxa" w:w="1872"/>
            <w:shd w:fill="003366"/>
          </w:tcPr>
          <w:p>
            <w:pPr>
              <w:jc w:val="center"/>
            </w:pPr>
            <w:r>
              <w:rPr>
                <w:b/>
                <w:color w:val="FFFFFF"/>
                <w:sz w:val="20"/>
              </w:rPr>
              <w:t>Shape</w:t>
            </w:r>
          </w:p>
        </w:tc>
        <w:tc>
          <w:tcPr>
            <w:tcW w:type="dxa" w:w="1728"/>
            <w:shd w:fill="003366"/>
          </w:tcPr>
          <w:p>
            <w:pPr>
              <w:jc w:val="center"/>
            </w:pPr>
            <w:r>
              <w:rPr>
                <w:b/>
                <w:color w:val="FFFFFF"/>
                <w:sz w:val="20"/>
              </w:rPr>
              <w:t>Color</w:t>
            </w:r>
          </w:p>
        </w:tc>
        <w:tc>
          <w:tcPr>
            <w:tcW w:type="dxa" w:w="2160"/>
            <w:shd w:fill="003366"/>
          </w:tcPr>
          <w:p>
            <w:pPr>
              <w:jc w:val="center"/>
            </w:pPr>
            <w:r>
              <w:rPr>
                <w:b/>
                <w:color w:val="FFFFFF"/>
                <w:sz w:val="20"/>
              </w:rPr>
              <w:t>Markings</w:t>
            </w:r>
          </w:p>
        </w:tc>
        <w:tc>
          <w:tcPr>
            <w:tcW w:type="dxa" w:w="2160"/>
            <w:shd w:fill="003366"/>
          </w:tcPr>
          <w:p>
            <w:pPr>
              <w:jc w:val="center"/>
            </w:pPr>
            <w:r>
              <w:rPr>
                <w:b/>
                <w:color w:val="FFFFFF"/>
                <w:sz w:val="20"/>
              </w:rPr>
              <w:t>Dimensions (mm)</w:t>
            </w:r>
          </w:p>
        </w:tc>
      </w:tr>
      <w:tr>
        <w:tc>
          <w:tcPr>
            <w:tcW w:type="dxa" w:w="1440"/>
          </w:tcPr>
          <w:p>
            <w:pPr/>
            <w:r>
              <w:rPr>
                <w:sz w:val="20"/>
              </w:rPr>
              <w:t>50 mg</w:t>
            </w:r>
          </w:p>
        </w:tc>
        <w:tc>
          <w:tcPr>
            <w:tcW w:type="dxa" w:w="1872"/>
          </w:tcPr>
          <w:p>
            <w:pPr/>
            <w:r>
              <w:rPr>
                <w:sz w:val="20"/>
              </w:rPr>
              <w:t>Round, biconvex</w:t>
            </w:r>
          </w:p>
        </w:tc>
        <w:tc>
          <w:tcPr>
            <w:tcW w:type="dxa" w:w="1728"/>
          </w:tcPr>
          <w:p>
            <w:pPr/>
            <w:r>
              <w:rPr>
                <w:sz w:val="20"/>
              </w:rPr>
              <w:t>White</w:t>
            </w:r>
          </w:p>
        </w:tc>
        <w:tc>
          <w:tcPr>
            <w:tcW w:type="dxa" w:w="2160"/>
          </w:tcPr>
          <w:p>
            <w:pPr/>
            <w:r>
              <w:rPr>
                <w:sz w:val="20"/>
              </w:rPr>
              <w:t>'CV 50' on one side</w:t>
            </w:r>
          </w:p>
        </w:tc>
        <w:tc>
          <w:tcPr>
            <w:tcW w:type="dxa" w:w="2160"/>
          </w:tcPr>
          <w:p>
            <w:pPr/>
            <w:r>
              <w:rPr>
                <w:sz w:val="20"/>
              </w:rPr>
              <w:t>8.0 ± 0.2 diameter</w:t>
            </w:r>
          </w:p>
        </w:tc>
      </w:tr>
      <w:tr>
        <w:tc>
          <w:tcPr>
            <w:tcW w:type="dxa" w:w="1440"/>
          </w:tcPr>
          <w:p>
            <w:pPr/>
            <w:r>
              <w:rPr>
                <w:sz w:val="20"/>
              </w:rPr>
              <w:t>100 mg</w:t>
            </w:r>
          </w:p>
        </w:tc>
        <w:tc>
          <w:tcPr>
            <w:tcW w:type="dxa" w:w="1872"/>
          </w:tcPr>
          <w:p>
            <w:pPr/>
            <w:r>
              <w:rPr>
                <w:sz w:val="20"/>
              </w:rPr>
              <w:t>Oval, biconvex</w:t>
            </w:r>
          </w:p>
        </w:tc>
        <w:tc>
          <w:tcPr>
            <w:tcW w:type="dxa" w:w="1728"/>
          </w:tcPr>
          <w:p>
            <w:pPr/>
            <w:r>
              <w:rPr>
                <w:sz w:val="20"/>
              </w:rPr>
              <w:t>Light yellow</w:t>
            </w:r>
          </w:p>
        </w:tc>
        <w:tc>
          <w:tcPr>
            <w:tcW w:type="dxa" w:w="2160"/>
          </w:tcPr>
          <w:p>
            <w:pPr/>
            <w:r>
              <w:rPr>
                <w:sz w:val="20"/>
              </w:rPr>
              <w:t>'CV 100' on one side</w:t>
            </w:r>
          </w:p>
        </w:tc>
        <w:tc>
          <w:tcPr>
            <w:tcW w:type="dxa" w:w="2160"/>
          </w:tcPr>
          <w:p>
            <w:pPr/>
            <w:r>
              <w:rPr>
                <w:sz w:val="20"/>
              </w:rPr>
              <w:t>12.0 × 6.5 ± 0.2</w:t>
            </w:r>
          </w:p>
        </w:tc>
      </w:tr>
      <w:tr>
        <w:tc>
          <w:tcPr>
            <w:tcW w:type="dxa" w:w="1440"/>
          </w:tcPr>
          <w:p>
            <w:pPr/>
            <w:r>
              <w:rPr>
                <w:sz w:val="20"/>
              </w:rPr>
              <w:t>200 mg</w:t>
            </w:r>
          </w:p>
        </w:tc>
        <w:tc>
          <w:tcPr>
            <w:tcW w:type="dxa" w:w="1872"/>
          </w:tcPr>
          <w:p>
            <w:pPr/>
            <w:r>
              <w:rPr>
                <w:sz w:val="20"/>
              </w:rPr>
              <w:t>Capsule-shaped</w:t>
            </w:r>
          </w:p>
        </w:tc>
        <w:tc>
          <w:tcPr>
            <w:tcW w:type="dxa" w:w="1728"/>
          </w:tcPr>
          <w:p>
            <w:pPr/>
            <w:r>
              <w:rPr>
                <w:sz w:val="20"/>
              </w:rPr>
              <w:t>Light blue</w:t>
            </w:r>
          </w:p>
        </w:tc>
        <w:tc>
          <w:tcPr>
            <w:tcW w:type="dxa" w:w="2160"/>
          </w:tcPr>
          <w:p>
            <w:pPr/>
            <w:r>
              <w:rPr>
                <w:sz w:val="20"/>
              </w:rPr>
              <w:t>'CV 200' debossed</w:t>
            </w:r>
          </w:p>
        </w:tc>
        <w:tc>
          <w:tcPr>
            <w:tcW w:type="dxa" w:w="2160"/>
          </w:tcPr>
          <w:p>
            <w:pPr/>
            <w:r>
              <w:rPr>
                <w:sz w:val="20"/>
              </w:rPr>
              <w:t>16.0 × 7.0 ± 0.2</w:t>
            </w:r>
          </w:p>
        </w:tc>
      </w:tr>
    </w:tbl>
    <w:p/>
    <w:p>
      <w:r>
        <w:br w:type="page"/>
      </w:r>
    </w:p>
    <w:p>
      <w:pPr>
        <w:pStyle w:val="Heading1"/>
      </w:pPr>
      <w:r>
        <w:t>4. Pharmaceutical Form</w:t>
      </w:r>
    </w:p>
    <w:p>
      <w:r>
        <w:t>Extended-release film-coated tablets for oral administration. The tablets utilize a proprietary hydrophilic matrix system (HydraMatrix™ Technology) comprising hypromellose and ethylcellulose polymers. Upon contact with gastrointestinal fluid, the outer hydrophilic layer hydrates to form a gel barrier that controls drug release over 18–22 hours. The biphasic release profile provides an initial loading component (~20% released within 2 hours) followed by sustained zero-order release kinetics.</w:t>
      </w:r>
    </w:p>
    <w:p>
      <w:pPr>
        <w:pStyle w:val="Heading2"/>
      </w:pPr>
      <w:r>
        <w:t>4.1 Dissolution Profile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728"/>
            <w:shd w:fill="003366"/>
          </w:tcPr>
          <w:p>
            <w:pPr>
              <w:jc w:val="center"/>
            </w:pPr>
            <w:r>
              <w:rPr>
                <w:b/>
                <w:color w:val="FFFFFF"/>
                <w:sz w:val="20"/>
              </w:rPr>
              <w:t>Time (hours)</w:t>
            </w:r>
          </w:p>
        </w:tc>
        <w:tc>
          <w:tcPr>
            <w:tcW w:type="dxa" w:w="2304"/>
            <w:shd w:fill="003366"/>
          </w:tcPr>
          <w:p>
            <w:pPr>
              <w:jc w:val="center"/>
            </w:pPr>
            <w:r>
              <w:rPr>
                <w:b/>
                <w:color w:val="FFFFFF"/>
                <w:sz w:val="20"/>
              </w:rPr>
              <w:t>50 mg (% Released)</w:t>
            </w:r>
          </w:p>
        </w:tc>
        <w:tc>
          <w:tcPr>
            <w:tcW w:type="dxa" w:w="2304"/>
            <w:shd w:fill="003366"/>
          </w:tcPr>
          <w:p>
            <w:pPr>
              <w:jc w:val="center"/>
            </w:pPr>
            <w:r>
              <w:rPr>
                <w:b/>
                <w:color w:val="FFFFFF"/>
                <w:sz w:val="20"/>
              </w:rPr>
              <w:t>100 mg (% Released)</w:t>
            </w:r>
          </w:p>
        </w:tc>
        <w:tc>
          <w:tcPr>
            <w:tcW w:type="dxa" w:w="2304"/>
            <w:shd w:fill="003366"/>
          </w:tcPr>
          <w:p>
            <w:pPr>
              <w:jc w:val="center"/>
            </w:pPr>
            <w:r>
              <w:rPr>
                <w:b/>
                <w:color w:val="FFFFFF"/>
                <w:sz w:val="20"/>
              </w:rPr>
              <w:t>200 mg (% Released)</w:t>
            </w:r>
          </w:p>
        </w:tc>
      </w:tr>
      <w:tr>
        <w:tc>
          <w:tcPr>
            <w:tcW w:type="dxa" w:w="1728"/>
          </w:tcPr>
          <w:p>
            <w:pPr/>
            <w:r>
              <w:rPr>
                <w:sz w:val="20"/>
              </w:rPr>
              <w:t>1</w:t>
            </w:r>
          </w:p>
        </w:tc>
        <w:tc>
          <w:tcPr>
            <w:tcW w:type="dxa" w:w="2304"/>
          </w:tcPr>
          <w:p>
            <w:pPr/>
            <w:r>
              <w:rPr>
                <w:sz w:val="20"/>
              </w:rPr>
              <w:t>12 ± 3</w:t>
            </w:r>
          </w:p>
        </w:tc>
        <w:tc>
          <w:tcPr>
            <w:tcW w:type="dxa" w:w="2304"/>
          </w:tcPr>
          <w:p>
            <w:pPr/>
            <w:r>
              <w:rPr>
                <w:sz w:val="20"/>
              </w:rPr>
              <w:t>10 ± 2</w:t>
            </w:r>
          </w:p>
        </w:tc>
        <w:tc>
          <w:tcPr>
            <w:tcW w:type="dxa" w:w="2304"/>
          </w:tcPr>
          <w:p>
            <w:pPr/>
            <w:r>
              <w:rPr>
                <w:sz w:val="20"/>
              </w:rPr>
              <w:t>8 ± 2</w:t>
            </w:r>
          </w:p>
        </w:tc>
      </w:tr>
      <w:tr>
        <w:tc>
          <w:tcPr>
            <w:tcW w:type="dxa" w:w="1728"/>
          </w:tcPr>
          <w:p>
            <w:pPr/>
            <w:r>
              <w:rPr>
                <w:sz w:val="20"/>
              </w:rPr>
              <w:t>2</w:t>
            </w:r>
          </w:p>
        </w:tc>
        <w:tc>
          <w:tcPr>
            <w:tcW w:type="dxa" w:w="2304"/>
          </w:tcPr>
          <w:p>
            <w:pPr/>
            <w:r>
              <w:rPr>
                <w:sz w:val="20"/>
              </w:rPr>
              <w:t>22 ± 4</w:t>
            </w:r>
          </w:p>
        </w:tc>
        <w:tc>
          <w:tcPr>
            <w:tcW w:type="dxa" w:w="2304"/>
          </w:tcPr>
          <w:p>
            <w:pPr/>
            <w:r>
              <w:rPr>
                <w:sz w:val="20"/>
              </w:rPr>
              <w:t>20 ± 3</w:t>
            </w:r>
          </w:p>
        </w:tc>
        <w:tc>
          <w:tcPr>
            <w:tcW w:type="dxa" w:w="2304"/>
          </w:tcPr>
          <w:p>
            <w:pPr/>
            <w:r>
              <w:rPr>
                <w:sz w:val="20"/>
              </w:rPr>
              <w:t>18 ± 3</w:t>
            </w:r>
          </w:p>
        </w:tc>
      </w:tr>
      <w:tr>
        <w:tc>
          <w:tcPr>
            <w:tcW w:type="dxa" w:w="1728"/>
          </w:tcPr>
          <w:p>
            <w:pPr/>
            <w:r>
              <w:rPr>
                <w:sz w:val="20"/>
              </w:rPr>
              <w:t>4</w:t>
            </w:r>
          </w:p>
        </w:tc>
        <w:tc>
          <w:tcPr>
            <w:tcW w:type="dxa" w:w="2304"/>
          </w:tcPr>
          <w:p>
            <w:pPr/>
            <w:r>
              <w:rPr>
                <w:sz w:val="20"/>
              </w:rPr>
              <w:t>38 ± 4</w:t>
            </w:r>
          </w:p>
        </w:tc>
        <w:tc>
          <w:tcPr>
            <w:tcW w:type="dxa" w:w="2304"/>
          </w:tcPr>
          <w:p>
            <w:pPr/>
            <w:r>
              <w:rPr>
                <w:sz w:val="20"/>
              </w:rPr>
              <w:t>36 ± 3</w:t>
            </w:r>
          </w:p>
        </w:tc>
        <w:tc>
          <w:tcPr>
            <w:tcW w:type="dxa" w:w="2304"/>
          </w:tcPr>
          <w:p>
            <w:pPr/>
            <w:r>
              <w:rPr>
                <w:sz w:val="20"/>
              </w:rPr>
              <w:t>34 ± 4</w:t>
            </w:r>
          </w:p>
        </w:tc>
      </w:tr>
      <w:tr>
        <w:tc>
          <w:tcPr>
            <w:tcW w:type="dxa" w:w="1728"/>
          </w:tcPr>
          <w:p>
            <w:pPr/>
            <w:r>
              <w:rPr>
                <w:sz w:val="20"/>
              </w:rPr>
              <w:t>8</w:t>
            </w:r>
          </w:p>
        </w:tc>
        <w:tc>
          <w:tcPr>
            <w:tcW w:type="dxa" w:w="2304"/>
          </w:tcPr>
          <w:p>
            <w:pPr/>
            <w:r>
              <w:rPr>
                <w:sz w:val="20"/>
              </w:rPr>
              <w:t>58 ± 5</w:t>
            </w:r>
          </w:p>
        </w:tc>
        <w:tc>
          <w:tcPr>
            <w:tcW w:type="dxa" w:w="2304"/>
          </w:tcPr>
          <w:p>
            <w:pPr/>
            <w:r>
              <w:rPr>
                <w:sz w:val="20"/>
              </w:rPr>
              <w:t>56 ± 4</w:t>
            </w:r>
          </w:p>
        </w:tc>
        <w:tc>
          <w:tcPr>
            <w:tcW w:type="dxa" w:w="2304"/>
          </w:tcPr>
          <w:p>
            <w:pPr/>
            <w:r>
              <w:rPr>
                <w:sz w:val="20"/>
              </w:rPr>
              <w:t>54 ± 4</w:t>
            </w:r>
          </w:p>
        </w:tc>
      </w:tr>
      <w:tr>
        <w:tc>
          <w:tcPr>
            <w:tcW w:type="dxa" w:w="1728"/>
          </w:tcPr>
          <w:p>
            <w:pPr/>
            <w:r>
              <w:rPr>
                <w:sz w:val="20"/>
              </w:rPr>
              <w:t>12</w:t>
            </w:r>
          </w:p>
        </w:tc>
        <w:tc>
          <w:tcPr>
            <w:tcW w:type="dxa" w:w="2304"/>
          </w:tcPr>
          <w:p>
            <w:pPr/>
            <w:r>
              <w:rPr>
                <w:sz w:val="20"/>
              </w:rPr>
              <w:t>76 ± 4</w:t>
            </w:r>
          </w:p>
        </w:tc>
        <w:tc>
          <w:tcPr>
            <w:tcW w:type="dxa" w:w="2304"/>
          </w:tcPr>
          <w:p>
            <w:pPr/>
            <w:r>
              <w:rPr>
                <w:sz w:val="20"/>
              </w:rPr>
              <w:t>74 ± 4</w:t>
            </w:r>
          </w:p>
        </w:tc>
        <w:tc>
          <w:tcPr>
            <w:tcW w:type="dxa" w:w="2304"/>
          </w:tcPr>
          <w:p>
            <w:pPr/>
            <w:r>
              <w:rPr>
                <w:sz w:val="20"/>
              </w:rPr>
              <w:t>72 ± 5</w:t>
            </w:r>
          </w:p>
        </w:tc>
      </w:tr>
      <w:tr>
        <w:tc>
          <w:tcPr>
            <w:tcW w:type="dxa" w:w="1728"/>
          </w:tcPr>
          <w:p>
            <w:pPr/>
            <w:r>
              <w:rPr>
                <w:sz w:val="20"/>
              </w:rPr>
              <w:t>16</w:t>
            </w:r>
          </w:p>
        </w:tc>
        <w:tc>
          <w:tcPr>
            <w:tcW w:type="dxa" w:w="2304"/>
          </w:tcPr>
          <w:p>
            <w:pPr/>
            <w:r>
              <w:rPr>
                <w:sz w:val="20"/>
              </w:rPr>
              <w:t>88 ± 3</w:t>
            </w:r>
          </w:p>
        </w:tc>
        <w:tc>
          <w:tcPr>
            <w:tcW w:type="dxa" w:w="2304"/>
          </w:tcPr>
          <w:p>
            <w:pPr/>
            <w:r>
              <w:rPr>
                <w:sz w:val="20"/>
              </w:rPr>
              <w:t>86 ± 3</w:t>
            </w:r>
          </w:p>
        </w:tc>
        <w:tc>
          <w:tcPr>
            <w:tcW w:type="dxa" w:w="2304"/>
          </w:tcPr>
          <w:p>
            <w:pPr/>
            <w:r>
              <w:rPr>
                <w:sz w:val="20"/>
              </w:rPr>
              <w:t>85 ± 4</w:t>
            </w:r>
          </w:p>
        </w:tc>
      </w:tr>
      <w:tr>
        <w:tc>
          <w:tcPr>
            <w:tcW w:type="dxa" w:w="1728"/>
          </w:tcPr>
          <w:p>
            <w:pPr/>
            <w:r>
              <w:rPr>
                <w:sz w:val="20"/>
              </w:rPr>
              <w:t>20</w:t>
            </w:r>
          </w:p>
        </w:tc>
        <w:tc>
          <w:tcPr>
            <w:tcW w:type="dxa" w:w="2304"/>
          </w:tcPr>
          <w:p>
            <w:pPr/>
            <w:r>
              <w:rPr>
                <w:sz w:val="20"/>
              </w:rPr>
              <w:t>95 ± 2</w:t>
            </w:r>
          </w:p>
        </w:tc>
        <w:tc>
          <w:tcPr>
            <w:tcW w:type="dxa" w:w="2304"/>
          </w:tcPr>
          <w:p>
            <w:pPr/>
            <w:r>
              <w:rPr>
                <w:sz w:val="20"/>
              </w:rPr>
              <w:t>94 ± 2</w:t>
            </w:r>
          </w:p>
        </w:tc>
        <w:tc>
          <w:tcPr>
            <w:tcW w:type="dxa" w:w="2304"/>
          </w:tcPr>
          <w:p>
            <w:pPr/>
            <w:r>
              <w:rPr>
                <w:sz w:val="20"/>
              </w:rPr>
              <w:t>93 ± 3</w:t>
            </w:r>
          </w:p>
        </w:tc>
      </w:tr>
      <w:tr>
        <w:tc>
          <w:tcPr>
            <w:tcW w:type="dxa" w:w="1728"/>
          </w:tcPr>
          <w:p>
            <w:pPr/>
            <w:r>
              <w:rPr>
                <w:sz w:val="20"/>
              </w:rPr>
              <w:t>24</w:t>
            </w:r>
          </w:p>
        </w:tc>
        <w:tc>
          <w:tcPr>
            <w:tcW w:type="dxa" w:w="2304"/>
          </w:tcPr>
          <w:p>
            <w:pPr/>
            <w:r>
              <w:rPr>
                <w:sz w:val="20"/>
              </w:rPr>
              <w:t>≥98</w:t>
            </w:r>
          </w:p>
        </w:tc>
        <w:tc>
          <w:tcPr>
            <w:tcW w:type="dxa" w:w="2304"/>
          </w:tcPr>
          <w:p>
            <w:pPr/>
            <w:r>
              <w:rPr>
                <w:sz w:val="20"/>
              </w:rPr>
              <w:t>≥97</w:t>
            </w:r>
          </w:p>
        </w:tc>
        <w:tc>
          <w:tcPr>
            <w:tcW w:type="dxa" w:w="2304"/>
          </w:tcPr>
          <w:p>
            <w:pPr/>
            <w:r>
              <w:rPr>
                <w:sz w:val="20"/>
              </w:rPr>
              <w:t>≥96</w:t>
            </w:r>
          </w:p>
        </w:tc>
      </w:tr>
    </w:tbl>
    <w:p/>
    <w:p>
      <w:pPr>
        <w:pStyle w:val="Heading1"/>
      </w:pPr>
      <w:r>
        <w:t>5. Chemical and Pharmaceutical Properties</w:t>
      </w:r>
    </w:p>
    <w:tbl>
      <w:tblPr>
        <w:tblStyle w:val="LightGrid-Accent1"/>
        <w:tblW w:type="auto" w:w="0"/>
        <w:jc w:val="center"/>
        <w:tblLook w:firstColumn="1" w:firstRow="1" w:lastColumn="0" w:lastRow="0" w:noHBand="0" w:noVBand="1" w:val="04A0"/>
      </w:tblPr>
      <w:tblGrid>
        <w:gridCol w:w="4680"/>
        <w:gridCol w:w="4680"/>
      </w:tblGrid>
      <w:tr>
        <w:tc>
          <w:tcPr>
            <w:tcW w:type="dxa" w:w="3600"/>
            <w:shd w:fill="003366"/>
          </w:tcPr>
          <w:p>
            <w:pPr>
              <w:jc w:val="center"/>
            </w:pPr>
            <w:r>
              <w:rPr>
                <w:b/>
                <w:color w:val="FFFFFF"/>
                <w:sz w:val="20"/>
              </w:rPr>
              <w:t>Property</w:t>
            </w:r>
          </w:p>
        </w:tc>
        <w:tc>
          <w:tcPr>
            <w:tcW w:type="dxa" w:w="5760"/>
            <w:shd w:fill="003366"/>
          </w:tcPr>
          <w:p>
            <w:pPr>
              <w:jc w:val="center"/>
            </w:pPr>
            <w:r>
              <w:rPr>
                <w:b/>
                <w:color w:val="FFFFFF"/>
                <w:sz w:val="20"/>
              </w:rPr>
              <w:t>Specification</w:t>
            </w:r>
          </w:p>
        </w:tc>
      </w:tr>
      <w:tr>
        <w:tc>
          <w:tcPr>
            <w:tcW w:type="dxa" w:w="3600"/>
          </w:tcPr>
          <w:p>
            <w:pPr/>
            <w:r>
              <w:rPr>
                <w:sz w:val="20"/>
              </w:rPr>
              <w:t>Appearance</w:t>
            </w:r>
          </w:p>
        </w:tc>
        <w:tc>
          <w:tcPr>
            <w:tcW w:type="dxa" w:w="5760"/>
          </w:tcPr>
          <w:p>
            <w:pPr/>
            <w:r>
              <w:rPr>
                <w:sz w:val="20"/>
              </w:rPr>
              <w:t>White to off-white crystalline powder</w:t>
            </w:r>
          </w:p>
        </w:tc>
      </w:tr>
      <w:tr>
        <w:tc>
          <w:tcPr>
            <w:tcW w:type="dxa" w:w="3600"/>
          </w:tcPr>
          <w:p>
            <w:pPr/>
            <w:r>
              <w:rPr>
                <w:sz w:val="20"/>
              </w:rPr>
              <w:t>Melting Point</w:t>
            </w:r>
          </w:p>
        </w:tc>
        <w:tc>
          <w:tcPr>
            <w:tcW w:type="dxa" w:w="5760"/>
          </w:tcPr>
          <w:p>
            <w:pPr/>
            <w:r>
              <w:rPr>
                <w:sz w:val="20"/>
              </w:rPr>
              <w:t>136–140 °C (succinate salt)</w:t>
            </w:r>
          </w:p>
        </w:tc>
      </w:tr>
      <w:tr>
        <w:tc>
          <w:tcPr>
            <w:tcW w:type="dxa" w:w="3600"/>
          </w:tcPr>
          <w:p>
            <w:pPr/>
            <w:r>
              <w:rPr>
                <w:sz w:val="20"/>
              </w:rPr>
              <w:t>pKa</w:t>
            </w:r>
          </w:p>
        </w:tc>
        <w:tc>
          <w:tcPr>
            <w:tcW w:type="dxa" w:w="5760"/>
          </w:tcPr>
          <w:p>
            <w:pPr/>
            <w:r>
              <w:rPr>
                <w:sz w:val="20"/>
              </w:rPr>
              <w:t>9.7 (free base)</w:t>
            </w:r>
          </w:p>
        </w:tc>
      </w:tr>
      <w:tr>
        <w:tc>
          <w:tcPr>
            <w:tcW w:type="dxa" w:w="3600"/>
          </w:tcPr>
          <w:p>
            <w:pPr/>
            <w:r>
              <w:rPr>
                <w:sz w:val="20"/>
              </w:rPr>
              <w:t>Log P (octanol/water)</w:t>
            </w:r>
          </w:p>
        </w:tc>
        <w:tc>
          <w:tcPr>
            <w:tcW w:type="dxa" w:w="5760"/>
          </w:tcPr>
          <w:p>
            <w:pPr/>
            <w:r>
              <w:rPr>
                <w:sz w:val="20"/>
              </w:rPr>
              <w:t>1.88</w:t>
            </w:r>
          </w:p>
        </w:tc>
      </w:tr>
      <w:tr>
        <w:tc>
          <w:tcPr>
            <w:tcW w:type="dxa" w:w="3600"/>
          </w:tcPr>
          <w:p>
            <w:pPr/>
            <w:r>
              <w:rPr>
                <w:sz w:val="20"/>
              </w:rPr>
              <w:t>Aqueous Solubility (25°C)</w:t>
            </w:r>
          </w:p>
        </w:tc>
        <w:tc>
          <w:tcPr>
            <w:tcW w:type="dxa" w:w="5760"/>
          </w:tcPr>
          <w:p>
            <w:pPr/>
            <w:r>
              <w:rPr>
                <w:sz w:val="20"/>
              </w:rPr>
              <w:t>12.4 mg/mL (pH 7.0); &gt;50 mg/mL (pH 1.2)</w:t>
            </w:r>
          </w:p>
        </w:tc>
      </w:tr>
      <w:tr>
        <w:tc>
          <w:tcPr>
            <w:tcW w:type="dxa" w:w="3600"/>
          </w:tcPr>
          <w:p>
            <w:pPr/>
            <w:r>
              <w:rPr>
                <w:sz w:val="20"/>
              </w:rPr>
              <w:t>Hygroscopicity</w:t>
            </w:r>
          </w:p>
        </w:tc>
        <w:tc>
          <w:tcPr>
            <w:tcW w:type="dxa" w:w="5760"/>
          </w:tcPr>
          <w:p>
            <w:pPr/>
            <w:r>
              <w:rPr>
                <w:sz w:val="20"/>
              </w:rPr>
              <w:t>Non-hygroscopic (&lt;0.1% w/w at 25°C/60% RH)</w:t>
            </w:r>
          </w:p>
        </w:tc>
      </w:tr>
      <w:tr>
        <w:tc>
          <w:tcPr>
            <w:tcW w:type="dxa" w:w="3600"/>
          </w:tcPr>
          <w:p>
            <w:pPr/>
            <w:r>
              <w:rPr>
                <w:sz w:val="20"/>
              </w:rPr>
              <w:t>Polymorphism</w:t>
            </w:r>
          </w:p>
        </w:tc>
        <w:tc>
          <w:tcPr>
            <w:tcW w:type="dxa" w:w="5760"/>
          </w:tcPr>
          <w:p>
            <w:pPr/>
            <w:r>
              <w:rPr>
                <w:sz w:val="20"/>
              </w:rPr>
              <w:t>Form I (thermodynamically stable); no polymorphic transitions observed up to 120°C</w:t>
            </w:r>
          </w:p>
        </w:tc>
      </w:tr>
      <w:tr>
        <w:tc>
          <w:tcPr>
            <w:tcW w:type="dxa" w:w="3600"/>
          </w:tcPr>
          <w:p>
            <w:pPr/>
            <w:r>
              <w:rPr>
                <w:sz w:val="20"/>
              </w:rPr>
              <w:t>Optical Rotation</w:t>
            </w:r>
          </w:p>
        </w:tc>
        <w:tc>
          <w:tcPr>
            <w:tcW w:type="dxa" w:w="5760"/>
          </w:tcPr>
          <w:p>
            <w:pPr/>
            <w:r>
              <w:rPr>
                <w:sz w:val="20"/>
              </w:rPr>
              <w:t>Racemic mixture (no optical activity)</w:t>
            </w:r>
          </w:p>
        </w:tc>
      </w:tr>
      <w:tr>
        <w:tc>
          <w:tcPr>
            <w:tcW w:type="dxa" w:w="3600"/>
          </w:tcPr>
          <w:p>
            <w:pPr/>
            <w:r>
              <w:rPr>
                <w:sz w:val="20"/>
              </w:rPr>
              <w:t>Specific Gravity</w:t>
            </w:r>
          </w:p>
        </w:tc>
        <w:tc>
          <w:tcPr>
            <w:tcW w:type="dxa" w:w="5760"/>
          </w:tcPr>
          <w:p>
            <w:pPr/>
            <w:r>
              <w:rPr>
                <w:sz w:val="20"/>
              </w:rPr>
              <w:t>1.28 g/cm³</w:t>
            </w:r>
          </w:p>
        </w:tc>
      </w:tr>
      <w:tr>
        <w:tc>
          <w:tcPr>
            <w:tcW w:type="dxa" w:w="3600"/>
          </w:tcPr>
          <w:p>
            <w:pPr/>
            <w:r>
              <w:rPr>
                <w:sz w:val="20"/>
              </w:rPr>
              <w:t>pH (1% solution)</w:t>
            </w:r>
          </w:p>
        </w:tc>
        <w:tc>
          <w:tcPr>
            <w:tcW w:type="dxa" w:w="5760"/>
          </w:tcPr>
          <w:p>
            <w:pPr/>
            <w:r>
              <w:rPr>
                <w:sz w:val="20"/>
              </w:rPr>
              <w:t>6.8–7.2</w:t>
            </w:r>
          </w:p>
        </w:tc>
      </w:tr>
    </w:tbl>
    <w:p/>
    <w:p>
      <w:pPr>
        <w:pStyle w:val="Heading2"/>
      </w:pPr>
      <w:r>
        <w:t>5.1 Stability Data Summary</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880"/>
            <w:shd w:fill="003366"/>
          </w:tcPr>
          <w:p>
            <w:pPr>
              <w:jc w:val="center"/>
            </w:pPr>
            <w:r>
              <w:rPr>
                <w:b/>
                <w:color w:val="FFFFFF"/>
                <w:sz w:val="20"/>
              </w:rPr>
              <w:t>Condition</w:t>
            </w:r>
          </w:p>
        </w:tc>
        <w:tc>
          <w:tcPr>
            <w:tcW w:type="dxa" w:w="1728"/>
            <w:shd w:fill="003366"/>
          </w:tcPr>
          <w:p>
            <w:pPr>
              <w:jc w:val="center"/>
            </w:pPr>
            <w:r>
              <w:rPr>
                <w:b/>
                <w:color w:val="FFFFFF"/>
                <w:sz w:val="20"/>
              </w:rPr>
              <w:t>Duration</w:t>
            </w:r>
          </w:p>
        </w:tc>
        <w:tc>
          <w:tcPr>
            <w:tcW w:type="dxa" w:w="1440"/>
            <w:shd w:fill="003366"/>
          </w:tcPr>
          <w:p>
            <w:pPr>
              <w:jc w:val="center"/>
            </w:pPr>
            <w:r>
              <w:rPr>
                <w:b/>
                <w:color w:val="FFFFFF"/>
                <w:sz w:val="20"/>
              </w:rPr>
              <w:t>Assay (%)</w:t>
            </w:r>
          </w:p>
        </w:tc>
        <w:tc>
          <w:tcPr>
            <w:tcW w:type="dxa" w:w="2160"/>
            <w:shd w:fill="003366"/>
          </w:tcPr>
          <w:p>
            <w:pPr>
              <w:jc w:val="center"/>
            </w:pPr>
            <w:r>
              <w:rPr>
                <w:b/>
                <w:color w:val="FFFFFF"/>
                <w:sz w:val="20"/>
              </w:rPr>
              <w:t>Degradation Products</w:t>
            </w:r>
          </w:p>
        </w:tc>
        <w:tc>
          <w:tcPr>
            <w:tcW w:type="dxa" w:w="1152"/>
            <w:shd w:fill="003366"/>
          </w:tcPr>
          <w:p>
            <w:pPr>
              <w:jc w:val="center"/>
            </w:pPr>
            <w:r>
              <w:rPr>
                <w:b/>
                <w:color w:val="FFFFFF"/>
                <w:sz w:val="20"/>
              </w:rPr>
              <w:t>Result</w:t>
            </w:r>
          </w:p>
        </w:tc>
      </w:tr>
      <w:tr>
        <w:tc>
          <w:tcPr>
            <w:tcW w:type="dxa" w:w="2880"/>
          </w:tcPr>
          <w:p>
            <w:pPr/>
            <w:r>
              <w:rPr>
                <w:sz w:val="20"/>
              </w:rPr>
              <w:t>25°C / 60% RH (Long-term)</w:t>
            </w:r>
          </w:p>
        </w:tc>
        <w:tc>
          <w:tcPr>
            <w:tcW w:type="dxa" w:w="1728"/>
          </w:tcPr>
          <w:p>
            <w:pPr/>
            <w:r>
              <w:rPr>
                <w:sz w:val="20"/>
              </w:rPr>
              <w:t>36 months</w:t>
            </w:r>
          </w:p>
        </w:tc>
        <w:tc>
          <w:tcPr>
            <w:tcW w:type="dxa" w:w="1440"/>
          </w:tcPr>
          <w:p>
            <w:pPr/>
            <w:r>
              <w:rPr>
                <w:sz w:val="20"/>
              </w:rPr>
              <w:t>99.1 ± 0.3</w:t>
            </w:r>
          </w:p>
        </w:tc>
        <w:tc>
          <w:tcPr>
            <w:tcW w:type="dxa" w:w="2160"/>
          </w:tcPr>
          <w:p>
            <w:pPr/>
            <w:r>
              <w:rPr>
                <w:sz w:val="20"/>
              </w:rPr>
              <w:t>≤0.15% total</w:t>
            </w:r>
          </w:p>
        </w:tc>
        <w:tc>
          <w:tcPr>
            <w:tcW w:type="dxa" w:w="1152"/>
          </w:tcPr>
          <w:p>
            <w:pPr/>
            <w:r>
              <w:rPr>
                <w:sz w:val="20"/>
              </w:rPr>
              <w:t>Pass</w:t>
            </w:r>
          </w:p>
        </w:tc>
      </w:tr>
      <w:tr>
        <w:tc>
          <w:tcPr>
            <w:tcW w:type="dxa" w:w="2880"/>
          </w:tcPr>
          <w:p>
            <w:pPr/>
            <w:r>
              <w:rPr>
                <w:sz w:val="20"/>
              </w:rPr>
              <w:t>30°C / 65% RH (Intermediate)</w:t>
            </w:r>
          </w:p>
        </w:tc>
        <w:tc>
          <w:tcPr>
            <w:tcW w:type="dxa" w:w="1728"/>
          </w:tcPr>
          <w:p>
            <w:pPr/>
            <w:r>
              <w:rPr>
                <w:sz w:val="20"/>
              </w:rPr>
              <w:t>12 months</w:t>
            </w:r>
          </w:p>
        </w:tc>
        <w:tc>
          <w:tcPr>
            <w:tcW w:type="dxa" w:w="1440"/>
          </w:tcPr>
          <w:p>
            <w:pPr/>
            <w:r>
              <w:rPr>
                <w:sz w:val="20"/>
              </w:rPr>
              <w:t>98.8 ± 0.4</w:t>
            </w:r>
          </w:p>
        </w:tc>
        <w:tc>
          <w:tcPr>
            <w:tcW w:type="dxa" w:w="2160"/>
          </w:tcPr>
          <w:p>
            <w:pPr/>
            <w:r>
              <w:rPr>
                <w:sz w:val="20"/>
              </w:rPr>
              <w:t>≤0.20% total</w:t>
            </w:r>
          </w:p>
        </w:tc>
        <w:tc>
          <w:tcPr>
            <w:tcW w:type="dxa" w:w="1152"/>
          </w:tcPr>
          <w:p>
            <w:pPr/>
            <w:r>
              <w:rPr>
                <w:sz w:val="20"/>
              </w:rPr>
              <w:t>Pass</w:t>
            </w:r>
          </w:p>
        </w:tc>
      </w:tr>
      <w:tr>
        <w:tc>
          <w:tcPr>
            <w:tcW w:type="dxa" w:w="2880"/>
          </w:tcPr>
          <w:p>
            <w:pPr/>
            <w:r>
              <w:rPr>
                <w:sz w:val="20"/>
              </w:rPr>
              <w:t>40°C / 75% RH (Accelerated)</w:t>
            </w:r>
          </w:p>
        </w:tc>
        <w:tc>
          <w:tcPr>
            <w:tcW w:type="dxa" w:w="1728"/>
          </w:tcPr>
          <w:p>
            <w:pPr/>
            <w:r>
              <w:rPr>
                <w:sz w:val="20"/>
              </w:rPr>
              <w:t>6 months</w:t>
            </w:r>
          </w:p>
        </w:tc>
        <w:tc>
          <w:tcPr>
            <w:tcW w:type="dxa" w:w="1440"/>
          </w:tcPr>
          <w:p>
            <w:pPr/>
            <w:r>
              <w:rPr>
                <w:sz w:val="20"/>
              </w:rPr>
              <w:t>98.2 ± 0.5</w:t>
            </w:r>
          </w:p>
        </w:tc>
        <w:tc>
          <w:tcPr>
            <w:tcW w:type="dxa" w:w="2160"/>
          </w:tcPr>
          <w:p>
            <w:pPr/>
            <w:r>
              <w:rPr>
                <w:sz w:val="20"/>
              </w:rPr>
              <w:t>≤0.35% total</w:t>
            </w:r>
          </w:p>
        </w:tc>
        <w:tc>
          <w:tcPr>
            <w:tcW w:type="dxa" w:w="1152"/>
          </w:tcPr>
          <w:p>
            <w:pPr/>
            <w:r>
              <w:rPr>
                <w:sz w:val="20"/>
              </w:rPr>
              <w:t>Pass</w:t>
            </w:r>
          </w:p>
        </w:tc>
      </w:tr>
      <w:tr>
        <w:tc>
          <w:tcPr>
            <w:tcW w:type="dxa" w:w="2880"/>
          </w:tcPr>
          <w:p>
            <w:pPr/>
            <w:r>
              <w:rPr>
                <w:sz w:val="20"/>
              </w:rPr>
              <w:t>Light exposure (ICH Q1B)</w:t>
            </w:r>
          </w:p>
        </w:tc>
        <w:tc>
          <w:tcPr>
            <w:tcW w:type="dxa" w:w="1728"/>
          </w:tcPr>
          <w:p>
            <w:pPr/>
            <w:r>
              <w:rPr>
                <w:sz w:val="20"/>
              </w:rPr>
              <w:t>1.2M lux·hr</w:t>
            </w:r>
          </w:p>
        </w:tc>
        <w:tc>
          <w:tcPr>
            <w:tcW w:type="dxa" w:w="1440"/>
          </w:tcPr>
          <w:p>
            <w:pPr/>
            <w:r>
              <w:rPr>
                <w:sz w:val="20"/>
              </w:rPr>
              <w:t>98.5 ± 0.4</w:t>
            </w:r>
          </w:p>
        </w:tc>
        <w:tc>
          <w:tcPr>
            <w:tcW w:type="dxa" w:w="2160"/>
          </w:tcPr>
          <w:p>
            <w:pPr/>
            <w:r>
              <w:rPr>
                <w:sz w:val="20"/>
              </w:rPr>
              <w:t>≤0.18% total</w:t>
            </w:r>
          </w:p>
        </w:tc>
        <w:tc>
          <w:tcPr>
            <w:tcW w:type="dxa" w:w="1152"/>
          </w:tcPr>
          <w:p>
            <w:pPr/>
            <w:r>
              <w:rPr>
                <w:sz w:val="20"/>
              </w:rPr>
              <w:t>Pass</w:t>
            </w:r>
          </w:p>
        </w:tc>
      </w:tr>
    </w:tbl>
    <w:p/>
    <w:p>
      <w:r>
        <w:br w:type="page"/>
      </w:r>
    </w:p>
    <w:p>
      <w:pPr>
        <w:pStyle w:val="Heading1"/>
      </w:pPr>
      <w:r>
        <w:t>6. Mechanism of Action</w:t>
      </w:r>
    </w:p>
    <w:p>
      <w:r>
        <w:t>Cardivex® (metopravil succinate) is a highly selective beta-1 (β₁) adrenergic receptor antagonist. It competitively inhibits the binding of catecholamines (epinephrine and norepinephrine) to β₁-adrenergic receptors located predominantly in cardiac tissue. This selective blockade results in:</w:t>
      </w:r>
    </w:p>
    <w:p>
      <w:pPr>
        <w:pStyle w:val="ListBullet"/>
      </w:pPr>
      <w:r>
        <w:t>Reduction in heart rate (negative chronotropy) by 12–18 bpm at steady state</w:t>
      </w:r>
    </w:p>
    <w:p>
      <w:pPr>
        <w:pStyle w:val="ListBullet"/>
      </w:pPr>
      <w:r>
        <w:t>Decrease in myocardial contractility (negative inotropy), reducing myocardial oxygen demand</w:t>
      </w:r>
    </w:p>
    <w:p>
      <w:pPr>
        <w:pStyle w:val="ListBullet"/>
      </w:pPr>
      <w:r>
        <w:t>Suppression of renin release from the juxtaglomerular apparatus, leading to decreased angiotensin II and aldosterone levels</w:t>
      </w:r>
    </w:p>
    <w:p>
      <w:pPr>
        <w:pStyle w:val="ListBullet"/>
      </w:pPr>
      <w:r>
        <w:t>Attenuation of sympathetically mediated cardiac remodeling in chronic heart failure</w:t>
      </w:r>
    </w:p>
    <w:p>
      <w:pPr>
        <w:pStyle w:val="ListBullet"/>
      </w:pPr>
      <w:r>
        <w:t>Restoration of β₁-receptor density through upregulation during chronic therapy</w:t>
      </w:r>
    </w:p>
    <w:p/>
    <w:p>
      <w:pPr>
        <w:pStyle w:val="Heading2"/>
      </w:pPr>
      <w:r>
        <w:t>6.1 Receptor Binding Affinity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160"/>
            <w:shd w:fill="003366"/>
          </w:tcPr>
          <w:p>
            <w:pPr>
              <w:jc w:val="center"/>
            </w:pPr>
            <w:r>
              <w:rPr>
                <w:b/>
                <w:color w:val="FFFFFF"/>
                <w:sz w:val="20"/>
              </w:rPr>
              <w:t>Receptor</w:t>
            </w:r>
          </w:p>
        </w:tc>
        <w:tc>
          <w:tcPr>
            <w:tcW w:type="dxa" w:w="1440"/>
            <w:shd w:fill="003366"/>
          </w:tcPr>
          <w:p>
            <w:pPr>
              <w:jc w:val="center"/>
            </w:pPr>
            <w:r>
              <w:rPr>
                <w:b/>
                <w:color w:val="FFFFFF"/>
                <w:sz w:val="20"/>
              </w:rPr>
              <w:t>Ki (nM)</w:t>
            </w:r>
          </w:p>
        </w:tc>
        <w:tc>
          <w:tcPr>
            <w:tcW w:type="dxa" w:w="2592"/>
            <w:shd w:fill="003366"/>
          </w:tcPr>
          <w:p>
            <w:pPr>
              <w:jc w:val="center"/>
            </w:pPr>
            <w:r>
              <w:rPr>
                <w:b/>
                <w:color w:val="FFFFFF"/>
                <w:sz w:val="20"/>
              </w:rPr>
              <w:t>Selectivity Ratio vs. β₁</w:t>
            </w:r>
          </w:p>
        </w:tc>
        <w:tc>
          <w:tcPr>
            <w:tcW w:type="dxa" w:w="3168"/>
            <w:shd w:fill="003366"/>
          </w:tcPr>
          <w:p>
            <w:pPr>
              <w:jc w:val="center"/>
            </w:pPr>
            <w:r>
              <w:rPr>
                <w:b/>
                <w:color w:val="FFFFFF"/>
                <w:sz w:val="20"/>
              </w:rPr>
              <w:t>Clinical Significance</w:t>
            </w:r>
          </w:p>
        </w:tc>
      </w:tr>
      <w:tr>
        <w:tc>
          <w:tcPr>
            <w:tcW w:type="dxa" w:w="2160"/>
          </w:tcPr>
          <w:p>
            <w:pPr/>
            <w:r>
              <w:rPr>
                <w:sz w:val="20"/>
              </w:rPr>
              <w:t>β₁-Adrenergic</w:t>
            </w:r>
          </w:p>
        </w:tc>
        <w:tc>
          <w:tcPr>
            <w:tcW w:type="dxa" w:w="1440"/>
          </w:tcPr>
          <w:p>
            <w:pPr/>
            <w:r>
              <w:rPr>
                <w:sz w:val="20"/>
              </w:rPr>
              <w:t>2.4 ± 0.3</w:t>
            </w:r>
          </w:p>
        </w:tc>
        <w:tc>
          <w:tcPr>
            <w:tcW w:type="dxa" w:w="2592"/>
          </w:tcPr>
          <w:p>
            <w:pPr/>
            <w:r>
              <w:rPr>
                <w:sz w:val="20"/>
              </w:rPr>
              <w:t>1 (Reference)</w:t>
            </w:r>
          </w:p>
        </w:tc>
        <w:tc>
          <w:tcPr>
            <w:tcW w:type="dxa" w:w="3168"/>
          </w:tcPr>
          <w:p>
            <w:pPr/>
            <w:r>
              <w:rPr>
                <w:sz w:val="20"/>
              </w:rPr>
              <w:t>Primary therapeutic target</w:t>
            </w:r>
          </w:p>
        </w:tc>
      </w:tr>
      <w:tr>
        <w:tc>
          <w:tcPr>
            <w:tcW w:type="dxa" w:w="2160"/>
          </w:tcPr>
          <w:p>
            <w:pPr/>
            <w:r>
              <w:rPr>
                <w:sz w:val="20"/>
              </w:rPr>
              <w:t>β₂-Adrenergic</w:t>
            </w:r>
          </w:p>
        </w:tc>
        <w:tc>
          <w:tcPr>
            <w:tcW w:type="dxa" w:w="1440"/>
          </w:tcPr>
          <w:p>
            <w:pPr/>
            <w:r>
              <w:rPr>
                <w:sz w:val="20"/>
              </w:rPr>
              <w:t>912 ± 87</w:t>
            </w:r>
          </w:p>
        </w:tc>
        <w:tc>
          <w:tcPr>
            <w:tcW w:type="dxa" w:w="2592"/>
          </w:tcPr>
          <w:p>
            <w:pPr/>
            <w:r>
              <w:rPr>
                <w:sz w:val="20"/>
              </w:rPr>
              <w:t>1:380</w:t>
            </w:r>
          </w:p>
        </w:tc>
        <w:tc>
          <w:tcPr>
            <w:tcW w:type="dxa" w:w="3168"/>
          </w:tcPr>
          <w:p>
            <w:pPr/>
            <w:r>
              <w:rPr>
                <w:sz w:val="20"/>
              </w:rPr>
              <w:t>Minimal bronchospasm risk</w:t>
            </w:r>
          </w:p>
        </w:tc>
      </w:tr>
      <w:tr>
        <w:tc>
          <w:tcPr>
            <w:tcW w:type="dxa" w:w="2160"/>
          </w:tcPr>
          <w:p>
            <w:pPr/>
            <w:r>
              <w:rPr>
                <w:sz w:val="20"/>
              </w:rPr>
              <w:t>β₃-Adrenergic</w:t>
            </w:r>
          </w:p>
        </w:tc>
        <w:tc>
          <w:tcPr>
            <w:tcW w:type="dxa" w:w="1440"/>
          </w:tcPr>
          <w:p>
            <w:pPr/>
            <w:r>
              <w:rPr>
                <w:sz w:val="20"/>
              </w:rPr>
              <w:t>&gt;10,000</w:t>
            </w:r>
          </w:p>
        </w:tc>
        <w:tc>
          <w:tcPr>
            <w:tcW w:type="dxa" w:w="2592"/>
          </w:tcPr>
          <w:p>
            <w:pPr/>
            <w:r>
              <w:rPr>
                <w:sz w:val="20"/>
              </w:rPr>
              <w:t>&gt;1:4,000</w:t>
            </w:r>
          </w:p>
        </w:tc>
        <w:tc>
          <w:tcPr>
            <w:tcW w:type="dxa" w:w="3168"/>
          </w:tcPr>
          <w:p>
            <w:pPr/>
            <w:r>
              <w:rPr>
                <w:sz w:val="20"/>
              </w:rPr>
              <w:t>No metabolic effects</w:t>
            </w:r>
          </w:p>
        </w:tc>
      </w:tr>
      <w:tr>
        <w:tc>
          <w:tcPr>
            <w:tcW w:type="dxa" w:w="2160"/>
          </w:tcPr>
          <w:p>
            <w:pPr/>
            <w:r>
              <w:rPr>
                <w:sz w:val="20"/>
              </w:rPr>
              <w:t>α₁-Adrenergic</w:t>
            </w:r>
          </w:p>
        </w:tc>
        <w:tc>
          <w:tcPr>
            <w:tcW w:type="dxa" w:w="1440"/>
          </w:tcPr>
          <w:p>
            <w:pPr/>
            <w:r>
              <w:rPr>
                <w:sz w:val="20"/>
              </w:rPr>
              <w:t>&gt;50,000</w:t>
            </w:r>
          </w:p>
        </w:tc>
        <w:tc>
          <w:tcPr>
            <w:tcW w:type="dxa" w:w="2592"/>
          </w:tcPr>
          <w:p>
            <w:pPr/>
            <w:r>
              <w:rPr>
                <w:sz w:val="20"/>
              </w:rPr>
              <w:t>&gt;1:20,000</w:t>
            </w:r>
          </w:p>
        </w:tc>
        <w:tc>
          <w:tcPr>
            <w:tcW w:type="dxa" w:w="3168"/>
          </w:tcPr>
          <w:p>
            <w:pPr/>
            <w:r>
              <w:rPr>
                <w:sz w:val="20"/>
              </w:rPr>
              <w:t>No orthostatic hypotension</w:t>
            </w:r>
          </w:p>
        </w:tc>
      </w:tr>
      <w:tr>
        <w:tc>
          <w:tcPr>
            <w:tcW w:type="dxa" w:w="2160"/>
          </w:tcPr>
          <w:p>
            <w:pPr/>
            <w:r>
              <w:rPr>
                <w:sz w:val="20"/>
              </w:rPr>
              <w:t>α₂-Adrenergic</w:t>
            </w:r>
          </w:p>
        </w:tc>
        <w:tc>
          <w:tcPr>
            <w:tcW w:type="dxa" w:w="1440"/>
          </w:tcPr>
          <w:p>
            <w:pPr/>
            <w:r>
              <w:rPr>
                <w:sz w:val="20"/>
              </w:rPr>
              <w:t>&gt;50,000</w:t>
            </w:r>
          </w:p>
        </w:tc>
        <w:tc>
          <w:tcPr>
            <w:tcW w:type="dxa" w:w="2592"/>
          </w:tcPr>
          <w:p>
            <w:pPr/>
            <w:r>
              <w:rPr>
                <w:sz w:val="20"/>
              </w:rPr>
              <w:t>&gt;1:20,000</w:t>
            </w:r>
          </w:p>
        </w:tc>
        <w:tc>
          <w:tcPr>
            <w:tcW w:type="dxa" w:w="3168"/>
          </w:tcPr>
          <w:p>
            <w:pPr/>
            <w:r>
              <w:rPr>
                <w:sz w:val="20"/>
              </w:rPr>
              <w:t>No CNS sedation</w:t>
            </w:r>
          </w:p>
        </w:tc>
      </w:tr>
      <w:tr>
        <w:tc>
          <w:tcPr>
            <w:tcW w:type="dxa" w:w="2160"/>
          </w:tcPr>
          <w:p>
            <w:pPr/>
            <w:r>
              <w:rPr>
                <w:sz w:val="20"/>
              </w:rPr>
              <w:t>Muscarinic (M₂)</w:t>
            </w:r>
          </w:p>
        </w:tc>
        <w:tc>
          <w:tcPr>
            <w:tcW w:type="dxa" w:w="1440"/>
          </w:tcPr>
          <w:p>
            <w:pPr/>
            <w:r>
              <w:rPr>
                <w:sz w:val="20"/>
              </w:rPr>
              <w:t>&gt;100,000</w:t>
            </w:r>
          </w:p>
        </w:tc>
        <w:tc>
          <w:tcPr>
            <w:tcW w:type="dxa" w:w="2592"/>
          </w:tcPr>
          <w:p>
            <w:pPr/>
            <w:r>
              <w:rPr>
                <w:sz w:val="20"/>
              </w:rPr>
              <w:t>&gt;1:40,000</w:t>
            </w:r>
          </w:p>
        </w:tc>
        <w:tc>
          <w:tcPr>
            <w:tcW w:type="dxa" w:w="3168"/>
          </w:tcPr>
          <w:p>
            <w:pPr/>
            <w:r>
              <w:rPr>
                <w:sz w:val="20"/>
              </w:rPr>
              <w:t>No anticholinergic effects</w:t>
            </w:r>
          </w:p>
        </w:tc>
      </w:tr>
      <w:tr>
        <w:tc>
          <w:tcPr>
            <w:tcW w:type="dxa" w:w="2160"/>
          </w:tcPr>
          <w:p>
            <w:pPr/>
            <w:r>
              <w:rPr>
                <w:sz w:val="20"/>
              </w:rPr>
              <w:t>5-HT Receptors</w:t>
            </w:r>
          </w:p>
        </w:tc>
        <w:tc>
          <w:tcPr>
            <w:tcW w:type="dxa" w:w="1440"/>
          </w:tcPr>
          <w:p>
            <w:pPr/>
            <w:r>
              <w:rPr>
                <w:sz w:val="20"/>
              </w:rPr>
              <w:t>&gt;100,000</w:t>
            </w:r>
          </w:p>
        </w:tc>
        <w:tc>
          <w:tcPr>
            <w:tcW w:type="dxa" w:w="2592"/>
          </w:tcPr>
          <w:p>
            <w:pPr/>
            <w:r>
              <w:rPr>
                <w:sz w:val="20"/>
              </w:rPr>
              <w:t>&gt;1:40,000</w:t>
            </w:r>
          </w:p>
        </w:tc>
        <w:tc>
          <w:tcPr>
            <w:tcW w:type="dxa" w:w="3168"/>
          </w:tcPr>
          <w:p>
            <w:pPr/>
            <w:r>
              <w:rPr>
                <w:sz w:val="20"/>
              </w:rPr>
              <w:t>No serotonergic effects</w:t>
            </w:r>
          </w:p>
        </w:tc>
      </w:tr>
      <w:tr>
        <w:tc>
          <w:tcPr>
            <w:tcW w:type="dxa" w:w="2160"/>
          </w:tcPr>
          <w:p>
            <w:pPr/>
            <w:r>
              <w:rPr>
                <w:sz w:val="20"/>
              </w:rPr>
              <w:t>Histamine (H₁)</w:t>
            </w:r>
          </w:p>
        </w:tc>
        <w:tc>
          <w:tcPr>
            <w:tcW w:type="dxa" w:w="1440"/>
          </w:tcPr>
          <w:p>
            <w:pPr/>
            <w:r>
              <w:rPr>
                <w:sz w:val="20"/>
              </w:rPr>
              <w:t>&gt;100,000</w:t>
            </w:r>
          </w:p>
        </w:tc>
        <w:tc>
          <w:tcPr>
            <w:tcW w:type="dxa" w:w="2592"/>
          </w:tcPr>
          <w:p>
            <w:pPr/>
            <w:r>
              <w:rPr>
                <w:sz w:val="20"/>
              </w:rPr>
              <w:t>&gt;1:40,000</w:t>
            </w:r>
          </w:p>
        </w:tc>
        <w:tc>
          <w:tcPr>
            <w:tcW w:type="dxa" w:w="3168"/>
          </w:tcPr>
          <w:p>
            <w:pPr/>
            <w:r>
              <w:rPr>
                <w:sz w:val="20"/>
              </w:rPr>
              <w:t>No antihistaminic effects</w:t>
            </w:r>
          </w:p>
        </w:tc>
      </w:tr>
    </w:tbl>
    <w:p/>
    <w:p>
      <w:r>
        <w:t>The β₁/β₂ selectivity ratio of 1:380 represents a significant improvement over existing selective beta-blockers (atenolol: 1:35; metoprolol: 1:75; bisoprolol: 1:120), potentially allowing safer use in patients with reactive airway disease or peripheral vascular disease.</w:t>
      </w:r>
    </w:p>
    <w:p>
      <w:r>
        <w:br w:type="page"/>
      </w:r>
    </w:p>
    <w:p>
      <w:pPr>
        <w:pStyle w:val="Heading1"/>
      </w:pPr>
      <w:r>
        <w:t>7. Pharmacodynamics</w:t>
      </w:r>
    </w:p>
    <w:p>
      <w:pPr>
        <w:pStyle w:val="Heading2"/>
      </w:pPr>
      <w:r>
        <w:t>7.1 Cardiac Electrophysiology</w:t>
      </w:r>
    </w:p>
    <w:p>
      <w:r>
        <w:t>In a thorough QT/QTc study (N=180, randomized, double-blind, placebo- and active-controlled), Cardivex® at therapeutic (100 mg) and supratherapeutic (400 mg) doses did not prolong the QTc interval beyond the threshold of regulatory concern. The largest time-matched mean difference in QTcF from placebo was +3.2 ms (90% CI: 1.1, 5.3) for the 400 mg dose. Moxifloxacin 400 mg (positive control) demonstrated the expected QTcF prolongation of +12.4 ms, confirming assay sensitivity.</w:t>
      </w:r>
    </w:p>
    <w:p>
      <w:pPr>
        <w:pStyle w:val="Heading2"/>
      </w:pPr>
      <w:r>
        <w:t>7.2 Hemodynamic Effects at Steady State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304"/>
            <w:shd w:fill="003366"/>
          </w:tcPr>
          <w:p>
            <w:pPr>
              <w:jc w:val="center"/>
            </w:pPr>
            <w:r>
              <w:rPr>
                <w:b/>
                <w:color w:val="FFFFFF"/>
                <w:sz w:val="20"/>
              </w:rPr>
              <w:t>Parameter</w:t>
            </w:r>
          </w:p>
        </w:tc>
        <w:tc>
          <w:tcPr>
            <w:tcW w:type="dxa" w:w="1728"/>
            <w:shd w:fill="003366"/>
          </w:tcPr>
          <w:p>
            <w:pPr>
              <w:jc w:val="center"/>
            </w:pPr>
            <w:r>
              <w:rPr>
                <w:b/>
                <w:color w:val="FFFFFF"/>
                <w:sz w:val="20"/>
              </w:rPr>
              <w:t>Placebo (N=62)</w:t>
            </w:r>
          </w:p>
        </w:tc>
        <w:tc>
          <w:tcPr>
            <w:tcW w:type="dxa" w:w="1728"/>
            <w:shd w:fill="003366"/>
          </w:tcPr>
          <w:p>
            <w:pPr>
              <w:jc w:val="center"/>
            </w:pPr>
            <w:r>
              <w:rPr>
                <w:b/>
                <w:color w:val="FFFFFF"/>
                <w:sz w:val="20"/>
              </w:rPr>
              <w:t>50 mg (N=64)</w:t>
            </w:r>
          </w:p>
        </w:tc>
        <w:tc>
          <w:tcPr>
            <w:tcW w:type="dxa" w:w="1728"/>
            <w:shd w:fill="003366"/>
          </w:tcPr>
          <w:p>
            <w:pPr>
              <w:jc w:val="center"/>
            </w:pPr>
            <w:r>
              <w:rPr>
                <w:b/>
                <w:color w:val="FFFFFF"/>
                <w:sz w:val="20"/>
              </w:rPr>
              <w:t>100 mg (N=66)</w:t>
            </w:r>
          </w:p>
        </w:tc>
        <w:tc>
          <w:tcPr>
            <w:tcW w:type="dxa" w:w="1872"/>
            <w:shd w:fill="003366"/>
          </w:tcPr>
          <w:p>
            <w:pPr>
              <w:jc w:val="center"/>
            </w:pPr>
            <w:r>
              <w:rPr>
                <w:b/>
                <w:color w:val="FFFFFF"/>
                <w:sz w:val="20"/>
              </w:rPr>
              <w:t>200 mg (N=61)</w:t>
            </w:r>
          </w:p>
        </w:tc>
      </w:tr>
      <w:tr>
        <w:tc>
          <w:tcPr>
            <w:tcW w:type="dxa" w:w="2304"/>
          </w:tcPr>
          <w:p>
            <w:pPr/>
            <w:r>
              <w:rPr>
                <w:sz w:val="20"/>
              </w:rPr>
              <w:t>SBP reduction (mmHg)</w:t>
            </w:r>
          </w:p>
        </w:tc>
        <w:tc>
          <w:tcPr>
            <w:tcW w:type="dxa" w:w="1728"/>
          </w:tcPr>
          <w:p>
            <w:pPr/>
            <w:r>
              <w:rPr>
                <w:sz w:val="20"/>
              </w:rPr>
              <w:t>−4.2 ± 2.1</w:t>
            </w:r>
          </w:p>
        </w:tc>
        <w:tc>
          <w:tcPr>
            <w:tcW w:type="dxa" w:w="1728"/>
          </w:tcPr>
          <w:p>
            <w:pPr/>
            <w:r>
              <w:rPr>
                <w:sz w:val="20"/>
              </w:rPr>
              <w:t>−11.6 ± 2.8*</w:t>
            </w:r>
          </w:p>
        </w:tc>
        <w:tc>
          <w:tcPr>
            <w:tcW w:type="dxa" w:w="1728"/>
          </w:tcPr>
          <w:p>
            <w:pPr/>
            <w:r>
              <w:rPr>
                <w:sz w:val="20"/>
              </w:rPr>
              <w:t>−18.4 ± 3.2**</w:t>
            </w:r>
          </w:p>
        </w:tc>
        <w:tc>
          <w:tcPr>
            <w:tcW w:type="dxa" w:w="1872"/>
          </w:tcPr>
          <w:p>
            <w:pPr/>
            <w:r>
              <w:rPr>
                <w:sz w:val="20"/>
              </w:rPr>
              <w:t>−22.1 ± 3.5**</w:t>
            </w:r>
          </w:p>
        </w:tc>
      </w:tr>
      <w:tr>
        <w:tc>
          <w:tcPr>
            <w:tcW w:type="dxa" w:w="2304"/>
          </w:tcPr>
          <w:p>
            <w:pPr/>
            <w:r>
              <w:rPr>
                <w:sz w:val="20"/>
              </w:rPr>
              <w:t>DBP reduction (mmHg)</w:t>
            </w:r>
          </w:p>
        </w:tc>
        <w:tc>
          <w:tcPr>
            <w:tcW w:type="dxa" w:w="1728"/>
          </w:tcPr>
          <w:p>
            <w:pPr/>
            <w:r>
              <w:rPr>
                <w:sz w:val="20"/>
              </w:rPr>
              <w:t>−2.8 ± 1.6</w:t>
            </w:r>
          </w:p>
        </w:tc>
        <w:tc>
          <w:tcPr>
            <w:tcW w:type="dxa" w:w="1728"/>
          </w:tcPr>
          <w:p>
            <w:pPr/>
            <w:r>
              <w:rPr>
                <w:sz w:val="20"/>
              </w:rPr>
              <w:t>−7.4 ± 2.1*</w:t>
            </w:r>
          </w:p>
        </w:tc>
        <w:tc>
          <w:tcPr>
            <w:tcW w:type="dxa" w:w="1728"/>
          </w:tcPr>
          <w:p>
            <w:pPr/>
            <w:r>
              <w:rPr>
                <w:sz w:val="20"/>
              </w:rPr>
              <w:t>−11.8 ± 2.6**</w:t>
            </w:r>
          </w:p>
        </w:tc>
        <w:tc>
          <w:tcPr>
            <w:tcW w:type="dxa" w:w="1872"/>
          </w:tcPr>
          <w:p>
            <w:pPr/>
            <w:r>
              <w:rPr>
                <w:sz w:val="20"/>
              </w:rPr>
              <w:t>−14.2 ± 2.9**</w:t>
            </w:r>
          </w:p>
        </w:tc>
      </w:tr>
      <w:tr>
        <w:tc>
          <w:tcPr>
            <w:tcW w:type="dxa" w:w="2304"/>
          </w:tcPr>
          <w:p>
            <w:pPr/>
            <w:r>
              <w:rPr>
                <w:sz w:val="20"/>
              </w:rPr>
              <w:t>Heart rate reduction (bpm)</w:t>
            </w:r>
          </w:p>
        </w:tc>
        <w:tc>
          <w:tcPr>
            <w:tcW w:type="dxa" w:w="1728"/>
          </w:tcPr>
          <w:p>
            <w:pPr/>
            <w:r>
              <w:rPr>
                <w:sz w:val="20"/>
              </w:rPr>
              <w:t>−1.4 ± 1.2</w:t>
            </w:r>
          </w:p>
        </w:tc>
        <w:tc>
          <w:tcPr>
            <w:tcW w:type="dxa" w:w="1728"/>
          </w:tcPr>
          <w:p>
            <w:pPr/>
            <w:r>
              <w:rPr>
                <w:sz w:val="20"/>
              </w:rPr>
              <w:t>−8.2 ± 2.4*</w:t>
            </w:r>
          </w:p>
        </w:tc>
        <w:tc>
          <w:tcPr>
            <w:tcW w:type="dxa" w:w="1728"/>
          </w:tcPr>
          <w:p>
            <w:pPr/>
            <w:r>
              <w:rPr>
                <w:sz w:val="20"/>
              </w:rPr>
              <w:t>−13.6 ± 2.8**</w:t>
            </w:r>
          </w:p>
        </w:tc>
        <w:tc>
          <w:tcPr>
            <w:tcW w:type="dxa" w:w="1872"/>
          </w:tcPr>
          <w:p>
            <w:pPr/>
            <w:r>
              <w:rPr>
                <w:sz w:val="20"/>
              </w:rPr>
              <w:t>−16.8 ± 3.1**</w:t>
            </w:r>
          </w:p>
        </w:tc>
      </w:tr>
      <w:tr>
        <w:tc>
          <w:tcPr>
            <w:tcW w:type="dxa" w:w="2304"/>
          </w:tcPr>
          <w:p>
            <w:pPr/>
            <w:r>
              <w:rPr>
                <w:sz w:val="20"/>
              </w:rPr>
              <w:t>Cardiac output change (%)</w:t>
            </w:r>
          </w:p>
        </w:tc>
        <w:tc>
          <w:tcPr>
            <w:tcW w:type="dxa" w:w="1728"/>
          </w:tcPr>
          <w:p>
            <w:pPr/>
            <w:r>
              <w:rPr>
                <w:sz w:val="20"/>
              </w:rPr>
              <w:t>−1.2 ± 0.8</w:t>
            </w:r>
          </w:p>
        </w:tc>
        <w:tc>
          <w:tcPr>
            <w:tcW w:type="dxa" w:w="1728"/>
          </w:tcPr>
          <w:p>
            <w:pPr/>
            <w:r>
              <w:rPr>
                <w:sz w:val="20"/>
              </w:rPr>
              <w:t>−6.4 ± 2.0</w:t>
            </w:r>
          </w:p>
        </w:tc>
        <w:tc>
          <w:tcPr>
            <w:tcW w:type="dxa" w:w="1728"/>
          </w:tcPr>
          <w:p>
            <w:pPr/>
            <w:r>
              <w:rPr>
                <w:sz w:val="20"/>
              </w:rPr>
              <w:t>−9.8 ± 2.3*</w:t>
            </w:r>
          </w:p>
        </w:tc>
        <w:tc>
          <w:tcPr>
            <w:tcW w:type="dxa" w:w="1872"/>
          </w:tcPr>
          <w:p>
            <w:pPr/>
            <w:r>
              <w:rPr>
                <w:sz w:val="20"/>
              </w:rPr>
              <w:t>−12.6 ± 2.7*</w:t>
            </w:r>
          </w:p>
        </w:tc>
      </w:tr>
      <w:tr>
        <w:tc>
          <w:tcPr>
            <w:tcW w:type="dxa" w:w="2304"/>
          </w:tcPr>
          <w:p>
            <w:pPr/>
            <w:r>
              <w:rPr>
                <w:sz w:val="20"/>
              </w:rPr>
              <w:t>Rate-pressure product (%)</w:t>
            </w:r>
          </w:p>
        </w:tc>
        <w:tc>
          <w:tcPr>
            <w:tcW w:type="dxa" w:w="1728"/>
          </w:tcPr>
          <w:p>
            <w:pPr/>
            <w:r>
              <w:rPr>
                <w:sz w:val="20"/>
              </w:rPr>
              <w:t>−2.1 ± 1.4</w:t>
            </w:r>
          </w:p>
        </w:tc>
        <w:tc>
          <w:tcPr>
            <w:tcW w:type="dxa" w:w="1728"/>
          </w:tcPr>
          <w:p>
            <w:pPr/>
            <w:r>
              <w:rPr>
                <w:sz w:val="20"/>
              </w:rPr>
              <w:t>−14.2 ± 3.6*</w:t>
            </w:r>
          </w:p>
        </w:tc>
        <w:tc>
          <w:tcPr>
            <w:tcW w:type="dxa" w:w="1728"/>
          </w:tcPr>
          <w:p>
            <w:pPr/>
            <w:r>
              <w:rPr>
                <w:sz w:val="20"/>
              </w:rPr>
              <w:t>−22.8 ± 4.1**</w:t>
            </w:r>
          </w:p>
        </w:tc>
        <w:tc>
          <w:tcPr>
            <w:tcW w:type="dxa" w:w="1872"/>
          </w:tcPr>
          <w:p>
            <w:pPr/>
            <w:r>
              <w:rPr>
                <w:sz w:val="20"/>
              </w:rPr>
              <w:t>−28.4 ± 4.5**</w:t>
            </w:r>
          </w:p>
        </w:tc>
      </w:tr>
    </w:tbl>
    <w:p/>
    <w:p>
      <w:r>
        <w:t>*p&lt;0.01 vs. placebo; **p&lt;0.001 vs. placebo</w:t>
      </w:r>
    </w:p>
    <w:p>
      <w:pPr>
        <w:pStyle w:val="Heading2"/>
      </w:pPr>
      <w:r>
        <w:t>7.3 Effects on Plasma Renin Activity</w:t>
      </w:r>
    </w:p>
    <w:p>
      <w:r>
        <w:t>Cardivex® 100 mg produced a 54% reduction in plasma renin activity (PRA) at steady state compared to baseline (p&lt;0.001). The reduction was dose-dependent, with 50 mg and 200 mg doses producing 38% and 62% reductions, respectively. Aldosterone levels decreased by 28% at the 100 mg dose.</w:t>
      </w:r>
    </w:p>
    <w:p>
      <w:r>
        <w:br w:type="page"/>
      </w:r>
    </w:p>
    <w:p>
      <w:pPr>
        <w:pStyle w:val="Heading1"/>
      </w:pPr>
      <w:r>
        <w:t>8. Pharmacokinetics</w:t>
      </w:r>
    </w:p>
    <w:p>
      <w:pPr>
        <w:pStyle w:val="Heading2"/>
      </w:pPr>
      <w:r>
        <w:t>8.1 Summary of Pharmacokinetic Parameters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592"/>
            <w:shd w:fill="003366"/>
          </w:tcPr>
          <w:p>
            <w:pPr>
              <w:jc w:val="center"/>
            </w:pPr>
            <w:r>
              <w:rPr>
                <w:b/>
                <w:color w:val="FFFFFF"/>
                <w:sz w:val="20"/>
              </w:rPr>
              <w:t>Parameter</w:t>
            </w:r>
          </w:p>
        </w:tc>
        <w:tc>
          <w:tcPr>
            <w:tcW w:type="dxa" w:w="2160"/>
            <w:shd w:fill="003366"/>
          </w:tcPr>
          <w:p>
            <w:pPr>
              <w:jc w:val="center"/>
            </w:pPr>
            <w:r>
              <w:rPr>
                <w:b/>
                <w:color w:val="FFFFFF"/>
                <w:sz w:val="20"/>
              </w:rPr>
              <w:t>50 mg (N=24)</w:t>
            </w:r>
          </w:p>
        </w:tc>
        <w:tc>
          <w:tcPr>
            <w:tcW w:type="dxa" w:w="2160"/>
            <w:shd w:fill="003366"/>
          </w:tcPr>
          <w:p>
            <w:pPr>
              <w:jc w:val="center"/>
            </w:pPr>
            <w:r>
              <w:rPr>
                <w:b/>
                <w:color w:val="FFFFFF"/>
                <w:sz w:val="20"/>
              </w:rPr>
              <w:t>100 mg (N=24)</w:t>
            </w:r>
          </w:p>
        </w:tc>
        <w:tc>
          <w:tcPr>
            <w:tcW w:type="dxa" w:w="2160"/>
            <w:shd w:fill="003366"/>
          </w:tcPr>
          <w:p>
            <w:pPr>
              <w:jc w:val="center"/>
            </w:pPr>
            <w:r>
              <w:rPr>
                <w:b/>
                <w:color w:val="FFFFFF"/>
                <w:sz w:val="20"/>
              </w:rPr>
              <w:t>200 mg (N=24)</w:t>
            </w:r>
          </w:p>
        </w:tc>
      </w:tr>
      <w:tr>
        <w:tc>
          <w:tcPr>
            <w:tcW w:type="dxa" w:w="2592"/>
          </w:tcPr>
          <w:p>
            <w:pPr/>
            <w:r>
              <w:rPr>
                <w:sz w:val="20"/>
              </w:rPr>
              <w:t>Cmax (ng/mL)</w:t>
            </w:r>
          </w:p>
        </w:tc>
        <w:tc>
          <w:tcPr>
            <w:tcW w:type="dxa" w:w="2160"/>
          </w:tcPr>
          <w:p>
            <w:pPr/>
            <w:r>
              <w:rPr>
                <w:sz w:val="20"/>
              </w:rPr>
              <w:t>42.6 ± 8.4</w:t>
            </w:r>
          </w:p>
        </w:tc>
        <w:tc>
          <w:tcPr>
            <w:tcW w:type="dxa" w:w="2160"/>
          </w:tcPr>
          <w:p>
            <w:pPr/>
            <w:r>
              <w:rPr>
                <w:sz w:val="20"/>
              </w:rPr>
              <w:t>88.3 ± 14.2</w:t>
            </w:r>
          </w:p>
        </w:tc>
        <w:tc>
          <w:tcPr>
            <w:tcW w:type="dxa" w:w="2160"/>
          </w:tcPr>
          <w:p>
            <w:pPr/>
            <w:r>
              <w:rPr>
                <w:sz w:val="20"/>
              </w:rPr>
              <w:t>172.5 ± 28.6</w:t>
            </w:r>
          </w:p>
        </w:tc>
      </w:tr>
      <w:tr>
        <w:tc>
          <w:tcPr>
            <w:tcW w:type="dxa" w:w="2592"/>
          </w:tcPr>
          <w:p>
            <w:pPr/>
            <w:r>
              <w:rPr>
                <w:sz w:val="20"/>
              </w:rPr>
              <w:t>Tmax (hours)</w:t>
            </w:r>
          </w:p>
        </w:tc>
        <w:tc>
          <w:tcPr>
            <w:tcW w:type="dxa" w:w="2160"/>
          </w:tcPr>
          <w:p>
            <w:pPr/>
            <w:r>
              <w:rPr>
                <w:sz w:val="20"/>
              </w:rPr>
              <w:t>4.2 ± 1.1</w:t>
            </w:r>
          </w:p>
        </w:tc>
        <w:tc>
          <w:tcPr>
            <w:tcW w:type="dxa" w:w="2160"/>
          </w:tcPr>
          <w:p>
            <w:pPr/>
            <w:r>
              <w:rPr>
                <w:sz w:val="20"/>
              </w:rPr>
              <w:t>4.8 ± 1.3</w:t>
            </w:r>
          </w:p>
        </w:tc>
        <w:tc>
          <w:tcPr>
            <w:tcW w:type="dxa" w:w="2160"/>
          </w:tcPr>
          <w:p>
            <w:pPr/>
            <w:r>
              <w:rPr>
                <w:sz w:val="20"/>
              </w:rPr>
              <w:t>5.4 ± 1.2</w:t>
            </w:r>
          </w:p>
        </w:tc>
      </w:tr>
      <w:tr>
        <w:tc>
          <w:tcPr>
            <w:tcW w:type="dxa" w:w="2592"/>
          </w:tcPr>
          <w:p>
            <w:pPr/>
            <w:r>
              <w:rPr>
                <w:sz w:val="20"/>
              </w:rPr>
              <w:t>AUC₀₋₂₄ (ng·h/mL)</w:t>
            </w:r>
          </w:p>
        </w:tc>
        <w:tc>
          <w:tcPr>
            <w:tcW w:type="dxa" w:w="2160"/>
          </w:tcPr>
          <w:p>
            <w:pPr/>
            <w:r>
              <w:rPr>
                <w:sz w:val="20"/>
              </w:rPr>
              <w:t>486 ± 72</w:t>
            </w:r>
          </w:p>
        </w:tc>
        <w:tc>
          <w:tcPr>
            <w:tcW w:type="dxa" w:w="2160"/>
          </w:tcPr>
          <w:p>
            <w:pPr/>
            <w:r>
              <w:rPr>
                <w:sz w:val="20"/>
              </w:rPr>
              <w:t>1,024 ± 148</w:t>
            </w:r>
          </w:p>
        </w:tc>
        <w:tc>
          <w:tcPr>
            <w:tcW w:type="dxa" w:w="2160"/>
          </w:tcPr>
          <w:p>
            <w:pPr/>
            <w:r>
              <w:rPr>
                <w:sz w:val="20"/>
              </w:rPr>
              <w:t>2,086 ± 312</w:t>
            </w:r>
          </w:p>
        </w:tc>
      </w:tr>
      <w:tr>
        <w:tc>
          <w:tcPr>
            <w:tcW w:type="dxa" w:w="2592"/>
          </w:tcPr>
          <w:p>
            <w:pPr/>
            <w:r>
              <w:rPr>
                <w:sz w:val="20"/>
              </w:rPr>
              <w:t>AUC₀₋∞ (ng·h/mL)</w:t>
            </w:r>
          </w:p>
        </w:tc>
        <w:tc>
          <w:tcPr>
            <w:tcW w:type="dxa" w:w="2160"/>
          </w:tcPr>
          <w:p>
            <w:pPr/>
            <w:r>
              <w:rPr>
                <w:sz w:val="20"/>
              </w:rPr>
              <w:t>528 ± 84</w:t>
            </w:r>
          </w:p>
        </w:tc>
        <w:tc>
          <w:tcPr>
            <w:tcW w:type="dxa" w:w="2160"/>
          </w:tcPr>
          <w:p>
            <w:pPr/>
            <w:r>
              <w:rPr>
                <w:sz w:val="20"/>
              </w:rPr>
              <w:t>1,112 ± 162</w:t>
            </w:r>
          </w:p>
        </w:tc>
        <w:tc>
          <w:tcPr>
            <w:tcW w:type="dxa" w:w="2160"/>
          </w:tcPr>
          <w:p>
            <w:pPr/>
            <w:r>
              <w:rPr>
                <w:sz w:val="20"/>
              </w:rPr>
              <w:t>2,248 ± 346</w:t>
            </w:r>
          </w:p>
        </w:tc>
      </w:tr>
      <w:tr>
        <w:tc>
          <w:tcPr>
            <w:tcW w:type="dxa" w:w="2592"/>
          </w:tcPr>
          <w:p>
            <w:pPr/>
            <w:r>
              <w:rPr>
                <w:sz w:val="20"/>
              </w:rPr>
              <w:t>t½ (hours)</w:t>
            </w:r>
          </w:p>
        </w:tc>
        <w:tc>
          <w:tcPr>
            <w:tcW w:type="dxa" w:w="2160"/>
          </w:tcPr>
          <w:p>
            <w:pPr/>
            <w:r>
              <w:rPr>
                <w:sz w:val="20"/>
              </w:rPr>
              <w:t>13.8 ± 2.4</w:t>
            </w:r>
          </w:p>
        </w:tc>
        <w:tc>
          <w:tcPr>
            <w:tcW w:type="dxa" w:w="2160"/>
          </w:tcPr>
          <w:p>
            <w:pPr/>
            <w:r>
              <w:rPr>
                <w:sz w:val="20"/>
              </w:rPr>
              <w:t>14.6 ± 2.6</w:t>
            </w:r>
          </w:p>
        </w:tc>
        <w:tc>
          <w:tcPr>
            <w:tcW w:type="dxa" w:w="2160"/>
          </w:tcPr>
          <w:p>
            <w:pPr/>
            <w:r>
              <w:rPr>
                <w:sz w:val="20"/>
              </w:rPr>
              <w:t>15.2 ± 2.8</w:t>
            </w:r>
          </w:p>
        </w:tc>
      </w:tr>
      <w:tr>
        <w:tc>
          <w:tcPr>
            <w:tcW w:type="dxa" w:w="2592"/>
          </w:tcPr>
          <w:p>
            <w:pPr/>
            <w:r>
              <w:rPr>
                <w:sz w:val="20"/>
              </w:rPr>
              <w:t>CL/F (L/h)</w:t>
            </w:r>
          </w:p>
        </w:tc>
        <w:tc>
          <w:tcPr>
            <w:tcW w:type="dxa" w:w="2160"/>
          </w:tcPr>
          <w:p>
            <w:pPr/>
            <w:r>
              <w:rPr>
                <w:sz w:val="20"/>
              </w:rPr>
              <w:t>96.2 ± 18.4</w:t>
            </w:r>
          </w:p>
        </w:tc>
        <w:tc>
          <w:tcPr>
            <w:tcW w:type="dxa" w:w="2160"/>
          </w:tcPr>
          <w:p>
            <w:pPr/>
            <w:r>
              <w:rPr>
                <w:sz w:val="20"/>
              </w:rPr>
              <w:t>91.4 ± 16.8</w:t>
            </w:r>
          </w:p>
        </w:tc>
        <w:tc>
          <w:tcPr>
            <w:tcW w:type="dxa" w:w="2160"/>
          </w:tcPr>
          <w:p>
            <w:pPr/>
            <w:r>
              <w:rPr>
                <w:sz w:val="20"/>
              </w:rPr>
              <w:t>89.6 ± 14.2</w:t>
            </w:r>
          </w:p>
        </w:tc>
      </w:tr>
      <w:tr>
        <w:tc>
          <w:tcPr>
            <w:tcW w:type="dxa" w:w="2592"/>
          </w:tcPr>
          <w:p>
            <w:pPr/>
            <w:r>
              <w:rPr>
                <w:sz w:val="20"/>
              </w:rPr>
              <w:t>Vd/F (L)</w:t>
            </w:r>
          </w:p>
        </w:tc>
        <w:tc>
          <w:tcPr>
            <w:tcW w:type="dxa" w:w="2160"/>
          </w:tcPr>
          <w:p>
            <w:pPr/>
            <w:r>
              <w:rPr>
                <w:sz w:val="20"/>
              </w:rPr>
              <w:t>1,920 ± 380</w:t>
            </w:r>
          </w:p>
        </w:tc>
        <w:tc>
          <w:tcPr>
            <w:tcW w:type="dxa" w:w="2160"/>
          </w:tcPr>
          <w:p>
            <w:pPr/>
            <w:r>
              <w:rPr>
                <w:sz w:val="20"/>
              </w:rPr>
              <w:t>1,860 ± 340</w:t>
            </w:r>
          </w:p>
        </w:tc>
        <w:tc>
          <w:tcPr>
            <w:tcW w:type="dxa" w:w="2160"/>
          </w:tcPr>
          <w:p>
            <w:pPr/>
            <w:r>
              <w:rPr>
                <w:sz w:val="20"/>
              </w:rPr>
              <w:t>1,840 ± 320</w:t>
            </w:r>
          </w:p>
        </w:tc>
      </w:tr>
      <w:tr>
        <w:tc>
          <w:tcPr>
            <w:tcW w:type="dxa" w:w="2592"/>
          </w:tcPr>
          <w:p>
            <w:pPr/>
            <w:r>
              <w:rPr>
                <w:sz w:val="20"/>
              </w:rPr>
              <w:t>Bioavailability (F)</w:t>
            </w:r>
          </w:p>
        </w:tc>
        <w:tc>
          <w:tcPr>
            <w:tcW w:type="dxa" w:w="2160"/>
          </w:tcPr>
          <w:p>
            <w:pPr/>
            <w:r>
              <w:rPr>
                <w:sz w:val="20"/>
              </w:rPr>
              <w:t>0.48 ± 0.06</w:t>
            </w:r>
          </w:p>
        </w:tc>
        <w:tc>
          <w:tcPr>
            <w:tcW w:type="dxa" w:w="2160"/>
          </w:tcPr>
          <w:p>
            <w:pPr/>
            <w:r>
              <w:rPr>
                <w:sz w:val="20"/>
              </w:rPr>
              <w:t>0.50 ± 0.05</w:t>
            </w:r>
          </w:p>
        </w:tc>
        <w:tc>
          <w:tcPr>
            <w:tcW w:type="dxa" w:w="2160"/>
          </w:tcPr>
          <w:p>
            <w:pPr/>
            <w:r>
              <w:rPr>
                <w:sz w:val="20"/>
              </w:rPr>
              <w:t>0.51 ± 0.06</w:t>
            </w:r>
          </w:p>
        </w:tc>
      </w:tr>
    </w:tbl>
    <w:p/>
    <w:p>
      <w:r>
        <w:t>Values expressed as mean ± SD; single-dose data in healthy volunteers under fasted conditions.</w:t>
      </w:r>
    </w:p>
    <w:p>
      <w:pPr>
        <w:pStyle w:val="Heading2"/>
      </w:pPr>
      <w:r>
        <w:t>8.2 Absorption</w:t>
      </w:r>
    </w:p>
    <w:p>
      <w:r>
        <w:t>Following oral administration, metopravil is well absorbed from the gastrointestinal tract with an absolute bioavailability of approximately 50%. Absorption is nearly complete (&gt;95% of administered dose recovered in urine as metabolites and unchanged drug). The extended-release formulation provides a controlled release pattern with peak plasma concentrations occurring at 4–6 hours post-dose. Food increases Cmax by approximately 15% and AUC by 10%, but these changes are not clinically significant; therefore, Cardivex® may be administered without regard to meals.</w:t>
      </w:r>
    </w:p>
    <w:p>
      <w:pPr>
        <w:pStyle w:val="Heading2"/>
      </w:pPr>
      <w:r>
        <w:t>8.3 Distribution</w:t>
      </w:r>
    </w:p>
    <w:p>
      <w:r>
        <w:t>Metopravil exhibits moderate plasma protein binding (74 ± 3%), primarily to alpha-1 acid glycoprotein (AAG). The apparent volume of distribution is approximately 1,900 L, indicating extensive tissue distribution. Metopravil crosses the blood-brain barrier with a brain:plasma ratio of 0.15, which is lower than propranolol (0.42) and comparable to atenolol (0.12). Metopravil crosses the placental barrier with a fetal:maternal plasma ratio of 0.78.</w:t>
      </w:r>
    </w:p>
    <w:p>
      <w:pPr>
        <w:pStyle w:val="Heading2"/>
      </w:pPr>
      <w:r>
        <w:t>8.4 Metabolism</w:t>
      </w:r>
    </w:p>
    <w:p>
      <w:r>
        <w:t>Metopravil undergoes extensive first-pass hepatic metabolism via cytochrome P450 enzymes. The major metabolic pathways include O-demethylation (CYP2D6, ~65%), alpha-hydroxylation (CYP3A4, ~25%), and N-dealkylation (CYP2D6, ~10%). None of the identified metabolites possess clinically significant beta-blocking activity (&lt;1/100th of parent compound). CYP2D6 poor metabolizers exhibit approximately 40% higher AUC values than extensive metabolizers; however, no dose adjustment is required due to the wide therapeutic index.</w:t>
      </w:r>
    </w:p>
    <w:p>
      <w:pPr>
        <w:pStyle w:val="Heading2"/>
      </w:pPr>
      <w:r>
        <w:t>8.5 Elimination</w:t>
      </w:r>
    </w:p>
    <w:p>
      <w:r>
        <w:t>The mean terminal elimination half-life is 14.6 hours. Approximately 72% of the administered dose is excreted in urine (5% as unchanged drug) and 18% in feces. Renal clearance of unchanged drug is 4.6 L/h. Steady-state plasma concentrations are achieved within 3–4 days of once-daily dosing with an accumulation index of 1.3.</w:t>
      </w:r>
    </w:p>
    <w:p>
      <w:pPr>
        <w:pStyle w:val="Heading2"/>
      </w:pPr>
      <w:r>
        <w:t>8.6 Pharmacokinetics in Special Populations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2304"/>
            <w:shd w:fill="003366"/>
          </w:tcPr>
          <w:p>
            <w:pPr>
              <w:jc w:val="center"/>
            </w:pPr>
            <w:r>
              <w:rPr>
                <w:b/>
                <w:color w:val="FFFFFF"/>
                <w:sz w:val="20"/>
              </w:rPr>
              <w:t>Population</w:t>
            </w:r>
          </w:p>
        </w:tc>
        <w:tc>
          <w:tcPr>
            <w:tcW w:type="dxa" w:w="576"/>
            <w:shd w:fill="003366"/>
          </w:tcPr>
          <w:p>
            <w:pPr>
              <w:jc w:val="center"/>
            </w:pPr>
            <w:r>
              <w:rPr>
                <w:b/>
                <w:color w:val="FFFFFF"/>
                <w:sz w:val="20"/>
              </w:rPr>
              <w:t>N</w:t>
            </w:r>
          </w:p>
        </w:tc>
        <w:tc>
          <w:tcPr>
            <w:tcW w:type="dxa" w:w="1296"/>
            <w:shd w:fill="003366"/>
          </w:tcPr>
          <w:p>
            <w:pPr>
              <w:jc w:val="center"/>
            </w:pPr>
            <w:r>
              <w:rPr>
                <w:b/>
                <w:color w:val="FFFFFF"/>
                <w:sz w:val="20"/>
              </w:rPr>
              <w:t>Cmax Change</w:t>
            </w:r>
          </w:p>
        </w:tc>
        <w:tc>
          <w:tcPr>
            <w:tcW w:type="dxa" w:w="1296"/>
            <w:shd w:fill="003366"/>
          </w:tcPr>
          <w:p>
            <w:pPr>
              <w:jc w:val="center"/>
            </w:pPr>
            <w:r>
              <w:rPr>
                <w:b/>
                <w:color w:val="FFFFFF"/>
                <w:sz w:val="20"/>
              </w:rPr>
              <w:t>AUC Change</w:t>
            </w:r>
          </w:p>
        </w:tc>
        <w:tc>
          <w:tcPr>
            <w:tcW w:type="dxa" w:w="1296"/>
            <w:shd w:fill="003366"/>
          </w:tcPr>
          <w:p>
            <w:pPr>
              <w:jc w:val="center"/>
            </w:pPr>
            <w:r>
              <w:rPr>
                <w:b/>
                <w:color w:val="FFFFFF"/>
                <w:sz w:val="20"/>
              </w:rPr>
              <w:t>t½ Change</w:t>
            </w:r>
          </w:p>
        </w:tc>
        <w:tc>
          <w:tcPr>
            <w:tcW w:type="dxa" w:w="2592"/>
            <w:shd w:fill="003366"/>
          </w:tcPr>
          <w:p>
            <w:pPr>
              <w:jc w:val="center"/>
            </w:pPr>
            <w:r>
              <w:rPr>
                <w:b/>
                <w:color w:val="FFFFFF"/>
                <w:sz w:val="20"/>
              </w:rPr>
              <w:t>Dose Adjustment</w:t>
            </w:r>
          </w:p>
        </w:tc>
      </w:tr>
      <w:tr>
        <w:tc>
          <w:tcPr>
            <w:tcW w:type="dxa" w:w="2304"/>
          </w:tcPr>
          <w:p>
            <w:pPr/>
            <w:r>
              <w:rPr>
                <w:sz w:val="20"/>
              </w:rPr>
              <w:t>Elderly (≥65 years)</w:t>
            </w:r>
          </w:p>
        </w:tc>
        <w:tc>
          <w:tcPr>
            <w:tcW w:type="dxa" w:w="576"/>
          </w:tcPr>
          <w:p>
            <w:pPr/>
            <w:r>
              <w:rPr>
                <w:sz w:val="20"/>
              </w:rPr>
              <w:t>18</w:t>
            </w:r>
          </w:p>
        </w:tc>
        <w:tc>
          <w:tcPr>
            <w:tcW w:type="dxa" w:w="1296"/>
          </w:tcPr>
          <w:p>
            <w:pPr/>
            <w:r>
              <w:rPr>
                <w:sz w:val="20"/>
              </w:rPr>
              <w:t>+22%</w:t>
            </w:r>
          </w:p>
        </w:tc>
        <w:tc>
          <w:tcPr>
            <w:tcW w:type="dxa" w:w="1296"/>
          </w:tcPr>
          <w:p>
            <w:pPr/>
            <w:r>
              <w:rPr>
                <w:sz w:val="20"/>
              </w:rPr>
              <w:t>+28%</w:t>
            </w:r>
          </w:p>
        </w:tc>
        <w:tc>
          <w:tcPr>
            <w:tcW w:type="dxa" w:w="1296"/>
          </w:tcPr>
          <w:p>
            <w:pPr/>
            <w:r>
              <w:rPr>
                <w:sz w:val="20"/>
              </w:rPr>
              <w:t>+18%</w:t>
            </w:r>
          </w:p>
        </w:tc>
        <w:tc>
          <w:tcPr>
            <w:tcW w:type="dxa" w:w="2592"/>
          </w:tcPr>
          <w:p>
            <w:pPr/>
            <w:r>
              <w:rPr>
                <w:sz w:val="20"/>
              </w:rPr>
              <w:t>Start at 50 mg; titrate carefully</w:t>
            </w:r>
          </w:p>
        </w:tc>
      </w:tr>
      <w:tr>
        <w:tc>
          <w:tcPr>
            <w:tcW w:type="dxa" w:w="2304"/>
          </w:tcPr>
          <w:p>
            <w:pPr/>
            <w:r>
              <w:rPr>
                <w:sz w:val="20"/>
              </w:rPr>
              <w:t>Hepatic impairment (mild)</w:t>
            </w:r>
          </w:p>
        </w:tc>
        <w:tc>
          <w:tcPr>
            <w:tcW w:type="dxa" w:w="576"/>
          </w:tcPr>
          <w:p>
            <w:pPr/>
            <w:r>
              <w:rPr>
                <w:sz w:val="20"/>
              </w:rPr>
              <w:t>12</w:t>
            </w:r>
          </w:p>
        </w:tc>
        <w:tc>
          <w:tcPr>
            <w:tcW w:type="dxa" w:w="1296"/>
          </w:tcPr>
          <w:p>
            <w:pPr/>
            <w:r>
              <w:rPr>
                <w:sz w:val="20"/>
              </w:rPr>
              <w:t>+15%</w:t>
            </w:r>
          </w:p>
        </w:tc>
        <w:tc>
          <w:tcPr>
            <w:tcW w:type="dxa" w:w="1296"/>
          </w:tcPr>
          <w:p>
            <w:pPr/>
            <w:r>
              <w:rPr>
                <w:sz w:val="20"/>
              </w:rPr>
              <w:t>+35%</w:t>
            </w:r>
          </w:p>
        </w:tc>
        <w:tc>
          <w:tcPr>
            <w:tcW w:type="dxa" w:w="1296"/>
          </w:tcPr>
          <w:p>
            <w:pPr/>
            <w:r>
              <w:rPr>
                <w:sz w:val="20"/>
              </w:rPr>
              <w:t>+24%</w:t>
            </w:r>
          </w:p>
        </w:tc>
        <w:tc>
          <w:tcPr>
            <w:tcW w:type="dxa" w:w="2592"/>
          </w:tcPr>
          <w:p>
            <w:pPr/>
            <w:r>
              <w:rPr>
                <w:sz w:val="20"/>
              </w:rPr>
              <w:t>No adjustment needed</w:t>
            </w:r>
          </w:p>
        </w:tc>
      </w:tr>
      <w:tr>
        <w:tc>
          <w:tcPr>
            <w:tcW w:type="dxa" w:w="2304"/>
          </w:tcPr>
          <w:p>
            <w:pPr/>
            <w:r>
              <w:rPr>
                <w:sz w:val="20"/>
              </w:rPr>
              <w:t>Hepatic impairment (moderate)</w:t>
            </w:r>
          </w:p>
        </w:tc>
        <w:tc>
          <w:tcPr>
            <w:tcW w:type="dxa" w:w="576"/>
          </w:tcPr>
          <w:p>
            <w:pPr/>
            <w:r>
              <w:rPr>
                <w:sz w:val="20"/>
              </w:rPr>
              <w:t>10</w:t>
            </w:r>
          </w:p>
        </w:tc>
        <w:tc>
          <w:tcPr>
            <w:tcW w:type="dxa" w:w="1296"/>
          </w:tcPr>
          <w:p>
            <w:pPr/>
            <w:r>
              <w:rPr>
                <w:sz w:val="20"/>
              </w:rPr>
              <w:t>+42%</w:t>
            </w:r>
          </w:p>
        </w:tc>
        <w:tc>
          <w:tcPr>
            <w:tcW w:type="dxa" w:w="1296"/>
          </w:tcPr>
          <w:p>
            <w:pPr/>
            <w:r>
              <w:rPr>
                <w:sz w:val="20"/>
              </w:rPr>
              <w:t>+65%</w:t>
            </w:r>
          </w:p>
        </w:tc>
        <w:tc>
          <w:tcPr>
            <w:tcW w:type="dxa" w:w="1296"/>
          </w:tcPr>
          <w:p>
            <w:pPr/>
            <w:r>
              <w:rPr>
                <w:sz w:val="20"/>
              </w:rPr>
              <w:t>+48%</w:t>
            </w:r>
          </w:p>
        </w:tc>
        <w:tc>
          <w:tcPr>
            <w:tcW w:type="dxa" w:w="2592"/>
          </w:tcPr>
          <w:p>
            <w:pPr/>
            <w:r>
              <w:rPr>
                <w:sz w:val="20"/>
              </w:rPr>
              <w:t>Max dose 100 mg; monitor</w:t>
            </w:r>
          </w:p>
        </w:tc>
      </w:tr>
      <w:tr>
        <w:tc>
          <w:tcPr>
            <w:tcW w:type="dxa" w:w="2304"/>
          </w:tcPr>
          <w:p>
            <w:pPr/>
            <w:r>
              <w:rPr>
                <w:sz w:val="20"/>
              </w:rPr>
              <w:t>Hepatic impairment (severe)</w:t>
            </w:r>
          </w:p>
        </w:tc>
        <w:tc>
          <w:tcPr>
            <w:tcW w:type="dxa" w:w="576"/>
          </w:tcPr>
          <w:p>
            <w:pPr/>
            <w:r>
              <w:rPr>
                <w:sz w:val="20"/>
              </w:rPr>
              <w:t>8</w:t>
            </w:r>
          </w:p>
        </w:tc>
        <w:tc>
          <w:tcPr>
            <w:tcW w:type="dxa" w:w="1296"/>
          </w:tcPr>
          <w:p>
            <w:pPr/>
            <w:r>
              <w:rPr>
                <w:sz w:val="20"/>
              </w:rPr>
              <w:t>+88%</w:t>
            </w:r>
          </w:p>
        </w:tc>
        <w:tc>
          <w:tcPr>
            <w:tcW w:type="dxa" w:w="1296"/>
          </w:tcPr>
          <w:p>
            <w:pPr/>
            <w:r>
              <w:rPr>
                <w:sz w:val="20"/>
              </w:rPr>
              <w:t>+145%</w:t>
            </w:r>
          </w:p>
        </w:tc>
        <w:tc>
          <w:tcPr>
            <w:tcW w:type="dxa" w:w="1296"/>
          </w:tcPr>
          <w:p>
            <w:pPr/>
            <w:r>
              <w:rPr>
                <w:sz w:val="20"/>
              </w:rPr>
              <w:t>+82%</w:t>
            </w:r>
          </w:p>
        </w:tc>
        <w:tc>
          <w:tcPr>
            <w:tcW w:type="dxa" w:w="2592"/>
          </w:tcPr>
          <w:p>
            <w:pPr/>
            <w:r>
              <w:rPr>
                <w:sz w:val="20"/>
              </w:rPr>
              <w:t>Contraindicated</w:t>
            </w:r>
          </w:p>
        </w:tc>
      </w:tr>
      <w:tr>
        <w:tc>
          <w:tcPr>
            <w:tcW w:type="dxa" w:w="2304"/>
          </w:tcPr>
          <w:p>
            <w:pPr/>
            <w:r>
              <w:rPr>
                <w:sz w:val="20"/>
              </w:rPr>
              <w:t>Renal impairment (eGFR 30–59)</w:t>
            </w:r>
          </w:p>
        </w:tc>
        <w:tc>
          <w:tcPr>
            <w:tcW w:type="dxa" w:w="576"/>
          </w:tcPr>
          <w:p>
            <w:pPr/>
            <w:r>
              <w:rPr>
                <w:sz w:val="20"/>
              </w:rPr>
              <w:t>14</w:t>
            </w:r>
          </w:p>
        </w:tc>
        <w:tc>
          <w:tcPr>
            <w:tcW w:type="dxa" w:w="1296"/>
          </w:tcPr>
          <w:p>
            <w:pPr/>
            <w:r>
              <w:rPr>
                <w:sz w:val="20"/>
              </w:rPr>
              <w:t>+8%</w:t>
            </w:r>
          </w:p>
        </w:tc>
        <w:tc>
          <w:tcPr>
            <w:tcW w:type="dxa" w:w="1296"/>
          </w:tcPr>
          <w:p>
            <w:pPr/>
            <w:r>
              <w:rPr>
                <w:sz w:val="20"/>
              </w:rPr>
              <w:t>+12%</w:t>
            </w:r>
          </w:p>
        </w:tc>
        <w:tc>
          <w:tcPr>
            <w:tcW w:type="dxa" w:w="1296"/>
          </w:tcPr>
          <w:p>
            <w:pPr/>
            <w:r>
              <w:rPr>
                <w:sz w:val="20"/>
              </w:rPr>
              <w:t>+6%</w:t>
            </w:r>
          </w:p>
        </w:tc>
        <w:tc>
          <w:tcPr>
            <w:tcW w:type="dxa" w:w="2592"/>
          </w:tcPr>
          <w:p>
            <w:pPr/>
            <w:r>
              <w:rPr>
                <w:sz w:val="20"/>
              </w:rPr>
              <w:t>No adjustment needed</w:t>
            </w:r>
          </w:p>
        </w:tc>
      </w:tr>
      <w:tr>
        <w:tc>
          <w:tcPr>
            <w:tcW w:type="dxa" w:w="2304"/>
          </w:tcPr>
          <w:p>
            <w:pPr/>
            <w:r>
              <w:rPr>
                <w:sz w:val="20"/>
              </w:rPr>
              <w:t>Renal impairment (eGFR 15–29)</w:t>
            </w:r>
          </w:p>
        </w:tc>
        <w:tc>
          <w:tcPr>
            <w:tcW w:type="dxa" w:w="576"/>
          </w:tcPr>
          <w:p>
            <w:pPr/>
            <w:r>
              <w:rPr>
                <w:sz w:val="20"/>
              </w:rPr>
              <w:t>10</w:t>
            </w:r>
          </w:p>
        </w:tc>
        <w:tc>
          <w:tcPr>
            <w:tcW w:type="dxa" w:w="1296"/>
          </w:tcPr>
          <w:p>
            <w:pPr/>
            <w:r>
              <w:rPr>
                <w:sz w:val="20"/>
              </w:rPr>
              <w:t>+18%</w:t>
            </w:r>
          </w:p>
        </w:tc>
        <w:tc>
          <w:tcPr>
            <w:tcW w:type="dxa" w:w="1296"/>
          </w:tcPr>
          <w:p>
            <w:pPr/>
            <w:r>
              <w:rPr>
                <w:sz w:val="20"/>
              </w:rPr>
              <w:t>+32%</w:t>
            </w:r>
          </w:p>
        </w:tc>
        <w:tc>
          <w:tcPr>
            <w:tcW w:type="dxa" w:w="1296"/>
          </w:tcPr>
          <w:p>
            <w:pPr/>
            <w:r>
              <w:rPr>
                <w:sz w:val="20"/>
              </w:rPr>
              <w:t>+14%</w:t>
            </w:r>
          </w:p>
        </w:tc>
        <w:tc>
          <w:tcPr>
            <w:tcW w:type="dxa" w:w="2592"/>
          </w:tcPr>
          <w:p>
            <w:pPr/>
            <w:r>
              <w:rPr>
                <w:sz w:val="20"/>
              </w:rPr>
              <w:t>Start at 50 mg</w:t>
            </w:r>
          </w:p>
        </w:tc>
      </w:tr>
      <w:tr>
        <w:tc>
          <w:tcPr>
            <w:tcW w:type="dxa" w:w="2304"/>
          </w:tcPr>
          <w:p>
            <w:pPr/>
            <w:r>
              <w:rPr>
                <w:sz w:val="20"/>
              </w:rPr>
              <w:t>Renal impairment (eGFR &lt;15)</w:t>
            </w:r>
          </w:p>
        </w:tc>
        <w:tc>
          <w:tcPr>
            <w:tcW w:type="dxa" w:w="576"/>
          </w:tcPr>
          <w:p>
            <w:pPr/>
            <w:r>
              <w:rPr>
                <w:sz w:val="20"/>
              </w:rPr>
              <w:t>6</w:t>
            </w:r>
          </w:p>
        </w:tc>
        <w:tc>
          <w:tcPr>
            <w:tcW w:type="dxa" w:w="1296"/>
          </w:tcPr>
          <w:p>
            <w:pPr/>
            <w:r>
              <w:rPr>
                <w:sz w:val="20"/>
              </w:rPr>
              <w:t>+38%</w:t>
            </w:r>
          </w:p>
        </w:tc>
        <w:tc>
          <w:tcPr>
            <w:tcW w:type="dxa" w:w="1296"/>
          </w:tcPr>
          <w:p>
            <w:pPr/>
            <w:r>
              <w:rPr>
                <w:sz w:val="20"/>
              </w:rPr>
              <w:t>+56%</w:t>
            </w:r>
          </w:p>
        </w:tc>
        <w:tc>
          <w:tcPr>
            <w:tcW w:type="dxa" w:w="1296"/>
          </w:tcPr>
          <w:p>
            <w:pPr/>
            <w:r>
              <w:rPr>
                <w:sz w:val="20"/>
              </w:rPr>
              <w:t>+28%</w:t>
            </w:r>
          </w:p>
        </w:tc>
        <w:tc>
          <w:tcPr>
            <w:tcW w:type="dxa" w:w="2592"/>
          </w:tcPr>
          <w:p>
            <w:pPr/>
            <w:r>
              <w:rPr>
                <w:sz w:val="20"/>
              </w:rPr>
              <w:t>Max dose 50 mg; monitor</w:t>
            </w:r>
          </w:p>
        </w:tc>
      </w:tr>
      <w:tr>
        <w:tc>
          <w:tcPr>
            <w:tcW w:type="dxa" w:w="2304"/>
          </w:tcPr>
          <w:p>
            <w:pPr/>
            <w:r>
              <w:rPr>
                <w:sz w:val="20"/>
              </w:rPr>
              <w:t>CYP2D6 poor metabolizers</w:t>
            </w:r>
          </w:p>
        </w:tc>
        <w:tc>
          <w:tcPr>
            <w:tcW w:type="dxa" w:w="576"/>
          </w:tcPr>
          <w:p>
            <w:pPr/>
            <w:r>
              <w:rPr>
                <w:sz w:val="20"/>
              </w:rPr>
              <w:t>8</w:t>
            </w:r>
          </w:p>
        </w:tc>
        <w:tc>
          <w:tcPr>
            <w:tcW w:type="dxa" w:w="1296"/>
          </w:tcPr>
          <w:p>
            <w:pPr/>
            <w:r>
              <w:rPr>
                <w:sz w:val="20"/>
              </w:rPr>
              <w:t>+32%</w:t>
            </w:r>
          </w:p>
        </w:tc>
        <w:tc>
          <w:tcPr>
            <w:tcW w:type="dxa" w:w="1296"/>
          </w:tcPr>
          <w:p>
            <w:pPr/>
            <w:r>
              <w:rPr>
                <w:sz w:val="20"/>
              </w:rPr>
              <w:t>+42%</w:t>
            </w:r>
          </w:p>
        </w:tc>
        <w:tc>
          <w:tcPr>
            <w:tcW w:type="dxa" w:w="1296"/>
          </w:tcPr>
          <w:p>
            <w:pPr/>
            <w:r>
              <w:rPr>
                <w:sz w:val="20"/>
              </w:rPr>
              <w:t>+22%</w:t>
            </w:r>
          </w:p>
        </w:tc>
        <w:tc>
          <w:tcPr>
            <w:tcW w:type="dxa" w:w="2592"/>
          </w:tcPr>
          <w:p>
            <w:pPr/>
            <w:r>
              <w:rPr>
                <w:sz w:val="20"/>
              </w:rPr>
              <w:t>No adjustment needed</w:t>
            </w:r>
          </w:p>
        </w:tc>
      </w:tr>
      <w:tr>
        <w:tc>
          <w:tcPr>
            <w:tcW w:type="dxa" w:w="2304"/>
          </w:tcPr>
          <w:p>
            <w:pPr/>
            <w:r>
              <w:rPr>
                <w:sz w:val="20"/>
              </w:rPr>
              <w:t>Pediatric (12–17 years)</w:t>
            </w:r>
          </w:p>
        </w:tc>
        <w:tc>
          <w:tcPr>
            <w:tcW w:type="dxa" w:w="576"/>
          </w:tcPr>
          <w:p>
            <w:pPr/>
            <w:r>
              <w:rPr>
                <w:sz w:val="20"/>
              </w:rPr>
              <w:t>16</w:t>
            </w:r>
          </w:p>
        </w:tc>
        <w:tc>
          <w:tcPr>
            <w:tcW w:type="dxa" w:w="1296"/>
          </w:tcPr>
          <w:p>
            <w:pPr/>
            <w:r>
              <w:rPr>
                <w:sz w:val="20"/>
              </w:rPr>
              <w:t>−8%</w:t>
            </w:r>
          </w:p>
        </w:tc>
        <w:tc>
          <w:tcPr>
            <w:tcW w:type="dxa" w:w="1296"/>
          </w:tcPr>
          <w:p>
            <w:pPr/>
            <w:r>
              <w:rPr>
                <w:sz w:val="20"/>
              </w:rPr>
              <w:t>−5%</w:t>
            </w:r>
          </w:p>
        </w:tc>
        <w:tc>
          <w:tcPr>
            <w:tcW w:type="dxa" w:w="1296"/>
          </w:tcPr>
          <w:p>
            <w:pPr/>
            <w:r>
              <w:rPr>
                <w:sz w:val="20"/>
              </w:rPr>
              <w:t>−12%</w:t>
            </w:r>
          </w:p>
        </w:tc>
        <w:tc>
          <w:tcPr>
            <w:tcW w:type="dxa" w:w="2592"/>
          </w:tcPr>
          <w:p>
            <w:pPr/>
            <w:r>
              <w:rPr>
                <w:sz w:val="20"/>
              </w:rPr>
              <w:t>Not recommended &lt;18 years</w:t>
            </w:r>
          </w:p>
        </w:tc>
      </w:tr>
    </w:tbl>
    <w:p/>
    <w:p>
      <w:r>
        <w:br w:type="page"/>
      </w:r>
    </w:p>
    <w:p>
      <w:pPr>
        <w:pStyle w:val="Heading1"/>
      </w:pPr>
      <w:r>
        <w:t>9. Clinical Indications and Usage</w:t>
      </w:r>
    </w:p>
    <w:p>
      <w:pPr>
        <w:pStyle w:val="Heading2"/>
      </w:pPr>
      <w:r>
        <w:t>9.1 Approved Indications</w:t>
      </w:r>
    </w:p>
    <w:p>
      <w:pPr>
        <w:pStyle w:val="Heading3"/>
      </w:pPr>
      <w:r>
        <w:t>Hypertension</w:t>
      </w:r>
    </w:p>
    <w:p>
      <w:r>
        <w:t>Cardivex® is indicated for the treatment of hypertension in adults, to lower blood pressure. Lowering blood pressure reduces the risk of fatal and non-fatal cardiovascular events, primarily stroke and myocardial infarction. It may be used alone or in combination with other antihypertensive agents.</w:t>
      </w:r>
    </w:p>
    <w:p>
      <w:pPr>
        <w:pStyle w:val="Heading3"/>
      </w:pPr>
      <w:r>
        <w:t>Chronic Heart Failure</w:t>
      </w:r>
    </w:p>
    <w:p>
      <w:r>
        <w:t>Cardivex® is indicated for the treatment of stable, symptomatic (NYHA Class II–IV) chronic heart failure with reduced ejection fraction (HFrEF, LVEF ≤40%) to reduce the risk of cardiovascular death and hospitalization for heart failure, as an adjunct to standard heart failure therapy (ACE inhibitors/ARBs, diuretics, and optionally digitalis).</w:t>
      </w:r>
    </w:p>
    <w:p>
      <w:pPr>
        <w:pStyle w:val="Heading3"/>
      </w:pPr>
      <w:r>
        <w:t>Stable Angina Pectoris</w:t>
      </w:r>
    </w:p>
    <w:p>
      <w:r>
        <w:t>Cardivex® is indicated for the long-term management of patients with chronic stable angina pectoris to reduce angina frequency, improve exercise tolerance, and decrease the need for sublingual nitroglycerin.</w:t>
      </w:r>
    </w:p>
    <w:p>
      <w:pPr>
        <w:pStyle w:val="Heading2"/>
      </w:pPr>
      <w:r>
        <w:t>9.2 Limitations of Use</w:t>
      </w:r>
    </w:p>
    <w:p>
      <w:pPr>
        <w:pStyle w:val="ListBullet"/>
      </w:pPr>
      <w:r>
        <w:t>Cardivex® has not been studied in patients with acute decompensated heart failure requiring intravenous inotropic therapy.</w:t>
      </w:r>
    </w:p>
    <w:p>
      <w:pPr>
        <w:pStyle w:val="ListBullet"/>
      </w:pPr>
      <w:r>
        <w:t>Efficacy has not been established in hypertensive emergencies.</w:t>
      </w:r>
    </w:p>
    <w:p>
      <w:pPr>
        <w:pStyle w:val="ListBullet"/>
      </w:pPr>
      <w:r>
        <w:t>Not indicated for the treatment of supraventricular arrhythmias as monotherapy.</w:t>
      </w:r>
    </w:p>
    <w:p>
      <w:pPr>
        <w:pStyle w:val="ListBullet"/>
      </w:pPr>
      <w:r>
        <w:t>Cardivex® should not be used as a first-line agent for rate control in atrial fibrillation.</w:t>
      </w:r>
    </w:p>
    <w:p>
      <w:r>
        <w:br w:type="page"/>
      </w:r>
    </w:p>
    <w:p>
      <w:pPr>
        <w:pStyle w:val="Heading1"/>
      </w:pPr>
      <w:r>
        <w:t>10. Dosage and Administration</w:t>
      </w:r>
    </w:p>
    <w:p>
      <w:pPr>
        <w:pStyle w:val="Heading2"/>
      </w:pPr>
      <w:r>
        <w:t>10.1 Recommended Dosing</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Pr>
                <w:b/>
                <w:color w:val="FFFFFF"/>
                <w:sz w:val="20"/>
              </w:rPr>
              <w:t>Indication</w:t>
            </w:r>
          </w:p>
        </w:tc>
        <w:tc>
          <w:tcPr>
            <w:tcW w:type="dxa" w:w="1584"/>
            <w:shd w:fill="003366"/>
          </w:tcPr>
          <w:p>
            <w:pPr>
              <w:jc w:val="center"/>
            </w:pPr>
            <w:r>
              <w:rPr>
                <w:b/>
                <w:color w:val="FFFFFF"/>
                <w:sz w:val="20"/>
              </w:rPr>
              <w:t>Starting Dose</w:t>
            </w:r>
          </w:p>
        </w:tc>
        <w:tc>
          <w:tcPr>
            <w:tcW w:type="dxa" w:w="2016"/>
            <w:shd w:fill="003366"/>
          </w:tcPr>
          <w:p>
            <w:pPr>
              <w:jc w:val="center"/>
            </w:pPr>
            <w:r>
              <w:rPr>
                <w:b/>
                <w:color w:val="FFFFFF"/>
                <w:sz w:val="20"/>
              </w:rPr>
              <w:t>Titration</w:t>
            </w:r>
          </w:p>
        </w:tc>
        <w:tc>
          <w:tcPr>
            <w:tcW w:type="dxa" w:w="1872"/>
            <w:shd w:fill="003366"/>
          </w:tcPr>
          <w:p>
            <w:pPr>
              <w:jc w:val="center"/>
            </w:pPr>
            <w:r>
              <w:rPr>
                <w:b/>
                <w:color w:val="FFFFFF"/>
                <w:sz w:val="20"/>
              </w:rPr>
              <w:t>Target Dose</w:t>
            </w:r>
          </w:p>
        </w:tc>
        <w:tc>
          <w:tcPr>
            <w:tcW w:type="dxa" w:w="1728"/>
            <w:shd w:fill="003366"/>
          </w:tcPr>
          <w:p>
            <w:pPr>
              <w:jc w:val="center"/>
            </w:pPr>
            <w:r>
              <w:rPr>
                <w:b/>
                <w:color w:val="FFFFFF"/>
                <w:sz w:val="20"/>
              </w:rPr>
              <w:t>Maximum Dose</w:t>
            </w:r>
          </w:p>
        </w:tc>
      </w:tr>
      <w:tr>
        <w:tc>
          <w:tcPr>
            <w:tcW w:type="dxa" w:w="1872"/>
          </w:tcPr>
          <w:p>
            <w:pPr/>
            <w:r>
              <w:rPr>
                <w:sz w:val="20"/>
              </w:rPr>
              <w:t>Hypertension</w:t>
            </w:r>
          </w:p>
        </w:tc>
        <w:tc>
          <w:tcPr>
            <w:tcW w:type="dxa" w:w="1584"/>
          </w:tcPr>
          <w:p>
            <w:pPr/>
            <w:r>
              <w:rPr>
                <w:sz w:val="20"/>
              </w:rPr>
              <w:t>50 mg once daily</w:t>
            </w:r>
          </w:p>
        </w:tc>
        <w:tc>
          <w:tcPr>
            <w:tcW w:type="dxa" w:w="2016"/>
          </w:tcPr>
          <w:p>
            <w:pPr/>
            <w:r>
              <w:rPr>
                <w:sz w:val="20"/>
              </w:rPr>
              <w:t>Double at 2-week intervals</w:t>
            </w:r>
          </w:p>
        </w:tc>
        <w:tc>
          <w:tcPr>
            <w:tcW w:type="dxa" w:w="1872"/>
          </w:tcPr>
          <w:p>
            <w:pPr/>
            <w:r>
              <w:rPr>
                <w:sz w:val="20"/>
              </w:rPr>
              <w:t>100 mg once daily</w:t>
            </w:r>
          </w:p>
        </w:tc>
        <w:tc>
          <w:tcPr>
            <w:tcW w:type="dxa" w:w="1728"/>
          </w:tcPr>
          <w:p>
            <w:pPr/>
            <w:r>
              <w:rPr>
                <w:sz w:val="20"/>
              </w:rPr>
              <w:t>200 mg once daily</w:t>
            </w:r>
          </w:p>
        </w:tc>
      </w:tr>
      <w:tr>
        <w:tc>
          <w:tcPr>
            <w:tcW w:type="dxa" w:w="1872"/>
          </w:tcPr>
          <w:p>
            <w:pPr/>
            <w:r>
              <w:rPr>
                <w:sz w:val="20"/>
              </w:rPr>
              <w:t>Heart Failure (NYHA II)</w:t>
            </w:r>
          </w:p>
        </w:tc>
        <w:tc>
          <w:tcPr>
            <w:tcW w:type="dxa" w:w="1584"/>
          </w:tcPr>
          <w:p>
            <w:pPr/>
            <w:r>
              <w:rPr>
                <w:sz w:val="20"/>
              </w:rPr>
              <w:t>25 mg once daily*</w:t>
            </w:r>
          </w:p>
        </w:tc>
        <w:tc>
          <w:tcPr>
            <w:tcW w:type="dxa" w:w="2016"/>
          </w:tcPr>
          <w:p>
            <w:pPr/>
            <w:r>
              <w:rPr>
                <w:sz w:val="20"/>
              </w:rPr>
              <w:t>Double every 2 weeks as tolerated</w:t>
            </w:r>
          </w:p>
        </w:tc>
        <w:tc>
          <w:tcPr>
            <w:tcW w:type="dxa" w:w="1872"/>
          </w:tcPr>
          <w:p>
            <w:pPr/>
            <w:r>
              <w:rPr>
                <w:sz w:val="20"/>
              </w:rPr>
              <w:t>100 mg once daily</w:t>
            </w:r>
          </w:p>
        </w:tc>
        <w:tc>
          <w:tcPr>
            <w:tcW w:type="dxa" w:w="1728"/>
          </w:tcPr>
          <w:p>
            <w:pPr/>
            <w:r>
              <w:rPr>
                <w:sz w:val="20"/>
              </w:rPr>
              <w:t>200 mg once daily</w:t>
            </w:r>
          </w:p>
        </w:tc>
      </w:tr>
      <w:tr>
        <w:tc>
          <w:tcPr>
            <w:tcW w:type="dxa" w:w="1872"/>
          </w:tcPr>
          <w:p>
            <w:pPr/>
            <w:r>
              <w:rPr>
                <w:sz w:val="20"/>
              </w:rPr>
              <w:t>Heart Failure (NYHA III–IV)</w:t>
            </w:r>
          </w:p>
        </w:tc>
        <w:tc>
          <w:tcPr>
            <w:tcW w:type="dxa" w:w="1584"/>
          </w:tcPr>
          <w:p>
            <w:pPr/>
            <w:r>
              <w:rPr>
                <w:sz w:val="20"/>
              </w:rPr>
              <w:t>12.5 mg once daily*</w:t>
            </w:r>
          </w:p>
        </w:tc>
        <w:tc>
          <w:tcPr>
            <w:tcW w:type="dxa" w:w="2016"/>
          </w:tcPr>
          <w:p>
            <w:pPr/>
            <w:r>
              <w:rPr>
                <w:sz w:val="20"/>
              </w:rPr>
              <w:t>Double every 2 weeks as tolerated</w:t>
            </w:r>
          </w:p>
        </w:tc>
        <w:tc>
          <w:tcPr>
            <w:tcW w:type="dxa" w:w="1872"/>
          </w:tcPr>
          <w:p>
            <w:pPr/>
            <w:r>
              <w:rPr>
                <w:sz w:val="20"/>
              </w:rPr>
              <w:t>100 mg once daily</w:t>
            </w:r>
          </w:p>
        </w:tc>
        <w:tc>
          <w:tcPr>
            <w:tcW w:type="dxa" w:w="1728"/>
          </w:tcPr>
          <w:p>
            <w:pPr/>
            <w:r>
              <w:rPr>
                <w:sz w:val="20"/>
              </w:rPr>
              <w:t>200 mg once daily</w:t>
            </w:r>
          </w:p>
        </w:tc>
      </w:tr>
      <w:tr>
        <w:tc>
          <w:tcPr>
            <w:tcW w:type="dxa" w:w="1872"/>
          </w:tcPr>
          <w:p>
            <w:pPr/>
            <w:r>
              <w:rPr>
                <w:sz w:val="20"/>
              </w:rPr>
              <w:t>Stable Angina</w:t>
            </w:r>
          </w:p>
        </w:tc>
        <w:tc>
          <w:tcPr>
            <w:tcW w:type="dxa" w:w="1584"/>
          </w:tcPr>
          <w:p>
            <w:pPr/>
            <w:r>
              <w:rPr>
                <w:sz w:val="20"/>
              </w:rPr>
              <w:t>50 mg once daily</w:t>
            </w:r>
          </w:p>
        </w:tc>
        <w:tc>
          <w:tcPr>
            <w:tcW w:type="dxa" w:w="2016"/>
          </w:tcPr>
          <w:p>
            <w:pPr/>
            <w:r>
              <w:rPr>
                <w:sz w:val="20"/>
              </w:rPr>
              <w:t>Increase at 1-week intervals</w:t>
            </w:r>
          </w:p>
        </w:tc>
        <w:tc>
          <w:tcPr>
            <w:tcW w:type="dxa" w:w="1872"/>
          </w:tcPr>
          <w:p>
            <w:pPr/>
            <w:r>
              <w:rPr>
                <w:sz w:val="20"/>
              </w:rPr>
              <w:t>100–200 mg once daily</w:t>
            </w:r>
          </w:p>
        </w:tc>
        <w:tc>
          <w:tcPr>
            <w:tcW w:type="dxa" w:w="1728"/>
          </w:tcPr>
          <w:p>
            <w:pPr/>
            <w:r>
              <w:rPr>
                <w:sz w:val="20"/>
              </w:rPr>
              <w:t>200 mg once daily</w:t>
            </w:r>
          </w:p>
        </w:tc>
      </w:tr>
    </w:tbl>
    <w:p/>
    <w:p>
      <w:r>
        <w:t>*Half a 50 mg tablet; scored tablet allows accurate dose splitting.</w:t>
      </w:r>
    </w:p>
    <w:p>
      <w:pPr>
        <w:pStyle w:val="Heading2"/>
      </w:pPr>
      <w:r>
        <w:t>10.2 Administration Instructions</w:t>
      </w:r>
    </w:p>
    <w:p>
      <w:pPr>
        <w:pStyle w:val="ListBullet"/>
      </w:pPr>
      <w:r>
        <w:t>Tablets should be swallowed whole with water; do not crush, chew, or split (except for heart failure initiation with scored 50 mg tablets).</w:t>
      </w:r>
    </w:p>
    <w:p>
      <w:pPr>
        <w:pStyle w:val="ListBullet"/>
      </w:pPr>
      <w:r>
        <w:t>Administer at approximately the same time each day, preferably in the morning.</w:t>
      </w:r>
    </w:p>
    <w:p>
      <w:pPr>
        <w:pStyle w:val="ListBullet"/>
      </w:pPr>
      <w:r>
        <w:t>May be taken with or without food.</w:t>
      </w:r>
    </w:p>
    <w:p>
      <w:pPr>
        <w:pStyle w:val="ListBullet"/>
      </w:pPr>
      <w:r>
        <w:t>If a dose is missed, take it as soon as remembered unless the next dose is due within 8 hours.</w:t>
      </w:r>
    </w:p>
    <w:p>
      <w:pPr>
        <w:pStyle w:val="ListBullet"/>
      </w:pPr>
      <w:r>
        <w:t>Do not abruptly discontinue Cardivex®; taper dose over 1–2 weeks to avoid rebound tachycardia and hypertension.</w:t>
      </w:r>
    </w:p>
    <w:p>
      <w:pPr>
        <w:pStyle w:val="Heading2"/>
      </w:pPr>
      <w:r>
        <w:t>10.3 Dose Adjustments for Special Populations</w:t>
      </w:r>
    </w:p>
    <w:tbl>
      <w:tblPr>
        <w:tblStyle w:val="LightGrid-Accent1"/>
        <w:tblW w:type="auto" w:w="0"/>
        <w:jc w:val="center"/>
        <w:tblLook w:firstColumn="1" w:firstRow="1" w:lastColumn="0" w:lastRow="0" w:noHBand="0" w:noVBand="1" w:val="04A0"/>
      </w:tblPr>
      <w:tblGrid>
        <w:gridCol w:w="4680"/>
        <w:gridCol w:w="4680"/>
      </w:tblGrid>
      <w:tr>
        <w:tc>
          <w:tcPr>
            <w:tcW w:type="dxa" w:w="3600"/>
            <w:shd w:fill="003366"/>
          </w:tcPr>
          <w:p>
            <w:pPr>
              <w:jc w:val="center"/>
            </w:pPr>
            <w:r>
              <w:rPr>
                <w:b/>
                <w:color w:val="FFFFFF"/>
                <w:sz w:val="20"/>
              </w:rPr>
              <w:t>Population</w:t>
            </w:r>
          </w:p>
        </w:tc>
        <w:tc>
          <w:tcPr>
            <w:tcW w:type="dxa" w:w="5760"/>
            <w:shd w:fill="003366"/>
          </w:tcPr>
          <w:p>
            <w:pPr>
              <w:jc w:val="center"/>
            </w:pPr>
            <w:r>
              <w:rPr>
                <w:b/>
                <w:color w:val="FFFFFF"/>
                <w:sz w:val="20"/>
              </w:rPr>
              <w:t>Recommendation</w:t>
            </w:r>
          </w:p>
        </w:tc>
      </w:tr>
      <w:tr>
        <w:tc>
          <w:tcPr>
            <w:tcW w:type="dxa" w:w="3600"/>
          </w:tcPr>
          <w:p>
            <w:pPr/>
            <w:r>
              <w:rPr>
                <w:sz w:val="20"/>
              </w:rPr>
              <w:t>Elderly (≥65 years)</w:t>
            </w:r>
          </w:p>
        </w:tc>
        <w:tc>
          <w:tcPr>
            <w:tcW w:type="dxa" w:w="5760"/>
          </w:tcPr>
          <w:p>
            <w:pPr/>
            <w:r>
              <w:rPr>
                <w:sz w:val="20"/>
              </w:rPr>
              <w:t>Initiate at 50 mg; titrate conservatively based on heart rate and blood pressure response</w:t>
            </w:r>
          </w:p>
        </w:tc>
      </w:tr>
      <w:tr>
        <w:tc>
          <w:tcPr>
            <w:tcW w:type="dxa" w:w="3600"/>
          </w:tcPr>
          <w:p>
            <w:pPr/>
            <w:r>
              <w:rPr>
                <w:sz w:val="20"/>
              </w:rPr>
              <w:t>Moderate hepatic impairment (Child-Pugh B)</w:t>
            </w:r>
          </w:p>
        </w:tc>
        <w:tc>
          <w:tcPr>
            <w:tcW w:type="dxa" w:w="5760"/>
          </w:tcPr>
          <w:p>
            <w:pPr/>
            <w:r>
              <w:rPr>
                <w:sz w:val="20"/>
              </w:rPr>
              <w:t>Maximum dose 100 mg daily; monitor LFTs monthly for first 3 months</w:t>
            </w:r>
          </w:p>
        </w:tc>
      </w:tr>
      <w:tr>
        <w:tc>
          <w:tcPr>
            <w:tcW w:type="dxa" w:w="3600"/>
          </w:tcPr>
          <w:p>
            <w:pPr/>
            <w:r>
              <w:rPr>
                <w:sz w:val="20"/>
              </w:rPr>
              <w:t>Severe hepatic impairment (Child-Pugh C)</w:t>
            </w:r>
          </w:p>
        </w:tc>
        <w:tc>
          <w:tcPr>
            <w:tcW w:type="dxa" w:w="5760"/>
          </w:tcPr>
          <w:p>
            <w:pPr/>
            <w:r>
              <w:rPr>
                <w:sz w:val="20"/>
              </w:rPr>
              <w:t>Contraindicated</w:t>
            </w:r>
          </w:p>
        </w:tc>
      </w:tr>
      <w:tr>
        <w:tc>
          <w:tcPr>
            <w:tcW w:type="dxa" w:w="3600"/>
          </w:tcPr>
          <w:p>
            <w:pPr/>
            <w:r>
              <w:rPr>
                <w:sz w:val="20"/>
              </w:rPr>
              <w:t>Severe renal impairment (eGFR &lt;30 mL/min)</w:t>
            </w:r>
          </w:p>
        </w:tc>
        <w:tc>
          <w:tcPr>
            <w:tcW w:type="dxa" w:w="5760"/>
          </w:tcPr>
          <w:p>
            <w:pPr/>
            <w:r>
              <w:rPr>
                <w:sz w:val="20"/>
              </w:rPr>
              <w:t>Initiate at 50 mg; maximum dose 100 mg daily</w:t>
            </w:r>
          </w:p>
        </w:tc>
      </w:tr>
      <w:tr>
        <w:tc>
          <w:tcPr>
            <w:tcW w:type="dxa" w:w="3600"/>
          </w:tcPr>
          <w:p>
            <w:pPr/>
            <w:r>
              <w:rPr>
                <w:sz w:val="20"/>
              </w:rPr>
              <w:t>End-stage renal disease (dialysis)</w:t>
            </w:r>
          </w:p>
        </w:tc>
        <w:tc>
          <w:tcPr>
            <w:tcW w:type="dxa" w:w="5760"/>
          </w:tcPr>
          <w:p>
            <w:pPr/>
            <w:r>
              <w:rPr>
                <w:sz w:val="20"/>
              </w:rPr>
              <w:t>50 mg daily; administer post-dialysis on dialysis days</w:t>
            </w:r>
          </w:p>
        </w:tc>
      </w:tr>
      <w:tr>
        <w:tc>
          <w:tcPr>
            <w:tcW w:type="dxa" w:w="3600"/>
          </w:tcPr>
          <w:p>
            <w:pPr/>
            <w:r>
              <w:rPr>
                <w:sz w:val="20"/>
              </w:rPr>
              <w:t>CYP2D6 poor metabolizers</w:t>
            </w:r>
          </w:p>
        </w:tc>
        <w:tc>
          <w:tcPr>
            <w:tcW w:type="dxa" w:w="5760"/>
          </w:tcPr>
          <w:p>
            <w:pPr/>
            <w:r>
              <w:rPr>
                <w:sz w:val="20"/>
              </w:rPr>
              <w:t>No dose adjustment required</w:t>
            </w:r>
          </w:p>
        </w:tc>
      </w:tr>
      <w:tr>
        <w:tc>
          <w:tcPr>
            <w:tcW w:type="dxa" w:w="3600"/>
          </w:tcPr>
          <w:p>
            <w:pPr/>
            <w:r>
              <w:rPr>
                <w:sz w:val="20"/>
              </w:rPr>
              <w:t>Concomitant strong CYP2D6 inhibitors</w:t>
            </w:r>
          </w:p>
        </w:tc>
        <w:tc>
          <w:tcPr>
            <w:tcW w:type="dxa" w:w="5760"/>
          </w:tcPr>
          <w:p>
            <w:pPr/>
            <w:r>
              <w:rPr>
                <w:sz w:val="20"/>
              </w:rPr>
              <w:t>Consider reducing dose by 50%; monitor heart rate</w:t>
            </w:r>
          </w:p>
        </w:tc>
      </w:tr>
    </w:tbl>
    <w:p/>
    <w:p>
      <w:r>
        <w:br w:type="page"/>
      </w:r>
    </w:p>
    <w:p>
      <w:pPr>
        <w:pStyle w:val="Heading1"/>
      </w:pPr>
      <w:r>
        <w:t>11. Clinical Trials — Phase I Studies</w:t>
      </w:r>
    </w:p>
    <w:p>
      <w:pPr>
        <w:pStyle w:val="Heading2"/>
      </w:pPr>
      <w:r>
        <w:t>11.1 Single Ascending Dose (SAD) Study — CV-101</w:t>
      </w:r>
    </w:p>
    <w:p>
      <w:r>
        <w:t>Study CV-101 was a randomized, double-blind, placebo-controlled, single ascending dose study conducted in 56 healthy male and female volunteers aged 18–45 years at two clinical pharmacology units in the United States. Seven dose cohorts (10, 25, 50, 100, 200, 400, and 600 mg) were evaluated with 6 active and 2 placebo subjects per cohort.</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fill="003366"/>
          </w:tcPr>
          <w:p>
            <w:pPr>
              <w:jc w:val="center"/>
            </w:pPr>
            <w:r>
              <w:rPr>
                <w:b/>
                <w:color w:val="FFFFFF"/>
                <w:sz w:val="20"/>
              </w:rPr>
              <w:t>Cohort</w:t>
            </w:r>
          </w:p>
        </w:tc>
        <w:tc>
          <w:tcPr>
            <w:tcW w:type="dxa" w:w="1008"/>
            <w:shd w:fill="003366"/>
          </w:tcPr>
          <w:p>
            <w:pPr>
              <w:jc w:val="center"/>
            </w:pPr>
            <w:r>
              <w:rPr>
                <w:b/>
                <w:color w:val="FFFFFF"/>
                <w:sz w:val="20"/>
              </w:rPr>
              <w:t>Dose (mg)</w:t>
            </w:r>
          </w:p>
        </w:tc>
        <w:tc>
          <w:tcPr>
            <w:tcW w:type="dxa" w:w="1440"/>
            <w:shd w:fill="003366"/>
          </w:tcPr>
          <w:p>
            <w:pPr>
              <w:jc w:val="center"/>
            </w:pPr>
            <w:r>
              <w:rPr>
                <w:b/>
                <w:color w:val="FFFFFF"/>
                <w:sz w:val="20"/>
              </w:rPr>
              <w:t>N (Active/Placebo)</w:t>
            </w:r>
          </w:p>
        </w:tc>
        <w:tc>
          <w:tcPr>
            <w:tcW w:type="dxa" w:w="1440"/>
            <w:shd w:fill="003366"/>
          </w:tcPr>
          <w:p>
            <w:pPr>
              <w:jc w:val="center"/>
            </w:pPr>
            <w:r>
              <w:rPr>
                <w:b/>
                <w:color w:val="FFFFFF"/>
                <w:sz w:val="20"/>
              </w:rPr>
              <w:t>Cmax (ng/mL)</w:t>
            </w:r>
          </w:p>
        </w:tc>
        <w:tc>
          <w:tcPr>
            <w:tcW w:type="dxa" w:w="1872"/>
            <w:shd w:fill="003366"/>
          </w:tcPr>
          <w:p>
            <w:pPr>
              <w:jc w:val="center"/>
            </w:pPr>
            <w:r>
              <w:rPr>
                <w:b/>
                <w:color w:val="FFFFFF"/>
                <w:sz w:val="20"/>
              </w:rPr>
              <w:t>AUC₀₋∞ (ng·h/mL)</w:t>
            </w:r>
          </w:p>
        </w:tc>
        <w:tc>
          <w:tcPr>
            <w:tcW w:type="dxa" w:w="1008"/>
            <w:shd w:fill="003366"/>
          </w:tcPr>
          <w:p>
            <w:pPr>
              <w:jc w:val="center"/>
            </w:pPr>
            <w:r>
              <w:rPr>
                <w:b/>
                <w:color w:val="FFFFFF"/>
                <w:sz w:val="20"/>
              </w:rPr>
              <w:t>t½ (h)</w:t>
            </w:r>
          </w:p>
        </w:tc>
        <w:tc>
          <w:tcPr>
            <w:tcW w:type="dxa" w:w="1728"/>
            <w:shd w:fill="003366"/>
          </w:tcPr>
          <w:p>
            <w:pPr>
              <w:jc w:val="center"/>
            </w:pPr>
            <w:r>
              <w:rPr>
                <w:b/>
                <w:color w:val="FFFFFF"/>
                <w:sz w:val="20"/>
              </w:rPr>
              <w:t>DLTs</w:t>
            </w:r>
          </w:p>
        </w:tc>
      </w:tr>
      <w:tr>
        <w:tc>
          <w:tcPr>
            <w:tcW w:type="dxa" w:w="864"/>
          </w:tcPr>
          <w:p>
            <w:pPr/>
            <w:r>
              <w:rPr>
                <w:sz w:val="20"/>
              </w:rPr>
              <w:t>1</w:t>
            </w:r>
          </w:p>
        </w:tc>
        <w:tc>
          <w:tcPr>
            <w:tcW w:type="dxa" w:w="1008"/>
          </w:tcPr>
          <w:p>
            <w:pPr/>
            <w:r>
              <w:rPr>
                <w:sz w:val="20"/>
              </w:rPr>
              <w:t>10</w:t>
            </w:r>
          </w:p>
        </w:tc>
        <w:tc>
          <w:tcPr>
            <w:tcW w:type="dxa" w:w="1440"/>
          </w:tcPr>
          <w:p>
            <w:pPr/>
            <w:r>
              <w:rPr>
                <w:sz w:val="20"/>
              </w:rPr>
              <w:t>6/2</w:t>
            </w:r>
          </w:p>
        </w:tc>
        <w:tc>
          <w:tcPr>
            <w:tcW w:type="dxa" w:w="1440"/>
          </w:tcPr>
          <w:p>
            <w:pPr/>
            <w:r>
              <w:rPr>
                <w:sz w:val="20"/>
              </w:rPr>
              <w:t>4.8 ± 1.2</w:t>
            </w:r>
          </w:p>
        </w:tc>
        <w:tc>
          <w:tcPr>
            <w:tcW w:type="dxa" w:w="1872"/>
          </w:tcPr>
          <w:p>
            <w:pPr/>
            <w:r>
              <w:rPr>
                <w:sz w:val="20"/>
              </w:rPr>
              <w:t>52 ± 14</w:t>
            </w:r>
          </w:p>
        </w:tc>
        <w:tc>
          <w:tcPr>
            <w:tcW w:type="dxa" w:w="1008"/>
          </w:tcPr>
          <w:p>
            <w:pPr/>
            <w:r>
              <w:rPr>
                <w:sz w:val="20"/>
              </w:rPr>
              <w:t>12.1 ± 2.0</w:t>
            </w:r>
          </w:p>
        </w:tc>
        <w:tc>
          <w:tcPr>
            <w:tcW w:type="dxa" w:w="1728"/>
          </w:tcPr>
          <w:p>
            <w:pPr/>
            <w:r>
              <w:rPr>
                <w:sz w:val="20"/>
              </w:rPr>
              <w:t>None</w:t>
            </w:r>
          </w:p>
        </w:tc>
      </w:tr>
      <w:tr>
        <w:tc>
          <w:tcPr>
            <w:tcW w:type="dxa" w:w="864"/>
          </w:tcPr>
          <w:p>
            <w:pPr/>
            <w:r>
              <w:rPr>
                <w:sz w:val="20"/>
              </w:rPr>
              <w:t>2</w:t>
            </w:r>
          </w:p>
        </w:tc>
        <w:tc>
          <w:tcPr>
            <w:tcW w:type="dxa" w:w="1008"/>
          </w:tcPr>
          <w:p>
            <w:pPr/>
            <w:r>
              <w:rPr>
                <w:sz w:val="20"/>
              </w:rPr>
              <w:t>25</w:t>
            </w:r>
          </w:p>
        </w:tc>
        <w:tc>
          <w:tcPr>
            <w:tcW w:type="dxa" w:w="1440"/>
          </w:tcPr>
          <w:p>
            <w:pPr/>
            <w:r>
              <w:rPr>
                <w:sz w:val="20"/>
              </w:rPr>
              <w:t>6/2</w:t>
            </w:r>
          </w:p>
        </w:tc>
        <w:tc>
          <w:tcPr>
            <w:tcW w:type="dxa" w:w="1440"/>
          </w:tcPr>
          <w:p>
            <w:pPr/>
            <w:r>
              <w:rPr>
                <w:sz w:val="20"/>
              </w:rPr>
              <w:t>12.4 ± 2.8</w:t>
            </w:r>
          </w:p>
        </w:tc>
        <w:tc>
          <w:tcPr>
            <w:tcW w:type="dxa" w:w="1872"/>
          </w:tcPr>
          <w:p>
            <w:pPr/>
            <w:r>
              <w:rPr>
                <w:sz w:val="20"/>
              </w:rPr>
              <w:t>138 ± 28</w:t>
            </w:r>
          </w:p>
        </w:tc>
        <w:tc>
          <w:tcPr>
            <w:tcW w:type="dxa" w:w="1008"/>
          </w:tcPr>
          <w:p>
            <w:pPr/>
            <w:r>
              <w:rPr>
                <w:sz w:val="20"/>
              </w:rPr>
              <w:t>12.8 ± 1.8</w:t>
            </w:r>
          </w:p>
        </w:tc>
        <w:tc>
          <w:tcPr>
            <w:tcW w:type="dxa" w:w="1728"/>
          </w:tcPr>
          <w:p>
            <w:pPr/>
            <w:r>
              <w:rPr>
                <w:sz w:val="20"/>
              </w:rPr>
              <w:t>None</w:t>
            </w:r>
          </w:p>
        </w:tc>
      </w:tr>
      <w:tr>
        <w:tc>
          <w:tcPr>
            <w:tcW w:type="dxa" w:w="864"/>
          </w:tcPr>
          <w:p>
            <w:pPr/>
            <w:r>
              <w:rPr>
                <w:sz w:val="20"/>
              </w:rPr>
              <w:t>3</w:t>
            </w:r>
          </w:p>
        </w:tc>
        <w:tc>
          <w:tcPr>
            <w:tcW w:type="dxa" w:w="1008"/>
          </w:tcPr>
          <w:p>
            <w:pPr/>
            <w:r>
              <w:rPr>
                <w:sz w:val="20"/>
              </w:rPr>
              <w:t>50</w:t>
            </w:r>
          </w:p>
        </w:tc>
        <w:tc>
          <w:tcPr>
            <w:tcW w:type="dxa" w:w="1440"/>
          </w:tcPr>
          <w:p>
            <w:pPr/>
            <w:r>
              <w:rPr>
                <w:sz w:val="20"/>
              </w:rPr>
              <w:t>6/2</w:t>
            </w:r>
          </w:p>
        </w:tc>
        <w:tc>
          <w:tcPr>
            <w:tcW w:type="dxa" w:w="1440"/>
          </w:tcPr>
          <w:p>
            <w:pPr/>
            <w:r>
              <w:rPr>
                <w:sz w:val="20"/>
              </w:rPr>
              <w:t>42.6 ± 8.4</w:t>
            </w:r>
          </w:p>
        </w:tc>
        <w:tc>
          <w:tcPr>
            <w:tcW w:type="dxa" w:w="1872"/>
          </w:tcPr>
          <w:p>
            <w:pPr/>
            <w:r>
              <w:rPr>
                <w:sz w:val="20"/>
              </w:rPr>
              <w:t>528 ± 84</w:t>
            </w:r>
          </w:p>
        </w:tc>
        <w:tc>
          <w:tcPr>
            <w:tcW w:type="dxa" w:w="1008"/>
          </w:tcPr>
          <w:p>
            <w:pPr/>
            <w:r>
              <w:rPr>
                <w:sz w:val="20"/>
              </w:rPr>
              <w:t>13.8 ± 2.4</w:t>
            </w:r>
          </w:p>
        </w:tc>
        <w:tc>
          <w:tcPr>
            <w:tcW w:type="dxa" w:w="1728"/>
          </w:tcPr>
          <w:p>
            <w:pPr/>
            <w:r>
              <w:rPr>
                <w:sz w:val="20"/>
              </w:rPr>
              <w:t>None</w:t>
            </w:r>
          </w:p>
        </w:tc>
      </w:tr>
      <w:tr>
        <w:tc>
          <w:tcPr>
            <w:tcW w:type="dxa" w:w="864"/>
          </w:tcPr>
          <w:p>
            <w:pPr/>
            <w:r>
              <w:rPr>
                <w:sz w:val="20"/>
              </w:rPr>
              <w:t>4</w:t>
            </w:r>
          </w:p>
        </w:tc>
        <w:tc>
          <w:tcPr>
            <w:tcW w:type="dxa" w:w="1008"/>
          </w:tcPr>
          <w:p>
            <w:pPr/>
            <w:r>
              <w:rPr>
                <w:sz w:val="20"/>
              </w:rPr>
              <w:t>100</w:t>
            </w:r>
          </w:p>
        </w:tc>
        <w:tc>
          <w:tcPr>
            <w:tcW w:type="dxa" w:w="1440"/>
          </w:tcPr>
          <w:p>
            <w:pPr/>
            <w:r>
              <w:rPr>
                <w:sz w:val="20"/>
              </w:rPr>
              <w:t>6/2</w:t>
            </w:r>
          </w:p>
        </w:tc>
        <w:tc>
          <w:tcPr>
            <w:tcW w:type="dxa" w:w="1440"/>
          </w:tcPr>
          <w:p>
            <w:pPr/>
            <w:r>
              <w:rPr>
                <w:sz w:val="20"/>
              </w:rPr>
              <w:t>88.3 ± 14.2</w:t>
            </w:r>
          </w:p>
        </w:tc>
        <w:tc>
          <w:tcPr>
            <w:tcW w:type="dxa" w:w="1872"/>
          </w:tcPr>
          <w:p>
            <w:pPr/>
            <w:r>
              <w:rPr>
                <w:sz w:val="20"/>
              </w:rPr>
              <w:t>1,112 ± 162</w:t>
            </w:r>
          </w:p>
        </w:tc>
        <w:tc>
          <w:tcPr>
            <w:tcW w:type="dxa" w:w="1008"/>
          </w:tcPr>
          <w:p>
            <w:pPr/>
            <w:r>
              <w:rPr>
                <w:sz w:val="20"/>
              </w:rPr>
              <w:t>14.6 ± 2.6</w:t>
            </w:r>
          </w:p>
        </w:tc>
        <w:tc>
          <w:tcPr>
            <w:tcW w:type="dxa" w:w="1728"/>
          </w:tcPr>
          <w:p>
            <w:pPr/>
            <w:r>
              <w:rPr>
                <w:sz w:val="20"/>
              </w:rPr>
              <w:t>None</w:t>
            </w:r>
          </w:p>
        </w:tc>
      </w:tr>
      <w:tr>
        <w:tc>
          <w:tcPr>
            <w:tcW w:type="dxa" w:w="864"/>
          </w:tcPr>
          <w:p>
            <w:pPr/>
            <w:r>
              <w:rPr>
                <w:sz w:val="20"/>
              </w:rPr>
              <w:t>5</w:t>
            </w:r>
          </w:p>
        </w:tc>
        <w:tc>
          <w:tcPr>
            <w:tcW w:type="dxa" w:w="1008"/>
          </w:tcPr>
          <w:p>
            <w:pPr/>
            <w:r>
              <w:rPr>
                <w:sz w:val="20"/>
              </w:rPr>
              <w:t>200</w:t>
            </w:r>
          </w:p>
        </w:tc>
        <w:tc>
          <w:tcPr>
            <w:tcW w:type="dxa" w:w="1440"/>
          </w:tcPr>
          <w:p>
            <w:pPr/>
            <w:r>
              <w:rPr>
                <w:sz w:val="20"/>
              </w:rPr>
              <w:t>6/2</w:t>
            </w:r>
          </w:p>
        </w:tc>
        <w:tc>
          <w:tcPr>
            <w:tcW w:type="dxa" w:w="1440"/>
          </w:tcPr>
          <w:p>
            <w:pPr/>
            <w:r>
              <w:rPr>
                <w:sz w:val="20"/>
              </w:rPr>
              <w:t>172.5 ± 28.6</w:t>
            </w:r>
          </w:p>
        </w:tc>
        <w:tc>
          <w:tcPr>
            <w:tcW w:type="dxa" w:w="1872"/>
          </w:tcPr>
          <w:p>
            <w:pPr/>
            <w:r>
              <w:rPr>
                <w:sz w:val="20"/>
              </w:rPr>
              <w:t>2,248 ± 346</w:t>
            </w:r>
          </w:p>
        </w:tc>
        <w:tc>
          <w:tcPr>
            <w:tcW w:type="dxa" w:w="1008"/>
          </w:tcPr>
          <w:p>
            <w:pPr/>
            <w:r>
              <w:rPr>
                <w:sz w:val="20"/>
              </w:rPr>
              <w:t>15.2 ± 2.8</w:t>
            </w:r>
          </w:p>
        </w:tc>
        <w:tc>
          <w:tcPr>
            <w:tcW w:type="dxa" w:w="1728"/>
          </w:tcPr>
          <w:p>
            <w:pPr/>
            <w:r>
              <w:rPr>
                <w:sz w:val="20"/>
              </w:rPr>
              <w:t>None</w:t>
            </w:r>
          </w:p>
        </w:tc>
      </w:tr>
      <w:tr>
        <w:tc>
          <w:tcPr>
            <w:tcW w:type="dxa" w:w="864"/>
          </w:tcPr>
          <w:p>
            <w:pPr/>
            <w:r>
              <w:rPr>
                <w:sz w:val="20"/>
              </w:rPr>
              <w:t>6</w:t>
            </w:r>
          </w:p>
        </w:tc>
        <w:tc>
          <w:tcPr>
            <w:tcW w:type="dxa" w:w="1008"/>
          </w:tcPr>
          <w:p>
            <w:pPr/>
            <w:r>
              <w:rPr>
                <w:sz w:val="20"/>
              </w:rPr>
              <w:t>400</w:t>
            </w:r>
          </w:p>
        </w:tc>
        <w:tc>
          <w:tcPr>
            <w:tcW w:type="dxa" w:w="1440"/>
          </w:tcPr>
          <w:p>
            <w:pPr/>
            <w:r>
              <w:rPr>
                <w:sz w:val="20"/>
              </w:rPr>
              <w:t>6/2</w:t>
            </w:r>
          </w:p>
        </w:tc>
        <w:tc>
          <w:tcPr>
            <w:tcW w:type="dxa" w:w="1440"/>
          </w:tcPr>
          <w:p>
            <w:pPr/>
            <w:r>
              <w:rPr>
                <w:sz w:val="20"/>
              </w:rPr>
              <w:t>338.4 ± 52.0</w:t>
            </w:r>
          </w:p>
        </w:tc>
        <w:tc>
          <w:tcPr>
            <w:tcW w:type="dxa" w:w="1872"/>
          </w:tcPr>
          <w:p>
            <w:pPr/>
            <w:r>
              <w:rPr>
                <w:sz w:val="20"/>
              </w:rPr>
              <w:t>4,620 ± 680</w:t>
            </w:r>
          </w:p>
        </w:tc>
        <w:tc>
          <w:tcPr>
            <w:tcW w:type="dxa" w:w="1008"/>
          </w:tcPr>
          <w:p>
            <w:pPr/>
            <w:r>
              <w:rPr>
                <w:sz w:val="20"/>
              </w:rPr>
              <w:t>16.1 ± 3.2</w:t>
            </w:r>
          </w:p>
        </w:tc>
        <w:tc>
          <w:tcPr>
            <w:tcW w:type="dxa" w:w="1728"/>
          </w:tcPr>
          <w:p>
            <w:pPr/>
            <w:r>
              <w:rPr>
                <w:sz w:val="20"/>
              </w:rPr>
              <w:t>None</w:t>
            </w:r>
          </w:p>
        </w:tc>
      </w:tr>
      <w:tr>
        <w:tc>
          <w:tcPr>
            <w:tcW w:type="dxa" w:w="864"/>
          </w:tcPr>
          <w:p>
            <w:pPr/>
            <w:r>
              <w:rPr>
                <w:sz w:val="20"/>
              </w:rPr>
              <w:t>7</w:t>
            </w:r>
          </w:p>
        </w:tc>
        <w:tc>
          <w:tcPr>
            <w:tcW w:type="dxa" w:w="1008"/>
          </w:tcPr>
          <w:p>
            <w:pPr/>
            <w:r>
              <w:rPr>
                <w:sz w:val="20"/>
              </w:rPr>
              <w:t>600</w:t>
            </w:r>
          </w:p>
        </w:tc>
        <w:tc>
          <w:tcPr>
            <w:tcW w:type="dxa" w:w="1440"/>
          </w:tcPr>
          <w:p>
            <w:pPr/>
            <w:r>
              <w:rPr>
                <w:sz w:val="20"/>
              </w:rPr>
              <w:t>6/2</w:t>
            </w:r>
          </w:p>
        </w:tc>
        <w:tc>
          <w:tcPr>
            <w:tcW w:type="dxa" w:w="1440"/>
          </w:tcPr>
          <w:p>
            <w:pPr/>
            <w:r>
              <w:rPr>
                <w:sz w:val="20"/>
              </w:rPr>
              <w:t>498.2 ± 76.4</w:t>
            </w:r>
          </w:p>
        </w:tc>
        <w:tc>
          <w:tcPr>
            <w:tcW w:type="dxa" w:w="1872"/>
          </w:tcPr>
          <w:p>
            <w:pPr/>
            <w:r>
              <w:rPr>
                <w:sz w:val="20"/>
              </w:rPr>
              <w:t>7,128 ± 1,042</w:t>
            </w:r>
          </w:p>
        </w:tc>
        <w:tc>
          <w:tcPr>
            <w:tcW w:type="dxa" w:w="1008"/>
          </w:tcPr>
          <w:p>
            <w:pPr/>
            <w:r>
              <w:rPr>
                <w:sz w:val="20"/>
              </w:rPr>
              <w:t>16.8 ± 3.4</w:t>
            </w:r>
          </w:p>
        </w:tc>
        <w:tc>
          <w:tcPr>
            <w:tcW w:type="dxa" w:w="1728"/>
          </w:tcPr>
          <w:p>
            <w:pPr/>
            <w:r>
              <w:rPr>
                <w:sz w:val="20"/>
              </w:rPr>
              <w:t>1 (symptomatic bradycardia)</w:t>
            </w:r>
          </w:p>
        </w:tc>
      </w:tr>
    </w:tbl>
    <w:p/>
    <w:p>
      <w:r>
        <w:t>DLT = Dose-limiting toxicity. Pharmacokinetics demonstrated dose linearity from 10–400 mg. The maximum tolerated dose (MTD) was established at 400 mg based on the symptomatic bradycardia (heart rate 38 bpm) observed in one subject at 600 mg.</w:t>
      </w:r>
    </w:p>
    <w:p>
      <w:pPr>
        <w:pStyle w:val="Heading2"/>
      </w:pPr>
      <w:r>
        <w:t>11.2 Multiple Ascending Dose (MAD) Study — CV-102</w:t>
      </w:r>
    </w:p>
    <w:p>
      <w:r>
        <w:t>Study CV-102 evaluated multiple daily doses (25, 50, 100, and 200 mg) administered once daily for 14 days in 48 healthy volunteers. Steady-state was achieved by Day 3–4 across all dose groups. The accumulation ratio was 1.25–1.35. No clinically significant safety signals were observed. All subjects completed the study without dose modifications.</w:t>
      </w:r>
    </w:p>
    <w:p>
      <w:r>
        <w:br w:type="page"/>
      </w:r>
    </w:p>
    <w:p>
      <w:pPr>
        <w:pStyle w:val="Heading1"/>
      </w:pPr>
      <w:r>
        <w:t>12. Clinical Trials — Phase II Studies</w:t>
      </w:r>
    </w:p>
    <w:p>
      <w:pPr>
        <w:pStyle w:val="Heading2"/>
      </w:pPr>
      <w:r>
        <w:t>12.1 Dose-Ranging Study in Hypertension — CARDINAL (CV-201)</w:t>
      </w:r>
    </w:p>
    <w:p>
      <w:r>
        <w:t>The CARDINAL study was a multicenter, randomized, double-blind, placebo-controlled, parallel-group, dose-ranging study conducted across 28 sites in 6 countries. A total of 680 patients with mild to moderate essential hypertension (sitting SBP 140–179 mmHg, DBP 90–109 mmHg) were randomized 1:1:1:1:1 to receive placebo or Cardivex® 25, 50, 100, or 200 mg once daily for 12 weeks.</w:t>
      </w:r>
    </w:p>
    <w:p>
      <w:pPr>
        <w:pStyle w:val="Heading3"/>
      </w:pPr>
      <w:r>
        <w:t>12.1.1 Primary Endpoint Results — Change in Sitting SBP at Week 12</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fill="003366"/>
          </w:tcPr>
          <w:p>
            <w:pPr>
              <w:jc w:val="center"/>
            </w:pPr>
            <w:r>
              <w:rPr>
                <w:b/>
                <w:color w:val="FFFFFF"/>
                <w:sz w:val="20"/>
              </w:rPr>
              <w:t>Treatment Group</w:t>
            </w:r>
          </w:p>
        </w:tc>
        <w:tc>
          <w:tcPr>
            <w:tcW w:type="dxa" w:w="576"/>
            <w:shd w:fill="003366"/>
          </w:tcPr>
          <w:p>
            <w:pPr>
              <w:jc w:val="center"/>
            </w:pPr>
            <w:r>
              <w:rPr>
                <w:b/>
                <w:color w:val="FFFFFF"/>
                <w:sz w:val="20"/>
              </w:rPr>
              <w:t>N</w:t>
            </w:r>
          </w:p>
        </w:tc>
        <w:tc>
          <w:tcPr>
            <w:tcW w:type="dxa" w:w="1584"/>
            <w:shd w:fill="003366"/>
          </w:tcPr>
          <w:p>
            <w:pPr>
              <w:jc w:val="center"/>
            </w:pPr>
            <w:r>
              <w:rPr>
                <w:b/>
                <w:color w:val="FFFFFF"/>
                <w:sz w:val="20"/>
              </w:rPr>
              <w:t>Baseline SBP (mmHg)</w:t>
            </w:r>
          </w:p>
        </w:tc>
        <w:tc>
          <w:tcPr>
            <w:tcW w:type="dxa" w:w="1872"/>
            <w:shd w:fill="003366"/>
          </w:tcPr>
          <w:p>
            <w:pPr>
              <w:jc w:val="center"/>
            </w:pPr>
            <w:r>
              <w:rPr>
                <w:b/>
                <w:color w:val="FFFFFF"/>
                <w:sz w:val="20"/>
              </w:rPr>
              <w:t>Change from Baseline (mmHg)</w:t>
            </w:r>
          </w:p>
        </w:tc>
        <w:tc>
          <w:tcPr>
            <w:tcW w:type="dxa" w:w="2016"/>
            <w:shd w:fill="003366"/>
          </w:tcPr>
          <w:p>
            <w:pPr>
              <w:jc w:val="center"/>
            </w:pPr>
            <w:r>
              <w:rPr>
                <w:b/>
                <w:color w:val="FFFFFF"/>
                <w:sz w:val="20"/>
              </w:rPr>
              <w:t>Difference vs. Placebo</w:t>
            </w:r>
          </w:p>
        </w:tc>
        <w:tc>
          <w:tcPr>
            <w:tcW w:type="dxa" w:w="1152"/>
            <w:shd w:fill="003366"/>
          </w:tcPr>
          <w:p>
            <w:pPr>
              <w:jc w:val="center"/>
            </w:pPr>
            <w:r>
              <w:rPr>
                <w:b/>
                <w:color w:val="FFFFFF"/>
                <w:sz w:val="20"/>
              </w:rPr>
              <w:t>p-value</w:t>
            </w:r>
          </w:p>
        </w:tc>
      </w:tr>
      <w:tr>
        <w:tc>
          <w:tcPr>
            <w:tcW w:type="dxa" w:w="1584"/>
          </w:tcPr>
          <w:p>
            <w:pPr/>
            <w:r>
              <w:rPr>
                <w:sz w:val="20"/>
              </w:rPr>
              <w:t>Placebo</w:t>
            </w:r>
          </w:p>
        </w:tc>
        <w:tc>
          <w:tcPr>
            <w:tcW w:type="dxa" w:w="576"/>
          </w:tcPr>
          <w:p>
            <w:pPr/>
            <w:r>
              <w:rPr>
                <w:sz w:val="20"/>
              </w:rPr>
              <w:t>136</w:t>
            </w:r>
          </w:p>
        </w:tc>
        <w:tc>
          <w:tcPr>
            <w:tcW w:type="dxa" w:w="1584"/>
          </w:tcPr>
          <w:p>
            <w:pPr/>
            <w:r>
              <w:rPr>
                <w:sz w:val="20"/>
              </w:rPr>
              <w:t>154.2 ± 8.6</w:t>
            </w:r>
          </w:p>
        </w:tc>
        <w:tc>
          <w:tcPr>
            <w:tcW w:type="dxa" w:w="1872"/>
          </w:tcPr>
          <w:p>
            <w:pPr/>
            <w:r>
              <w:rPr>
                <w:sz w:val="20"/>
              </w:rPr>
              <w:t>−4.2 ± 6.8</w:t>
            </w:r>
          </w:p>
        </w:tc>
        <w:tc>
          <w:tcPr>
            <w:tcW w:type="dxa" w:w="2016"/>
          </w:tcPr>
          <w:p>
            <w:pPr/>
            <w:r>
              <w:rPr>
                <w:sz w:val="20"/>
              </w:rPr>
              <w:t>—</w:t>
            </w:r>
          </w:p>
        </w:tc>
        <w:tc>
          <w:tcPr>
            <w:tcW w:type="dxa" w:w="1152"/>
          </w:tcPr>
          <w:p>
            <w:pPr/>
            <w:r>
              <w:rPr>
                <w:sz w:val="20"/>
              </w:rPr>
              <w:t>—</w:t>
            </w:r>
          </w:p>
        </w:tc>
      </w:tr>
      <w:tr>
        <w:tc>
          <w:tcPr>
            <w:tcW w:type="dxa" w:w="1584"/>
          </w:tcPr>
          <w:p>
            <w:pPr/>
            <w:r>
              <w:rPr>
                <w:sz w:val="20"/>
              </w:rPr>
              <w:t>Cardivex 25 mg</w:t>
            </w:r>
          </w:p>
        </w:tc>
        <w:tc>
          <w:tcPr>
            <w:tcW w:type="dxa" w:w="576"/>
          </w:tcPr>
          <w:p>
            <w:pPr/>
            <w:r>
              <w:rPr>
                <w:sz w:val="20"/>
              </w:rPr>
              <w:t>134</w:t>
            </w:r>
          </w:p>
        </w:tc>
        <w:tc>
          <w:tcPr>
            <w:tcW w:type="dxa" w:w="1584"/>
          </w:tcPr>
          <w:p>
            <w:pPr/>
            <w:r>
              <w:rPr>
                <w:sz w:val="20"/>
              </w:rPr>
              <w:t>153.8 ± 8.2</w:t>
            </w:r>
          </w:p>
        </w:tc>
        <w:tc>
          <w:tcPr>
            <w:tcW w:type="dxa" w:w="1872"/>
          </w:tcPr>
          <w:p>
            <w:pPr/>
            <w:r>
              <w:rPr>
                <w:sz w:val="20"/>
              </w:rPr>
              <w:t>−8.6 ± 6.2</w:t>
            </w:r>
          </w:p>
        </w:tc>
        <w:tc>
          <w:tcPr>
            <w:tcW w:type="dxa" w:w="2016"/>
          </w:tcPr>
          <w:p>
            <w:pPr/>
            <w:r>
              <w:rPr>
                <w:sz w:val="20"/>
              </w:rPr>
              <w:t>−4.4 (−6.2, −2.6)</w:t>
            </w:r>
          </w:p>
        </w:tc>
        <w:tc>
          <w:tcPr>
            <w:tcW w:type="dxa" w:w="1152"/>
          </w:tcPr>
          <w:p>
            <w:pPr/>
            <w:r>
              <w:rPr>
                <w:sz w:val="20"/>
              </w:rPr>
              <w:t>0.0014</w:t>
            </w:r>
          </w:p>
        </w:tc>
      </w:tr>
      <w:tr>
        <w:tc>
          <w:tcPr>
            <w:tcW w:type="dxa" w:w="1584"/>
          </w:tcPr>
          <w:p>
            <w:pPr/>
            <w:r>
              <w:rPr>
                <w:sz w:val="20"/>
              </w:rPr>
              <w:t>Cardivex 50 mg</w:t>
            </w:r>
          </w:p>
        </w:tc>
        <w:tc>
          <w:tcPr>
            <w:tcW w:type="dxa" w:w="576"/>
          </w:tcPr>
          <w:p>
            <w:pPr/>
            <w:r>
              <w:rPr>
                <w:sz w:val="20"/>
              </w:rPr>
              <w:t>138</w:t>
            </w:r>
          </w:p>
        </w:tc>
        <w:tc>
          <w:tcPr>
            <w:tcW w:type="dxa" w:w="1584"/>
          </w:tcPr>
          <w:p>
            <w:pPr/>
            <w:r>
              <w:rPr>
                <w:sz w:val="20"/>
              </w:rPr>
              <w:t>154.6 ± 8.8</w:t>
            </w:r>
          </w:p>
        </w:tc>
        <w:tc>
          <w:tcPr>
            <w:tcW w:type="dxa" w:w="1872"/>
          </w:tcPr>
          <w:p>
            <w:pPr/>
            <w:r>
              <w:rPr>
                <w:sz w:val="20"/>
              </w:rPr>
              <w:t>−13.8 ± 5.8</w:t>
            </w:r>
          </w:p>
        </w:tc>
        <w:tc>
          <w:tcPr>
            <w:tcW w:type="dxa" w:w="2016"/>
          </w:tcPr>
          <w:p>
            <w:pPr/>
            <w:r>
              <w:rPr>
                <w:sz w:val="20"/>
              </w:rPr>
              <w:t>−9.6 (−11.4, −7.8)</w:t>
            </w:r>
          </w:p>
        </w:tc>
        <w:tc>
          <w:tcPr>
            <w:tcW w:type="dxa" w:w="1152"/>
          </w:tcPr>
          <w:p>
            <w:pPr/>
            <w:r>
              <w:rPr>
                <w:sz w:val="20"/>
              </w:rPr>
              <w:t>&lt;0.0001</w:t>
            </w:r>
          </w:p>
        </w:tc>
      </w:tr>
      <w:tr>
        <w:tc>
          <w:tcPr>
            <w:tcW w:type="dxa" w:w="1584"/>
          </w:tcPr>
          <w:p>
            <w:pPr/>
            <w:r>
              <w:rPr>
                <w:sz w:val="20"/>
              </w:rPr>
              <w:t>Cardivex 100 mg</w:t>
            </w:r>
          </w:p>
        </w:tc>
        <w:tc>
          <w:tcPr>
            <w:tcW w:type="dxa" w:w="576"/>
          </w:tcPr>
          <w:p>
            <w:pPr/>
            <w:r>
              <w:rPr>
                <w:sz w:val="20"/>
              </w:rPr>
              <w:t>136</w:t>
            </w:r>
          </w:p>
        </w:tc>
        <w:tc>
          <w:tcPr>
            <w:tcW w:type="dxa" w:w="1584"/>
          </w:tcPr>
          <w:p>
            <w:pPr/>
            <w:r>
              <w:rPr>
                <w:sz w:val="20"/>
              </w:rPr>
              <w:t>153.4 ± 8.4</w:t>
            </w:r>
          </w:p>
        </w:tc>
        <w:tc>
          <w:tcPr>
            <w:tcW w:type="dxa" w:w="1872"/>
          </w:tcPr>
          <w:p>
            <w:pPr/>
            <w:r>
              <w:rPr>
                <w:sz w:val="20"/>
              </w:rPr>
              <w:t>−18.4 ± 5.4</w:t>
            </w:r>
          </w:p>
        </w:tc>
        <w:tc>
          <w:tcPr>
            <w:tcW w:type="dxa" w:w="2016"/>
          </w:tcPr>
          <w:p>
            <w:pPr/>
            <w:r>
              <w:rPr>
                <w:sz w:val="20"/>
              </w:rPr>
              <w:t>−14.2 (−16.0, −12.4)</w:t>
            </w:r>
          </w:p>
        </w:tc>
        <w:tc>
          <w:tcPr>
            <w:tcW w:type="dxa" w:w="1152"/>
          </w:tcPr>
          <w:p>
            <w:pPr/>
            <w:r>
              <w:rPr>
                <w:sz w:val="20"/>
              </w:rPr>
              <w:t>&lt;0.0001</w:t>
            </w:r>
          </w:p>
        </w:tc>
      </w:tr>
      <w:tr>
        <w:tc>
          <w:tcPr>
            <w:tcW w:type="dxa" w:w="1584"/>
          </w:tcPr>
          <w:p>
            <w:pPr/>
            <w:r>
              <w:rPr>
                <w:sz w:val="20"/>
              </w:rPr>
              <w:t>Cardivex 200 mg</w:t>
            </w:r>
          </w:p>
        </w:tc>
        <w:tc>
          <w:tcPr>
            <w:tcW w:type="dxa" w:w="576"/>
          </w:tcPr>
          <w:p>
            <w:pPr/>
            <w:r>
              <w:rPr>
                <w:sz w:val="20"/>
              </w:rPr>
              <w:t>136</w:t>
            </w:r>
          </w:p>
        </w:tc>
        <w:tc>
          <w:tcPr>
            <w:tcW w:type="dxa" w:w="1584"/>
          </w:tcPr>
          <w:p>
            <w:pPr/>
            <w:r>
              <w:rPr>
                <w:sz w:val="20"/>
              </w:rPr>
              <w:t>154.8 ± 9.0</w:t>
            </w:r>
          </w:p>
        </w:tc>
        <w:tc>
          <w:tcPr>
            <w:tcW w:type="dxa" w:w="1872"/>
          </w:tcPr>
          <w:p>
            <w:pPr/>
            <w:r>
              <w:rPr>
                <w:sz w:val="20"/>
              </w:rPr>
              <w:t>−22.2 ± 5.6</w:t>
            </w:r>
          </w:p>
        </w:tc>
        <w:tc>
          <w:tcPr>
            <w:tcW w:type="dxa" w:w="2016"/>
          </w:tcPr>
          <w:p>
            <w:pPr/>
            <w:r>
              <w:rPr>
                <w:sz w:val="20"/>
              </w:rPr>
              <w:t>−18.0 (−19.8, −16.2)</w:t>
            </w:r>
          </w:p>
        </w:tc>
        <w:tc>
          <w:tcPr>
            <w:tcW w:type="dxa" w:w="1152"/>
          </w:tcPr>
          <w:p>
            <w:pPr/>
            <w:r>
              <w:rPr>
                <w:sz w:val="20"/>
              </w:rPr>
              <w:t>&lt;0.0001</w:t>
            </w:r>
          </w:p>
        </w:tc>
      </w:tr>
    </w:tbl>
    <w:p/>
    <w:p>
      <w:pPr>
        <w:pStyle w:val="Heading3"/>
      </w:pPr>
      <w:r>
        <w:t>12.1.2 Blood Pressure Response Rates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872"/>
            <w:shd w:fill="003366"/>
          </w:tcPr>
          <w:p>
            <w:pPr>
              <w:jc w:val="center"/>
            </w:pPr>
            <w:r>
              <w:rPr>
                <w:b/>
                <w:color w:val="FFFFFF"/>
                <w:sz w:val="20"/>
              </w:rPr>
              <w:t>Treatment Group</w:t>
            </w:r>
          </w:p>
        </w:tc>
        <w:tc>
          <w:tcPr>
            <w:tcW w:type="dxa" w:w="2880"/>
            <w:shd w:fill="003366"/>
          </w:tcPr>
          <w:p>
            <w:pPr>
              <w:jc w:val="center"/>
            </w:pPr>
            <w:r>
              <w:rPr>
                <w:b/>
                <w:color w:val="FFFFFF"/>
                <w:sz w:val="20"/>
              </w:rPr>
              <w:t>Responders (SBP &lt;140 mmHg) %</w:t>
            </w:r>
          </w:p>
        </w:tc>
        <w:tc>
          <w:tcPr>
            <w:tcW w:type="dxa" w:w="2880"/>
            <w:shd w:fill="003366"/>
          </w:tcPr>
          <w:p>
            <w:pPr>
              <w:jc w:val="center"/>
            </w:pPr>
            <w:r>
              <w:rPr>
                <w:b/>
                <w:color w:val="FFFFFF"/>
                <w:sz w:val="20"/>
              </w:rPr>
              <w:t>Responders (SBP &lt;130 mmHg) %</w:t>
            </w:r>
          </w:p>
        </w:tc>
        <w:tc>
          <w:tcPr>
            <w:tcW w:type="dxa" w:w="1728"/>
            <w:shd w:fill="003366"/>
          </w:tcPr>
          <w:p>
            <w:pPr>
              <w:jc w:val="center"/>
            </w:pPr>
            <w:r>
              <w:rPr>
                <w:b/>
                <w:color w:val="FFFFFF"/>
                <w:sz w:val="20"/>
              </w:rPr>
              <w:t>NNT vs. Placebo</w:t>
            </w:r>
          </w:p>
        </w:tc>
      </w:tr>
      <w:tr>
        <w:tc>
          <w:tcPr>
            <w:tcW w:type="dxa" w:w="1872"/>
          </w:tcPr>
          <w:p>
            <w:pPr/>
            <w:r>
              <w:rPr>
                <w:sz w:val="20"/>
              </w:rPr>
              <w:t>Placebo</w:t>
            </w:r>
          </w:p>
        </w:tc>
        <w:tc>
          <w:tcPr>
            <w:tcW w:type="dxa" w:w="2880"/>
          </w:tcPr>
          <w:p>
            <w:pPr/>
            <w:r>
              <w:rPr>
                <w:sz w:val="20"/>
              </w:rPr>
              <w:t>18.4%</w:t>
            </w:r>
          </w:p>
        </w:tc>
        <w:tc>
          <w:tcPr>
            <w:tcW w:type="dxa" w:w="2880"/>
          </w:tcPr>
          <w:p>
            <w:pPr/>
            <w:r>
              <w:rPr>
                <w:sz w:val="20"/>
              </w:rPr>
              <w:t>6.6%</w:t>
            </w:r>
          </w:p>
        </w:tc>
        <w:tc>
          <w:tcPr>
            <w:tcW w:type="dxa" w:w="1728"/>
          </w:tcPr>
          <w:p>
            <w:pPr/>
            <w:r>
              <w:rPr>
                <w:sz w:val="20"/>
              </w:rPr>
              <w:t>—</w:t>
            </w:r>
          </w:p>
        </w:tc>
      </w:tr>
      <w:tr>
        <w:tc>
          <w:tcPr>
            <w:tcW w:type="dxa" w:w="1872"/>
          </w:tcPr>
          <w:p>
            <w:pPr/>
            <w:r>
              <w:rPr>
                <w:sz w:val="20"/>
              </w:rPr>
              <w:t>Cardivex 25 mg</w:t>
            </w:r>
          </w:p>
        </w:tc>
        <w:tc>
          <w:tcPr>
            <w:tcW w:type="dxa" w:w="2880"/>
          </w:tcPr>
          <w:p>
            <w:pPr/>
            <w:r>
              <w:rPr>
                <w:sz w:val="20"/>
              </w:rPr>
              <w:t>32.8%</w:t>
            </w:r>
          </w:p>
        </w:tc>
        <w:tc>
          <w:tcPr>
            <w:tcW w:type="dxa" w:w="2880"/>
          </w:tcPr>
          <w:p>
            <w:pPr/>
            <w:r>
              <w:rPr>
                <w:sz w:val="20"/>
              </w:rPr>
              <w:t>12.7%</w:t>
            </w:r>
          </w:p>
        </w:tc>
        <w:tc>
          <w:tcPr>
            <w:tcW w:type="dxa" w:w="1728"/>
          </w:tcPr>
          <w:p>
            <w:pPr/>
            <w:r>
              <w:rPr>
                <w:sz w:val="20"/>
              </w:rPr>
              <w:t>7</w:t>
            </w:r>
          </w:p>
        </w:tc>
      </w:tr>
      <w:tr>
        <w:tc>
          <w:tcPr>
            <w:tcW w:type="dxa" w:w="1872"/>
          </w:tcPr>
          <w:p>
            <w:pPr/>
            <w:r>
              <w:rPr>
                <w:sz w:val="20"/>
              </w:rPr>
              <w:t>Cardivex 50 mg</w:t>
            </w:r>
          </w:p>
        </w:tc>
        <w:tc>
          <w:tcPr>
            <w:tcW w:type="dxa" w:w="2880"/>
          </w:tcPr>
          <w:p>
            <w:pPr/>
            <w:r>
              <w:rPr>
                <w:sz w:val="20"/>
              </w:rPr>
              <w:t>52.2%</w:t>
            </w:r>
          </w:p>
        </w:tc>
        <w:tc>
          <w:tcPr>
            <w:tcW w:type="dxa" w:w="2880"/>
          </w:tcPr>
          <w:p>
            <w:pPr/>
            <w:r>
              <w:rPr>
                <w:sz w:val="20"/>
              </w:rPr>
              <w:t>28.3%</w:t>
            </w:r>
          </w:p>
        </w:tc>
        <w:tc>
          <w:tcPr>
            <w:tcW w:type="dxa" w:w="1728"/>
          </w:tcPr>
          <w:p>
            <w:pPr/>
            <w:r>
              <w:rPr>
                <w:sz w:val="20"/>
              </w:rPr>
              <w:t>3</w:t>
            </w:r>
          </w:p>
        </w:tc>
      </w:tr>
      <w:tr>
        <w:tc>
          <w:tcPr>
            <w:tcW w:type="dxa" w:w="1872"/>
          </w:tcPr>
          <w:p>
            <w:pPr/>
            <w:r>
              <w:rPr>
                <w:sz w:val="20"/>
              </w:rPr>
              <w:t>Cardivex 100 mg</w:t>
            </w:r>
          </w:p>
        </w:tc>
        <w:tc>
          <w:tcPr>
            <w:tcW w:type="dxa" w:w="2880"/>
          </w:tcPr>
          <w:p>
            <w:pPr/>
            <w:r>
              <w:rPr>
                <w:sz w:val="20"/>
              </w:rPr>
              <w:t>68.4%</w:t>
            </w:r>
          </w:p>
        </w:tc>
        <w:tc>
          <w:tcPr>
            <w:tcW w:type="dxa" w:w="2880"/>
          </w:tcPr>
          <w:p>
            <w:pPr/>
            <w:r>
              <w:rPr>
                <w:sz w:val="20"/>
              </w:rPr>
              <w:t>42.6%</w:t>
            </w:r>
          </w:p>
        </w:tc>
        <w:tc>
          <w:tcPr>
            <w:tcW w:type="dxa" w:w="1728"/>
          </w:tcPr>
          <w:p>
            <w:pPr/>
            <w:r>
              <w:rPr>
                <w:sz w:val="20"/>
              </w:rPr>
              <w:t>2</w:t>
            </w:r>
          </w:p>
        </w:tc>
      </w:tr>
      <w:tr>
        <w:tc>
          <w:tcPr>
            <w:tcW w:type="dxa" w:w="1872"/>
          </w:tcPr>
          <w:p>
            <w:pPr/>
            <w:r>
              <w:rPr>
                <w:sz w:val="20"/>
              </w:rPr>
              <w:t>Cardivex 200 mg</w:t>
            </w:r>
          </w:p>
        </w:tc>
        <w:tc>
          <w:tcPr>
            <w:tcW w:type="dxa" w:w="2880"/>
          </w:tcPr>
          <w:p>
            <w:pPr/>
            <w:r>
              <w:rPr>
                <w:sz w:val="20"/>
              </w:rPr>
              <w:t>74.3%</w:t>
            </w:r>
          </w:p>
        </w:tc>
        <w:tc>
          <w:tcPr>
            <w:tcW w:type="dxa" w:w="2880"/>
          </w:tcPr>
          <w:p>
            <w:pPr/>
            <w:r>
              <w:rPr>
                <w:sz w:val="20"/>
              </w:rPr>
              <w:t>48.5%</w:t>
            </w:r>
          </w:p>
        </w:tc>
        <w:tc>
          <w:tcPr>
            <w:tcW w:type="dxa" w:w="1728"/>
          </w:tcPr>
          <w:p>
            <w:pPr/>
            <w:r>
              <w:rPr>
                <w:sz w:val="20"/>
              </w:rPr>
              <w:t>2</w:t>
            </w:r>
          </w:p>
        </w:tc>
      </w:tr>
    </w:tbl>
    <w:p/>
    <w:p>
      <w:pPr>
        <w:pStyle w:val="Heading2"/>
      </w:pPr>
      <w:r>
        <w:t>12.2 Dose-Finding Study in Heart Failure — CARDIAC-PILOT (CV-202)</w:t>
      </w:r>
    </w:p>
    <w:p>
      <w:r>
        <w:t>The CARDIAC-PILOT study enrolled 420 patients with NYHA Class II–III heart failure (LVEF ≤35%) on stable background therapy. Patients were randomized to placebo, Cardivex® 50, 100, or 200 mg daily with a mandatory 4-week titration phase. The primary endpoint was change in LVEF at 24 weeks assessed by echocardiography. Cardivex® 100 mg demonstrated the optimal benefit-risk profile with a mean LVEF improvement of +5.8% (95% CI: 4.2, 7.4; p&lt;0.001 vs. placebo). The 200 mg dose provided marginal additional efficacy (+6.2%) but with higher rates of symptomatic bradycardia and hypotension. Based on these results, 50–200 mg was selected as the dose range for Phase III studies.</w:t>
      </w:r>
    </w:p>
    <w:p>
      <w:r>
        <w:br w:type="page"/>
      </w:r>
    </w:p>
    <w:p>
      <w:pPr>
        <w:pStyle w:val="Heading1"/>
      </w:pPr>
      <w:r>
        <w:t>13. Clinical Trials — Phase III Studies</w:t>
      </w:r>
    </w:p>
    <w:p>
      <w:pPr>
        <w:pStyle w:val="Heading2"/>
      </w:pPr>
      <w:r>
        <w:t>13.1 CARDIAC-SHIELD Trial (CV-301) — Heart Failure Outcomes</w:t>
      </w:r>
    </w:p>
    <w:p>
      <w:r>
        <w:t>CARDIAC-SHIELD was a multicenter, randomized, double-blind, placebo-controlled, event-driven outcomes trial conducted at 312 sites in 28 countries. A total of 4,218 patients with NYHA Class II–IV heart failure (LVEF ≤40%) on optimal background therapy were randomized 1:1 to Cardivex® (target dose 200 mg once daily) or matching placebo. The median follow-up was 28 months.</w:t>
      </w:r>
    </w:p>
    <w:p>
      <w:pPr>
        <w:pStyle w:val="Heading3"/>
      </w:pPr>
      <w:r>
        <w:t>13.1.1 Patient Demographics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168"/>
            <w:shd w:fill="003366"/>
          </w:tcPr>
          <w:p>
            <w:pPr>
              <w:jc w:val="center"/>
            </w:pPr>
            <w:r>
              <w:rPr>
                <w:b/>
                <w:color w:val="FFFFFF"/>
                <w:sz w:val="20"/>
              </w:rPr>
              <w:t>Characteristic</w:t>
            </w:r>
          </w:p>
        </w:tc>
        <w:tc>
          <w:tcPr>
            <w:tcW w:type="dxa" w:w="2160"/>
            <w:shd w:fill="003366"/>
          </w:tcPr>
          <w:p>
            <w:pPr>
              <w:jc w:val="center"/>
            </w:pPr>
            <w:r>
              <w:rPr>
                <w:b/>
                <w:color w:val="FFFFFF"/>
                <w:sz w:val="20"/>
              </w:rPr>
              <w:t>Cardivex® (N=2,112)</w:t>
            </w:r>
          </w:p>
        </w:tc>
        <w:tc>
          <w:tcPr>
            <w:tcW w:type="dxa" w:w="2160"/>
            <w:shd w:fill="003366"/>
          </w:tcPr>
          <w:p>
            <w:pPr>
              <w:jc w:val="center"/>
            </w:pPr>
            <w:r>
              <w:rPr>
                <w:b/>
                <w:color w:val="FFFFFF"/>
                <w:sz w:val="20"/>
              </w:rPr>
              <w:t>Placebo (N=2,106)</w:t>
            </w:r>
          </w:p>
        </w:tc>
        <w:tc>
          <w:tcPr>
            <w:tcW w:type="dxa" w:w="1152"/>
            <w:shd w:fill="003366"/>
          </w:tcPr>
          <w:p>
            <w:pPr>
              <w:jc w:val="center"/>
            </w:pPr>
            <w:r>
              <w:rPr>
                <w:b/>
                <w:color w:val="FFFFFF"/>
                <w:sz w:val="20"/>
              </w:rPr>
              <w:t>p-value</w:t>
            </w:r>
          </w:p>
        </w:tc>
      </w:tr>
      <w:tr>
        <w:tc>
          <w:tcPr>
            <w:tcW w:type="dxa" w:w="3168"/>
          </w:tcPr>
          <w:p>
            <w:pPr/>
            <w:r>
              <w:rPr>
                <w:sz w:val="20"/>
              </w:rPr>
              <w:t>Age (years), mean ± SD</w:t>
            </w:r>
          </w:p>
        </w:tc>
        <w:tc>
          <w:tcPr>
            <w:tcW w:type="dxa" w:w="2160"/>
          </w:tcPr>
          <w:p>
            <w:pPr/>
            <w:r>
              <w:rPr>
                <w:sz w:val="20"/>
              </w:rPr>
              <w:t>64.2 ± 11.4</w:t>
            </w:r>
          </w:p>
        </w:tc>
        <w:tc>
          <w:tcPr>
            <w:tcW w:type="dxa" w:w="2160"/>
          </w:tcPr>
          <w:p>
            <w:pPr/>
            <w:r>
              <w:rPr>
                <w:sz w:val="20"/>
              </w:rPr>
              <w:t>63.8 ± 11.6</w:t>
            </w:r>
          </w:p>
        </w:tc>
        <w:tc>
          <w:tcPr>
            <w:tcW w:type="dxa" w:w="1152"/>
          </w:tcPr>
          <w:p>
            <w:pPr/>
            <w:r>
              <w:rPr>
                <w:sz w:val="20"/>
              </w:rPr>
              <w:t>0.72</w:t>
            </w:r>
          </w:p>
        </w:tc>
      </w:tr>
      <w:tr>
        <w:tc>
          <w:tcPr>
            <w:tcW w:type="dxa" w:w="3168"/>
          </w:tcPr>
          <w:p>
            <w:pPr/>
            <w:r>
              <w:rPr>
                <w:sz w:val="20"/>
              </w:rPr>
              <w:t>Male, n (%)</w:t>
            </w:r>
          </w:p>
        </w:tc>
        <w:tc>
          <w:tcPr>
            <w:tcW w:type="dxa" w:w="2160"/>
          </w:tcPr>
          <w:p>
            <w:pPr/>
            <w:r>
              <w:rPr>
                <w:sz w:val="20"/>
              </w:rPr>
              <w:t>1,478 (70.0%)</w:t>
            </w:r>
          </w:p>
        </w:tc>
        <w:tc>
          <w:tcPr>
            <w:tcW w:type="dxa" w:w="2160"/>
          </w:tcPr>
          <w:p>
            <w:pPr/>
            <w:r>
              <w:rPr>
                <w:sz w:val="20"/>
              </w:rPr>
              <w:t>1,464 (69.5%)</w:t>
            </w:r>
          </w:p>
        </w:tc>
        <w:tc>
          <w:tcPr>
            <w:tcW w:type="dxa" w:w="1152"/>
          </w:tcPr>
          <w:p>
            <w:pPr/>
            <w:r>
              <w:rPr>
                <w:sz w:val="20"/>
              </w:rPr>
              <w:t>0.74</w:t>
            </w:r>
          </w:p>
        </w:tc>
      </w:tr>
      <w:tr>
        <w:tc>
          <w:tcPr>
            <w:tcW w:type="dxa" w:w="3168"/>
          </w:tcPr>
          <w:p>
            <w:pPr/>
            <w:r>
              <w:rPr>
                <w:sz w:val="20"/>
              </w:rPr>
              <w:t>White, n (%)</w:t>
            </w:r>
          </w:p>
        </w:tc>
        <w:tc>
          <w:tcPr>
            <w:tcW w:type="dxa" w:w="2160"/>
          </w:tcPr>
          <w:p>
            <w:pPr/>
            <w:r>
              <w:rPr>
                <w:sz w:val="20"/>
              </w:rPr>
              <w:t>1,584 (75.0%)</w:t>
            </w:r>
          </w:p>
        </w:tc>
        <w:tc>
          <w:tcPr>
            <w:tcW w:type="dxa" w:w="2160"/>
          </w:tcPr>
          <w:p>
            <w:pPr/>
            <w:r>
              <w:rPr>
                <w:sz w:val="20"/>
              </w:rPr>
              <w:t>1,580 (75.0%)</w:t>
            </w:r>
          </w:p>
        </w:tc>
        <w:tc>
          <w:tcPr>
            <w:tcW w:type="dxa" w:w="1152"/>
          </w:tcPr>
          <w:p>
            <w:pPr/>
            <w:r>
              <w:rPr>
                <w:sz w:val="20"/>
              </w:rPr>
              <w:t>0.98</w:t>
            </w:r>
          </w:p>
        </w:tc>
      </w:tr>
      <w:tr>
        <w:tc>
          <w:tcPr>
            <w:tcW w:type="dxa" w:w="3168"/>
          </w:tcPr>
          <w:p>
            <w:pPr/>
            <w:r>
              <w:rPr>
                <w:sz w:val="20"/>
              </w:rPr>
              <w:t>Black, n (%)</w:t>
            </w:r>
          </w:p>
        </w:tc>
        <w:tc>
          <w:tcPr>
            <w:tcW w:type="dxa" w:w="2160"/>
          </w:tcPr>
          <w:p>
            <w:pPr/>
            <w:r>
              <w:rPr>
                <w:sz w:val="20"/>
              </w:rPr>
              <w:t>316 (15.0%)</w:t>
            </w:r>
          </w:p>
        </w:tc>
        <w:tc>
          <w:tcPr>
            <w:tcW w:type="dxa" w:w="2160"/>
          </w:tcPr>
          <w:p>
            <w:pPr/>
            <w:r>
              <w:rPr>
                <w:sz w:val="20"/>
              </w:rPr>
              <w:t>326 (15.5%)</w:t>
            </w:r>
          </w:p>
        </w:tc>
        <w:tc>
          <w:tcPr>
            <w:tcW w:type="dxa" w:w="1152"/>
          </w:tcPr>
          <w:p>
            <w:pPr/>
            <w:r>
              <w:rPr>
                <w:sz w:val="20"/>
              </w:rPr>
              <w:t>0.62</w:t>
            </w:r>
          </w:p>
        </w:tc>
      </w:tr>
      <w:tr>
        <w:tc>
          <w:tcPr>
            <w:tcW w:type="dxa" w:w="3168"/>
          </w:tcPr>
          <w:p>
            <w:pPr/>
            <w:r>
              <w:rPr>
                <w:sz w:val="20"/>
              </w:rPr>
              <w:t>Asian, n (%)</w:t>
            </w:r>
          </w:p>
        </w:tc>
        <w:tc>
          <w:tcPr>
            <w:tcW w:type="dxa" w:w="2160"/>
          </w:tcPr>
          <w:p>
            <w:pPr/>
            <w:r>
              <w:rPr>
                <w:sz w:val="20"/>
              </w:rPr>
              <w:t>148 (7.0%)</w:t>
            </w:r>
          </w:p>
        </w:tc>
        <w:tc>
          <w:tcPr>
            <w:tcW w:type="dxa" w:w="2160"/>
          </w:tcPr>
          <w:p>
            <w:pPr/>
            <w:r>
              <w:rPr>
                <w:sz w:val="20"/>
              </w:rPr>
              <w:t>136 (6.5%)</w:t>
            </w:r>
          </w:p>
        </w:tc>
        <w:tc>
          <w:tcPr>
            <w:tcW w:type="dxa" w:w="1152"/>
          </w:tcPr>
          <w:p>
            <w:pPr/>
            <w:r>
              <w:rPr>
                <w:sz w:val="20"/>
              </w:rPr>
              <w:t>0.48</w:t>
            </w:r>
          </w:p>
        </w:tc>
      </w:tr>
      <w:tr>
        <w:tc>
          <w:tcPr>
            <w:tcW w:type="dxa" w:w="3168"/>
          </w:tcPr>
          <w:p>
            <w:pPr/>
            <w:r>
              <w:rPr>
                <w:sz w:val="20"/>
              </w:rPr>
              <w:t>NYHA Class II, n (%)</w:t>
            </w:r>
          </w:p>
        </w:tc>
        <w:tc>
          <w:tcPr>
            <w:tcW w:type="dxa" w:w="2160"/>
          </w:tcPr>
          <w:p>
            <w:pPr/>
            <w:r>
              <w:rPr>
                <w:sz w:val="20"/>
              </w:rPr>
              <w:t>1,330 (63.0%)</w:t>
            </w:r>
          </w:p>
        </w:tc>
        <w:tc>
          <w:tcPr>
            <w:tcW w:type="dxa" w:w="2160"/>
          </w:tcPr>
          <w:p>
            <w:pPr/>
            <w:r>
              <w:rPr>
                <w:sz w:val="20"/>
              </w:rPr>
              <w:t>1,348 (64.0%)</w:t>
            </w:r>
          </w:p>
        </w:tc>
        <w:tc>
          <w:tcPr>
            <w:tcW w:type="dxa" w:w="1152"/>
          </w:tcPr>
          <w:p>
            <w:pPr/>
            <w:r>
              <w:rPr>
                <w:sz w:val="20"/>
              </w:rPr>
              <w:t>0.48</w:t>
            </w:r>
          </w:p>
        </w:tc>
      </w:tr>
      <w:tr>
        <w:tc>
          <w:tcPr>
            <w:tcW w:type="dxa" w:w="3168"/>
          </w:tcPr>
          <w:p>
            <w:pPr/>
            <w:r>
              <w:rPr>
                <w:sz w:val="20"/>
              </w:rPr>
              <w:t>NYHA Class III, n (%)</w:t>
            </w:r>
          </w:p>
        </w:tc>
        <w:tc>
          <w:tcPr>
            <w:tcW w:type="dxa" w:w="2160"/>
          </w:tcPr>
          <w:p>
            <w:pPr/>
            <w:r>
              <w:rPr>
                <w:sz w:val="20"/>
              </w:rPr>
              <w:t>698 (33.0%)</w:t>
            </w:r>
          </w:p>
        </w:tc>
        <w:tc>
          <w:tcPr>
            <w:tcW w:type="dxa" w:w="2160"/>
          </w:tcPr>
          <w:p>
            <w:pPr/>
            <w:r>
              <w:rPr>
                <w:sz w:val="20"/>
              </w:rPr>
              <w:t>674 (32.0%)</w:t>
            </w:r>
          </w:p>
        </w:tc>
        <w:tc>
          <w:tcPr>
            <w:tcW w:type="dxa" w:w="1152"/>
          </w:tcPr>
          <w:p>
            <w:pPr/>
            <w:r>
              <w:rPr>
                <w:sz w:val="20"/>
              </w:rPr>
              <w:t>0.46</w:t>
            </w:r>
          </w:p>
        </w:tc>
      </w:tr>
      <w:tr>
        <w:tc>
          <w:tcPr>
            <w:tcW w:type="dxa" w:w="3168"/>
          </w:tcPr>
          <w:p>
            <w:pPr/>
            <w:r>
              <w:rPr>
                <w:sz w:val="20"/>
              </w:rPr>
              <w:t>NYHA Class IV, n (%)</w:t>
            </w:r>
          </w:p>
        </w:tc>
        <w:tc>
          <w:tcPr>
            <w:tcW w:type="dxa" w:w="2160"/>
          </w:tcPr>
          <w:p>
            <w:pPr/>
            <w:r>
              <w:rPr>
                <w:sz w:val="20"/>
              </w:rPr>
              <w:t>84 (4.0%)</w:t>
            </w:r>
          </w:p>
        </w:tc>
        <w:tc>
          <w:tcPr>
            <w:tcW w:type="dxa" w:w="2160"/>
          </w:tcPr>
          <w:p>
            <w:pPr/>
            <w:r>
              <w:rPr>
                <w:sz w:val="20"/>
              </w:rPr>
              <w:t>84 (4.0%)</w:t>
            </w:r>
          </w:p>
        </w:tc>
        <w:tc>
          <w:tcPr>
            <w:tcW w:type="dxa" w:w="1152"/>
          </w:tcPr>
          <w:p>
            <w:pPr/>
            <w:r>
              <w:rPr>
                <w:sz w:val="20"/>
              </w:rPr>
              <w:t>0.98</w:t>
            </w:r>
          </w:p>
        </w:tc>
      </w:tr>
      <w:tr>
        <w:tc>
          <w:tcPr>
            <w:tcW w:type="dxa" w:w="3168"/>
          </w:tcPr>
          <w:p>
            <w:pPr/>
            <w:r>
              <w:rPr>
                <w:sz w:val="20"/>
              </w:rPr>
              <w:t>LVEF (%), mean ± SD</w:t>
            </w:r>
          </w:p>
        </w:tc>
        <w:tc>
          <w:tcPr>
            <w:tcW w:type="dxa" w:w="2160"/>
          </w:tcPr>
          <w:p>
            <w:pPr/>
            <w:r>
              <w:rPr>
                <w:sz w:val="20"/>
              </w:rPr>
              <w:t>28.4 ± 6.8</w:t>
            </w:r>
          </w:p>
        </w:tc>
        <w:tc>
          <w:tcPr>
            <w:tcW w:type="dxa" w:w="2160"/>
          </w:tcPr>
          <w:p>
            <w:pPr/>
            <w:r>
              <w:rPr>
                <w:sz w:val="20"/>
              </w:rPr>
              <w:t>28.6 ± 7.0</w:t>
            </w:r>
          </w:p>
        </w:tc>
        <w:tc>
          <w:tcPr>
            <w:tcW w:type="dxa" w:w="1152"/>
          </w:tcPr>
          <w:p>
            <w:pPr/>
            <w:r>
              <w:rPr>
                <w:sz w:val="20"/>
              </w:rPr>
              <w:t>0.84</w:t>
            </w:r>
          </w:p>
        </w:tc>
      </w:tr>
      <w:tr>
        <w:tc>
          <w:tcPr>
            <w:tcW w:type="dxa" w:w="3168"/>
          </w:tcPr>
          <w:p>
            <w:pPr/>
            <w:r>
              <w:rPr>
                <w:sz w:val="20"/>
              </w:rPr>
              <w:t>Ischemic etiology, n (%)</w:t>
            </w:r>
          </w:p>
        </w:tc>
        <w:tc>
          <w:tcPr>
            <w:tcW w:type="dxa" w:w="2160"/>
          </w:tcPr>
          <w:p>
            <w:pPr/>
            <w:r>
              <w:rPr>
                <w:sz w:val="20"/>
              </w:rPr>
              <w:t>1,310 (62.0%)</w:t>
            </w:r>
          </w:p>
        </w:tc>
        <w:tc>
          <w:tcPr>
            <w:tcW w:type="dxa" w:w="2160"/>
          </w:tcPr>
          <w:p>
            <w:pPr/>
            <w:r>
              <w:rPr>
                <w:sz w:val="20"/>
              </w:rPr>
              <w:t>1,286 (61.1%)</w:t>
            </w:r>
          </w:p>
        </w:tc>
        <w:tc>
          <w:tcPr>
            <w:tcW w:type="dxa" w:w="1152"/>
          </w:tcPr>
          <w:p>
            <w:pPr/>
            <w:r>
              <w:rPr>
                <w:sz w:val="20"/>
              </w:rPr>
              <w:t>0.52</w:t>
            </w:r>
          </w:p>
        </w:tc>
      </w:tr>
      <w:tr>
        <w:tc>
          <w:tcPr>
            <w:tcW w:type="dxa" w:w="3168"/>
          </w:tcPr>
          <w:p>
            <w:pPr/>
            <w:r>
              <w:rPr>
                <w:sz w:val="20"/>
              </w:rPr>
              <w:t>Diabetes mellitus, n (%)</w:t>
            </w:r>
          </w:p>
        </w:tc>
        <w:tc>
          <w:tcPr>
            <w:tcW w:type="dxa" w:w="2160"/>
          </w:tcPr>
          <w:p>
            <w:pPr/>
            <w:r>
              <w:rPr>
                <w:sz w:val="20"/>
              </w:rPr>
              <w:t>634 (30.0%)</w:t>
            </w:r>
          </w:p>
        </w:tc>
        <w:tc>
          <w:tcPr>
            <w:tcW w:type="dxa" w:w="2160"/>
          </w:tcPr>
          <w:p>
            <w:pPr/>
            <w:r>
              <w:rPr>
                <w:sz w:val="20"/>
              </w:rPr>
              <w:t>652 (31.0%)</w:t>
            </w:r>
          </w:p>
        </w:tc>
        <w:tc>
          <w:tcPr>
            <w:tcW w:type="dxa" w:w="1152"/>
          </w:tcPr>
          <w:p>
            <w:pPr/>
            <w:r>
              <w:rPr>
                <w:sz w:val="20"/>
              </w:rPr>
              <w:t>0.52</w:t>
            </w:r>
          </w:p>
        </w:tc>
      </w:tr>
      <w:tr>
        <w:tc>
          <w:tcPr>
            <w:tcW w:type="dxa" w:w="3168"/>
          </w:tcPr>
          <w:p>
            <w:pPr/>
            <w:r>
              <w:rPr>
                <w:sz w:val="20"/>
              </w:rPr>
              <w:t>Hypertension, n (%)</w:t>
            </w:r>
          </w:p>
        </w:tc>
        <w:tc>
          <w:tcPr>
            <w:tcW w:type="dxa" w:w="2160"/>
          </w:tcPr>
          <w:p>
            <w:pPr/>
            <w:r>
              <w:rPr>
                <w:sz w:val="20"/>
              </w:rPr>
              <w:t>1,478 (70.0%)</w:t>
            </w:r>
          </w:p>
        </w:tc>
        <w:tc>
          <w:tcPr>
            <w:tcW w:type="dxa" w:w="2160"/>
          </w:tcPr>
          <w:p>
            <w:pPr/>
            <w:r>
              <w:rPr>
                <w:sz w:val="20"/>
              </w:rPr>
              <w:t>1,474 (70.0%)</w:t>
            </w:r>
          </w:p>
        </w:tc>
        <w:tc>
          <w:tcPr>
            <w:tcW w:type="dxa" w:w="1152"/>
          </w:tcPr>
          <w:p>
            <w:pPr/>
            <w:r>
              <w:rPr>
                <w:sz w:val="20"/>
              </w:rPr>
              <w:t>0.98</w:t>
            </w:r>
          </w:p>
        </w:tc>
      </w:tr>
      <w:tr>
        <w:tc>
          <w:tcPr>
            <w:tcW w:type="dxa" w:w="3168"/>
          </w:tcPr>
          <w:p>
            <w:pPr/>
            <w:r>
              <w:rPr>
                <w:sz w:val="20"/>
              </w:rPr>
              <w:t>ACE-I/ARB use, n (%)</w:t>
            </w:r>
          </w:p>
        </w:tc>
        <w:tc>
          <w:tcPr>
            <w:tcW w:type="dxa" w:w="2160"/>
          </w:tcPr>
          <w:p>
            <w:pPr/>
            <w:r>
              <w:rPr>
                <w:sz w:val="20"/>
              </w:rPr>
              <w:t>1,944 (92.0%)</w:t>
            </w:r>
          </w:p>
        </w:tc>
        <w:tc>
          <w:tcPr>
            <w:tcW w:type="dxa" w:w="2160"/>
          </w:tcPr>
          <w:p>
            <w:pPr/>
            <w:r>
              <w:rPr>
                <w:sz w:val="20"/>
              </w:rPr>
              <w:t>1,936 (91.9%)</w:t>
            </w:r>
          </w:p>
        </w:tc>
        <w:tc>
          <w:tcPr>
            <w:tcW w:type="dxa" w:w="1152"/>
          </w:tcPr>
          <w:p>
            <w:pPr/>
            <w:r>
              <w:rPr>
                <w:sz w:val="20"/>
              </w:rPr>
              <w:t>0.88</w:t>
            </w:r>
          </w:p>
        </w:tc>
      </w:tr>
      <w:tr>
        <w:tc>
          <w:tcPr>
            <w:tcW w:type="dxa" w:w="3168"/>
          </w:tcPr>
          <w:p>
            <w:pPr/>
            <w:r>
              <w:rPr>
                <w:sz w:val="20"/>
              </w:rPr>
              <w:t>Diuretic use, n (%)</w:t>
            </w:r>
          </w:p>
        </w:tc>
        <w:tc>
          <w:tcPr>
            <w:tcW w:type="dxa" w:w="2160"/>
          </w:tcPr>
          <w:p>
            <w:pPr/>
            <w:r>
              <w:rPr>
                <w:sz w:val="20"/>
              </w:rPr>
              <w:t>1,754 (83.1%)</w:t>
            </w:r>
          </w:p>
        </w:tc>
        <w:tc>
          <w:tcPr>
            <w:tcW w:type="dxa" w:w="2160"/>
          </w:tcPr>
          <w:p>
            <w:pPr/>
            <w:r>
              <w:rPr>
                <w:sz w:val="20"/>
              </w:rPr>
              <w:t>1,726 (82.0%)</w:t>
            </w:r>
          </w:p>
        </w:tc>
        <w:tc>
          <w:tcPr>
            <w:tcW w:type="dxa" w:w="1152"/>
          </w:tcPr>
          <w:p>
            <w:pPr/>
            <w:r>
              <w:rPr>
                <w:sz w:val="20"/>
              </w:rPr>
              <w:t>0.34</w:t>
            </w:r>
          </w:p>
        </w:tc>
      </w:tr>
      <w:tr>
        <w:tc>
          <w:tcPr>
            <w:tcW w:type="dxa" w:w="3168"/>
          </w:tcPr>
          <w:p>
            <w:pPr/>
            <w:r>
              <w:rPr>
                <w:sz w:val="20"/>
              </w:rPr>
              <w:t>SBP (mmHg), mean ± SD</w:t>
            </w:r>
          </w:p>
        </w:tc>
        <w:tc>
          <w:tcPr>
            <w:tcW w:type="dxa" w:w="2160"/>
          </w:tcPr>
          <w:p>
            <w:pPr/>
            <w:r>
              <w:rPr>
                <w:sz w:val="20"/>
              </w:rPr>
              <w:t>122.4 ± 16.2</w:t>
            </w:r>
          </w:p>
        </w:tc>
        <w:tc>
          <w:tcPr>
            <w:tcW w:type="dxa" w:w="2160"/>
          </w:tcPr>
          <w:p>
            <w:pPr/>
            <w:r>
              <w:rPr>
                <w:sz w:val="20"/>
              </w:rPr>
              <w:t>122.8 ± 16.0</w:t>
            </w:r>
          </w:p>
        </w:tc>
        <w:tc>
          <w:tcPr>
            <w:tcW w:type="dxa" w:w="1152"/>
          </w:tcPr>
          <w:p>
            <w:pPr/>
            <w:r>
              <w:rPr>
                <w:sz w:val="20"/>
              </w:rPr>
              <w:t>0.82</w:t>
            </w:r>
          </w:p>
        </w:tc>
      </w:tr>
      <w:tr>
        <w:tc>
          <w:tcPr>
            <w:tcW w:type="dxa" w:w="3168"/>
          </w:tcPr>
          <w:p>
            <w:pPr/>
            <w:r>
              <w:rPr>
                <w:sz w:val="20"/>
              </w:rPr>
              <w:t>eGFR (mL/min/1.73m²), mean ± SD</w:t>
            </w:r>
          </w:p>
        </w:tc>
        <w:tc>
          <w:tcPr>
            <w:tcW w:type="dxa" w:w="2160"/>
          </w:tcPr>
          <w:p>
            <w:pPr/>
            <w:r>
              <w:rPr>
                <w:sz w:val="20"/>
              </w:rPr>
              <w:t>68.4 ± 22.6</w:t>
            </w:r>
          </w:p>
        </w:tc>
        <w:tc>
          <w:tcPr>
            <w:tcW w:type="dxa" w:w="2160"/>
          </w:tcPr>
          <w:p>
            <w:pPr/>
            <w:r>
              <w:rPr>
                <w:sz w:val="20"/>
              </w:rPr>
              <w:t>67.8 ± 22.2</w:t>
            </w:r>
          </w:p>
        </w:tc>
        <w:tc>
          <w:tcPr>
            <w:tcW w:type="dxa" w:w="1152"/>
          </w:tcPr>
          <w:p>
            <w:pPr/>
            <w:r>
              <w:rPr>
                <w:sz w:val="20"/>
              </w:rPr>
              <w:t>0.78</w:t>
            </w:r>
          </w:p>
        </w:tc>
      </w:tr>
    </w:tbl>
    <w:p/>
    <w:p>
      <w:r>
        <w:br w:type="page"/>
      </w:r>
    </w:p>
    <w:p>
      <w:pPr>
        <w:pStyle w:val="Heading3"/>
      </w:pPr>
      <w:r>
        <w:t>13.1.2 Primary Endpoint — Composite of CV Death, MI, and HF Hospitalization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160"/>
            <w:shd w:fill="003366"/>
          </w:tcPr>
          <w:p>
            <w:pPr>
              <w:jc w:val="center"/>
            </w:pPr>
            <w:r>
              <w:rPr>
                <w:b/>
                <w:color w:val="FFFFFF"/>
                <w:sz w:val="20"/>
              </w:rPr>
              <w:t>Endpoint</w:t>
            </w:r>
          </w:p>
        </w:tc>
        <w:tc>
          <w:tcPr>
            <w:tcW w:type="dxa" w:w="1728"/>
            <w:shd w:fill="003366"/>
          </w:tcPr>
          <w:p>
            <w:pPr>
              <w:jc w:val="center"/>
            </w:pPr>
            <w:r>
              <w:rPr>
                <w:b/>
                <w:color w:val="FFFFFF"/>
                <w:sz w:val="20"/>
              </w:rPr>
              <w:t>Cardivex® n (%)</w:t>
            </w:r>
          </w:p>
        </w:tc>
        <w:tc>
          <w:tcPr>
            <w:tcW w:type="dxa" w:w="1728"/>
            <w:shd w:fill="003366"/>
          </w:tcPr>
          <w:p>
            <w:pPr>
              <w:jc w:val="center"/>
            </w:pPr>
            <w:r>
              <w:rPr>
                <w:b/>
                <w:color w:val="FFFFFF"/>
                <w:sz w:val="20"/>
              </w:rPr>
              <w:t>Placebo n (%)</w:t>
            </w:r>
          </w:p>
        </w:tc>
        <w:tc>
          <w:tcPr>
            <w:tcW w:type="dxa" w:w="1872"/>
            <w:shd w:fill="003366"/>
          </w:tcPr>
          <w:p>
            <w:pPr>
              <w:jc w:val="center"/>
            </w:pPr>
            <w:r>
              <w:rPr>
                <w:b/>
                <w:color w:val="FFFFFF"/>
                <w:sz w:val="20"/>
              </w:rPr>
              <w:t>HR (95% CI)</w:t>
            </w:r>
          </w:p>
        </w:tc>
        <w:tc>
          <w:tcPr>
            <w:tcW w:type="dxa" w:w="1152"/>
            <w:shd w:fill="003366"/>
          </w:tcPr>
          <w:p>
            <w:pPr>
              <w:jc w:val="center"/>
            </w:pPr>
            <w:r>
              <w:rPr>
                <w:b/>
                <w:color w:val="FFFFFF"/>
                <w:sz w:val="20"/>
              </w:rPr>
              <w:t>p-value</w:t>
            </w:r>
          </w:p>
        </w:tc>
      </w:tr>
      <w:tr>
        <w:tc>
          <w:tcPr>
            <w:tcW w:type="dxa" w:w="2160"/>
          </w:tcPr>
          <w:p>
            <w:pPr/>
            <w:r>
              <w:rPr>
                <w:sz w:val="20"/>
              </w:rPr>
              <w:t>Primary composite</w:t>
            </w:r>
          </w:p>
        </w:tc>
        <w:tc>
          <w:tcPr>
            <w:tcW w:type="dxa" w:w="1728"/>
          </w:tcPr>
          <w:p>
            <w:pPr/>
            <w:r>
              <w:rPr>
                <w:sz w:val="20"/>
              </w:rPr>
              <w:t>412 (19.5%)</w:t>
            </w:r>
          </w:p>
        </w:tc>
        <w:tc>
          <w:tcPr>
            <w:tcW w:type="dxa" w:w="1728"/>
          </w:tcPr>
          <w:p>
            <w:pPr/>
            <w:r>
              <w:rPr>
                <w:sz w:val="20"/>
              </w:rPr>
              <w:t>564 (26.8%)</w:t>
            </w:r>
          </w:p>
        </w:tc>
        <w:tc>
          <w:tcPr>
            <w:tcW w:type="dxa" w:w="1872"/>
          </w:tcPr>
          <w:p>
            <w:pPr/>
            <w:r>
              <w:rPr>
                <w:sz w:val="20"/>
              </w:rPr>
              <w:t>0.72 (0.63–0.82)</w:t>
            </w:r>
          </w:p>
        </w:tc>
        <w:tc>
          <w:tcPr>
            <w:tcW w:type="dxa" w:w="1152"/>
          </w:tcPr>
          <w:p>
            <w:pPr/>
            <w:r>
              <w:rPr>
                <w:sz w:val="20"/>
              </w:rPr>
              <w:t>&lt;0.001</w:t>
            </w:r>
          </w:p>
        </w:tc>
      </w:tr>
      <w:tr>
        <w:tc>
          <w:tcPr>
            <w:tcW w:type="dxa" w:w="2160"/>
          </w:tcPr>
          <w:p>
            <w:pPr/>
            <w:r>
              <w:rPr>
                <w:sz w:val="20"/>
              </w:rPr>
              <w:t>CV death</w:t>
            </w:r>
          </w:p>
        </w:tc>
        <w:tc>
          <w:tcPr>
            <w:tcW w:type="dxa" w:w="1728"/>
          </w:tcPr>
          <w:p>
            <w:pPr/>
            <w:r>
              <w:rPr>
                <w:sz w:val="20"/>
              </w:rPr>
              <w:t>168 (8.0%)</w:t>
            </w:r>
          </w:p>
        </w:tc>
        <w:tc>
          <w:tcPr>
            <w:tcW w:type="dxa" w:w="1728"/>
          </w:tcPr>
          <w:p>
            <w:pPr/>
            <w:r>
              <w:rPr>
                <w:sz w:val="20"/>
              </w:rPr>
              <w:t>242 (11.5%)</w:t>
            </w:r>
          </w:p>
        </w:tc>
        <w:tc>
          <w:tcPr>
            <w:tcW w:type="dxa" w:w="1872"/>
          </w:tcPr>
          <w:p>
            <w:pPr/>
            <w:r>
              <w:rPr>
                <w:sz w:val="20"/>
              </w:rPr>
              <w:t>0.68 (0.56–0.83)</w:t>
            </w:r>
          </w:p>
        </w:tc>
        <w:tc>
          <w:tcPr>
            <w:tcW w:type="dxa" w:w="1152"/>
          </w:tcPr>
          <w:p>
            <w:pPr/>
            <w:r>
              <w:rPr>
                <w:sz w:val="20"/>
              </w:rPr>
              <w:t>&lt;0.001</w:t>
            </w:r>
          </w:p>
        </w:tc>
      </w:tr>
      <w:tr>
        <w:tc>
          <w:tcPr>
            <w:tcW w:type="dxa" w:w="2160"/>
          </w:tcPr>
          <w:p>
            <w:pPr/>
            <w:r>
              <w:rPr>
                <w:sz w:val="20"/>
              </w:rPr>
              <w:t>Non-fatal MI</w:t>
            </w:r>
          </w:p>
        </w:tc>
        <w:tc>
          <w:tcPr>
            <w:tcW w:type="dxa" w:w="1728"/>
          </w:tcPr>
          <w:p>
            <w:pPr/>
            <w:r>
              <w:rPr>
                <w:sz w:val="20"/>
              </w:rPr>
              <w:t>98 (4.6%)</w:t>
            </w:r>
          </w:p>
        </w:tc>
        <w:tc>
          <w:tcPr>
            <w:tcW w:type="dxa" w:w="1728"/>
          </w:tcPr>
          <w:p>
            <w:pPr/>
            <w:r>
              <w:rPr>
                <w:sz w:val="20"/>
              </w:rPr>
              <w:t>126 (6.0%)</w:t>
            </w:r>
          </w:p>
        </w:tc>
        <w:tc>
          <w:tcPr>
            <w:tcW w:type="dxa" w:w="1872"/>
          </w:tcPr>
          <w:p>
            <w:pPr/>
            <w:r>
              <w:rPr>
                <w:sz w:val="20"/>
              </w:rPr>
              <w:t>0.77 (0.59–1.00)</w:t>
            </w:r>
          </w:p>
        </w:tc>
        <w:tc>
          <w:tcPr>
            <w:tcW w:type="dxa" w:w="1152"/>
          </w:tcPr>
          <w:p>
            <w:pPr/>
            <w:r>
              <w:rPr>
                <w:sz w:val="20"/>
              </w:rPr>
              <w:t>0.048</w:t>
            </w:r>
          </w:p>
        </w:tc>
      </w:tr>
      <w:tr>
        <w:tc>
          <w:tcPr>
            <w:tcW w:type="dxa" w:w="2160"/>
          </w:tcPr>
          <w:p>
            <w:pPr/>
            <w:r>
              <w:rPr>
                <w:sz w:val="20"/>
              </w:rPr>
              <w:t>HF hospitalization</w:t>
            </w:r>
          </w:p>
        </w:tc>
        <w:tc>
          <w:tcPr>
            <w:tcW w:type="dxa" w:w="1728"/>
          </w:tcPr>
          <w:p>
            <w:pPr/>
            <w:r>
              <w:rPr>
                <w:sz w:val="20"/>
              </w:rPr>
              <w:t>218 (10.3%)</w:t>
            </w:r>
          </w:p>
        </w:tc>
        <w:tc>
          <w:tcPr>
            <w:tcW w:type="dxa" w:w="1728"/>
          </w:tcPr>
          <w:p>
            <w:pPr/>
            <w:r>
              <w:rPr>
                <w:sz w:val="20"/>
              </w:rPr>
              <w:t>312 (14.8%)</w:t>
            </w:r>
          </w:p>
        </w:tc>
        <w:tc>
          <w:tcPr>
            <w:tcW w:type="dxa" w:w="1872"/>
          </w:tcPr>
          <w:p>
            <w:pPr/>
            <w:r>
              <w:rPr>
                <w:sz w:val="20"/>
              </w:rPr>
              <w:t>0.69 (0.58–0.82)</w:t>
            </w:r>
          </w:p>
        </w:tc>
        <w:tc>
          <w:tcPr>
            <w:tcW w:type="dxa" w:w="1152"/>
          </w:tcPr>
          <w:p>
            <w:pPr/>
            <w:r>
              <w:rPr>
                <w:sz w:val="20"/>
              </w:rPr>
              <w:t>&lt;0.001</w:t>
            </w:r>
          </w:p>
        </w:tc>
      </w:tr>
      <w:tr>
        <w:tc>
          <w:tcPr>
            <w:tcW w:type="dxa" w:w="2160"/>
          </w:tcPr>
          <w:p>
            <w:pPr/>
            <w:r>
              <w:rPr>
                <w:sz w:val="20"/>
              </w:rPr>
              <w:t>All-cause mortality</w:t>
            </w:r>
          </w:p>
        </w:tc>
        <w:tc>
          <w:tcPr>
            <w:tcW w:type="dxa" w:w="1728"/>
          </w:tcPr>
          <w:p>
            <w:pPr/>
            <w:r>
              <w:rPr>
                <w:sz w:val="20"/>
              </w:rPr>
              <w:t>224 (10.6%)</w:t>
            </w:r>
          </w:p>
        </w:tc>
        <w:tc>
          <w:tcPr>
            <w:tcW w:type="dxa" w:w="1728"/>
          </w:tcPr>
          <w:p>
            <w:pPr/>
            <w:r>
              <w:rPr>
                <w:sz w:val="20"/>
              </w:rPr>
              <w:t>310 (14.7%)</w:t>
            </w:r>
          </w:p>
        </w:tc>
        <w:tc>
          <w:tcPr>
            <w:tcW w:type="dxa" w:w="1872"/>
          </w:tcPr>
          <w:p>
            <w:pPr/>
            <w:r>
              <w:rPr>
                <w:sz w:val="20"/>
              </w:rPr>
              <w:t>0.71 (0.60–0.84)</w:t>
            </w:r>
          </w:p>
        </w:tc>
        <w:tc>
          <w:tcPr>
            <w:tcW w:type="dxa" w:w="1152"/>
          </w:tcPr>
          <w:p>
            <w:pPr/>
            <w:r>
              <w:rPr>
                <w:sz w:val="20"/>
              </w:rPr>
              <w:t>&lt;0.001</w:t>
            </w:r>
          </w:p>
        </w:tc>
      </w:tr>
    </w:tbl>
    <w:p/>
    <w:p>
      <w:r>
        <w:t>The primary composite endpoint was met with a highly significant 28% relative risk reduction (HR 0.72, 95% CI: 0.63–0.82, p&lt;0.001). All individual components contributed positively to the composite. The NNT to prevent one primary endpoint event over 28 months was 14.</w:t>
      </w:r>
    </w:p>
    <w:p>
      <w:pPr>
        <w:pStyle w:val="Heading2"/>
      </w:pPr>
      <w:r>
        <w:t>13.2 CARDIO-PRESS Trial (CV-302) — Hypertension</w:t>
      </w:r>
    </w:p>
    <w:p>
      <w:r>
        <w:t>CARDIO-PRESS was a randomized, double-blind, active-controlled, non-inferiority trial comparing Cardivex® 100 mg to amlodipine 5 mg in 2,842 patients with Stage 1–2 hypertension. The primary endpoint was change in 24-hour ambulatory SBP at Week 12. The non-inferiority margin was 3 mmHg.</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04"/>
            <w:shd w:fill="003366"/>
          </w:tcPr>
          <w:p>
            <w:pPr>
              <w:jc w:val="center"/>
            </w:pPr>
            <w:r>
              <w:rPr>
                <w:b/>
                <w:color w:val="FFFFFF"/>
                <w:sz w:val="20"/>
              </w:rPr>
              <w:t>Parameter</w:t>
            </w:r>
          </w:p>
        </w:tc>
        <w:tc>
          <w:tcPr>
            <w:tcW w:type="dxa" w:w="2304"/>
            <w:shd w:fill="003366"/>
          </w:tcPr>
          <w:p>
            <w:pPr>
              <w:jc w:val="center"/>
            </w:pPr>
            <w:r>
              <w:rPr>
                <w:b/>
                <w:color w:val="FFFFFF"/>
                <w:sz w:val="20"/>
              </w:rPr>
              <w:t>Cardivex® 100 mg (N=1,424)</w:t>
            </w:r>
          </w:p>
        </w:tc>
        <w:tc>
          <w:tcPr>
            <w:tcW w:type="dxa" w:w="2304"/>
            <w:shd w:fill="003366"/>
          </w:tcPr>
          <w:p>
            <w:pPr>
              <w:jc w:val="center"/>
            </w:pPr>
            <w:r>
              <w:rPr>
                <w:b/>
                <w:color w:val="FFFFFF"/>
                <w:sz w:val="20"/>
              </w:rPr>
              <w:t>Amlodipine 5 mg (N=1,418)</w:t>
            </w:r>
          </w:p>
        </w:tc>
        <w:tc>
          <w:tcPr>
            <w:tcW w:type="dxa" w:w="2304"/>
            <w:shd w:fill="003366"/>
          </w:tcPr>
          <w:p>
            <w:pPr>
              <w:jc w:val="center"/>
            </w:pPr>
            <w:r>
              <w:rPr>
                <w:b/>
                <w:color w:val="FFFFFF"/>
                <w:sz w:val="20"/>
              </w:rPr>
              <w:t>Difference (95% CI)</w:t>
            </w:r>
          </w:p>
        </w:tc>
      </w:tr>
      <w:tr>
        <w:tc>
          <w:tcPr>
            <w:tcW w:type="dxa" w:w="2304"/>
          </w:tcPr>
          <w:p>
            <w:pPr/>
            <w:r>
              <w:rPr>
                <w:sz w:val="20"/>
              </w:rPr>
              <w:t>24h ambulatory SBP (mmHg)</w:t>
            </w:r>
          </w:p>
        </w:tc>
        <w:tc>
          <w:tcPr>
            <w:tcW w:type="dxa" w:w="2304"/>
          </w:tcPr>
          <w:p>
            <w:pPr/>
            <w:r>
              <w:rPr>
                <w:sz w:val="20"/>
              </w:rPr>
              <w:t>−16.8 ± 8.2</w:t>
            </w:r>
          </w:p>
        </w:tc>
        <w:tc>
          <w:tcPr>
            <w:tcW w:type="dxa" w:w="2304"/>
          </w:tcPr>
          <w:p>
            <w:pPr/>
            <w:r>
              <w:rPr>
                <w:sz w:val="20"/>
              </w:rPr>
              <w:t>−15.4 ± 7.8</w:t>
            </w:r>
          </w:p>
        </w:tc>
        <w:tc>
          <w:tcPr>
            <w:tcW w:type="dxa" w:w="2304"/>
          </w:tcPr>
          <w:p>
            <w:pPr/>
            <w:r>
              <w:rPr>
                <w:sz w:val="20"/>
              </w:rPr>
              <w:t>−1.4 (−2.6, −0.2)*</w:t>
            </w:r>
          </w:p>
        </w:tc>
      </w:tr>
      <w:tr>
        <w:tc>
          <w:tcPr>
            <w:tcW w:type="dxa" w:w="2304"/>
          </w:tcPr>
          <w:p>
            <w:pPr/>
            <w:r>
              <w:rPr>
                <w:sz w:val="20"/>
              </w:rPr>
              <w:t>Daytime SBP (mmHg)</w:t>
            </w:r>
          </w:p>
        </w:tc>
        <w:tc>
          <w:tcPr>
            <w:tcW w:type="dxa" w:w="2304"/>
          </w:tcPr>
          <w:p>
            <w:pPr/>
            <w:r>
              <w:rPr>
                <w:sz w:val="20"/>
              </w:rPr>
              <w:t>−18.2 ± 8.6</w:t>
            </w:r>
          </w:p>
        </w:tc>
        <w:tc>
          <w:tcPr>
            <w:tcW w:type="dxa" w:w="2304"/>
          </w:tcPr>
          <w:p>
            <w:pPr/>
            <w:r>
              <w:rPr>
                <w:sz w:val="20"/>
              </w:rPr>
              <w:t>−17.0 ± 8.4</w:t>
            </w:r>
          </w:p>
        </w:tc>
        <w:tc>
          <w:tcPr>
            <w:tcW w:type="dxa" w:w="2304"/>
          </w:tcPr>
          <w:p>
            <w:pPr/>
            <w:r>
              <w:rPr>
                <w:sz w:val="20"/>
              </w:rPr>
              <w:t>−1.2 (−2.4, 0.0)</w:t>
            </w:r>
          </w:p>
        </w:tc>
      </w:tr>
      <w:tr>
        <w:tc>
          <w:tcPr>
            <w:tcW w:type="dxa" w:w="2304"/>
          </w:tcPr>
          <w:p>
            <w:pPr/>
            <w:r>
              <w:rPr>
                <w:sz w:val="20"/>
              </w:rPr>
              <w:t>Nighttime SBP (mmHg)</w:t>
            </w:r>
          </w:p>
        </w:tc>
        <w:tc>
          <w:tcPr>
            <w:tcW w:type="dxa" w:w="2304"/>
          </w:tcPr>
          <w:p>
            <w:pPr/>
            <w:r>
              <w:rPr>
                <w:sz w:val="20"/>
              </w:rPr>
              <w:t>−14.6 ± 7.4</w:t>
            </w:r>
          </w:p>
        </w:tc>
        <w:tc>
          <w:tcPr>
            <w:tcW w:type="dxa" w:w="2304"/>
          </w:tcPr>
          <w:p>
            <w:pPr/>
            <w:r>
              <w:rPr>
                <w:sz w:val="20"/>
              </w:rPr>
              <w:t>−12.8 ± 7.0</w:t>
            </w:r>
          </w:p>
        </w:tc>
        <w:tc>
          <w:tcPr>
            <w:tcW w:type="dxa" w:w="2304"/>
          </w:tcPr>
          <w:p>
            <w:pPr/>
            <w:r>
              <w:rPr>
                <w:sz w:val="20"/>
              </w:rPr>
              <w:t>−1.8 (−3.0, −0.6)*</w:t>
            </w:r>
          </w:p>
        </w:tc>
      </w:tr>
      <w:tr>
        <w:tc>
          <w:tcPr>
            <w:tcW w:type="dxa" w:w="2304"/>
          </w:tcPr>
          <w:p>
            <w:pPr/>
            <w:r>
              <w:rPr>
                <w:sz w:val="20"/>
              </w:rPr>
              <w:t>Office SBP (mmHg)</w:t>
            </w:r>
          </w:p>
        </w:tc>
        <w:tc>
          <w:tcPr>
            <w:tcW w:type="dxa" w:w="2304"/>
          </w:tcPr>
          <w:p>
            <w:pPr/>
            <w:r>
              <w:rPr>
                <w:sz w:val="20"/>
              </w:rPr>
              <w:t>−19.6 ± 10.2</w:t>
            </w:r>
          </w:p>
        </w:tc>
        <w:tc>
          <w:tcPr>
            <w:tcW w:type="dxa" w:w="2304"/>
          </w:tcPr>
          <w:p>
            <w:pPr/>
            <w:r>
              <w:rPr>
                <w:sz w:val="20"/>
              </w:rPr>
              <w:t>−18.8 ± 9.8</w:t>
            </w:r>
          </w:p>
        </w:tc>
        <w:tc>
          <w:tcPr>
            <w:tcW w:type="dxa" w:w="2304"/>
          </w:tcPr>
          <w:p>
            <w:pPr/>
            <w:r>
              <w:rPr>
                <w:sz w:val="20"/>
              </w:rPr>
              <w:t>−0.8 (−2.4, 0.8)</w:t>
            </w:r>
          </w:p>
        </w:tc>
      </w:tr>
      <w:tr>
        <w:tc>
          <w:tcPr>
            <w:tcW w:type="dxa" w:w="2304"/>
          </w:tcPr>
          <w:p>
            <w:pPr/>
            <w:r>
              <w:rPr>
                <w:sz w:val="20"/>
              </w:rPr>
              <w:t>Heart rate (bpm)</w:t>
            </w:r>
          </w:p>
        </w:tc>
        <w:tc>
          <w:tcPr>
            <w:tcW w:type="dxa" w:w="2304"/>
          </w:tcPr>
          <w:p>
            <w:pPr/>
            <w:r>
              <w:rPr>
                <w:sz w:val="20"/>
              </w:rPr>
              <w:t>−12.4 ± 4.6</w:t>
            </w:r>
          </w:p>
        </w:tc>
        <w:tc>
          <w:tcPr>
            <w:tcW w:type="dxa" w:w="2304"/>
          </w:tcPr>
          <w:p>
            <w:pPr/>
            <w:r>
              <w:rPr>
                <w:sz w:val="20"/>
              </w:rPr>
              <w:t>−0.2 ± 3.8</w:t>
            </w:r>
          </w:p>
        </w:tc>
        <w:tc>
          <w:tcPr>
            <w:tcW w:type="dxa" w:w="2304"/>
          </w:tcPr>
          <w:p>
            <w:pPr/>
            <w:r>
              <w:rPr>
                <w:sz w:val="20"/>
              </w:rPr>
              <w:t>−12.2 (−13.4, −11.0)*</w:t>
            </w:r>
          </w:p>
        </w:tc>
      </w:tr>
      <w:tr>
        <w:tc>
          <w:tcPr>
            <w:tcW w:type="dxa" w:w="2304"/>
          </w:tcPr>
          <w:p>
            <w:pPr/>
            <w:r>
              <w:rPr>
                <w:sz w:val="20"/>
              </w:rPr>
              <w:t>BP control rate (&lt;140/90)</w:t>
            </w:r>
          </w:p>
        </w:tc>
        <w:tc>
          <w:tcPr>
            <w:tcW w:type="dxa" w:w="2304"/>
          </w:tcPr>
          <w:p>
            <w:pPr/>
            <w:r>
              <w:rPr>
                <w:sz w:val="20"/>
              </w:rPr>
              <w:t>72.8%</w:t>
            </w:r>
          </w:p>
        </w:tc>
        <w:tc>
          <w:tcPr>
            <w:tcW w:type="dxa" w:w="2304"/>
          </w:tcPr>
          <w:p>
            <w:pPr/>
            <w:r>
              <w:rPr>
                <w:sz w:val="20"/>
              </w:rPr>
              <w:t>69.4%</w:t>
            </w:r>
          </w:p>
        </w:tc>
        <w:tc>
          <w:tcPr>
            <w:tcW w:type="dxa" w:w="2304"/>
          </w:tcPr>
          <w:p>
            <w:pPr/>
            <w:r>
              <w:rPr>
                <w:sz w:val="20"/>
              </w:rPr>
              <w:t>+3.4% (0.2, 6.6)*</w:t>
            </w:r>
          </w:p>
        </w:tc>
      </w:tr>
    </w:tbl>
    <w:p/>
    <w:p>
      <w:r>
        <w:t>*p&lt;0.05. Non-inferiority was demonstrated (upper bound of CI &lt; 3 mmHg margin).</w:t>
      </w:r>
    </w:p>
    <w:p>
      <w:r>
        <w:br w:type="page"/>
      </w:r>
    </w:p>
    <w:p>
      <w:pPr>
        <w:pStyle w:val="Heading2"/>
      </w:pPr>
      <w:r>
        <w:t>13.3 ANGI-RESOLVE Trial (CV-303) — Stable Angina</w:t>
      </w:r>
    </w:p>
    <w:p>
      <w:r>
        <w:t>ANGI-RESOLVE was a randomized, double-blind, placebo-controlled, crossover study in 386 patients with chronic stable angina. Each treatment period was 6 weeks with a 2-week washout between periods. The primary endpoint was change in total exercise duration on the modified Bruce treadmill protocol.</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880"/>
            <w:shd w:fill="003366"/>
          </w:tcPr>
          <w:p>
            <w:pPr>
              <w:jc w:val="center"/>
            </w:pPr>
            <w:r>
              <w:rPr>
                <w:b/>
                <w:color w:val="FFFFFF"/>
                <w:sz w:val="20"/>
              </w:rPr>
              <w:t>Exercise Parameter</w:t>
            </w:r>
          </w:p>
        </w:tc>
        <w:tc>
          <w:tcPr>
            <w:tcW w:type="dxa" w:w="1728"/>
            <w:shd w:fill="003366"/>
          </w:tcPr>
          <w:p>
            <w:pPr>
              <w:jc w:val="center"/>
            </w:pPr>
            <w:r>
              <w:rPr>
                <w:b/>
                <w:color w:val="FFFFFF"/>
                <w:sz w:val="20"/>
              </w:rPr>
              <w:t>Placebo</w:t>
            </w:r>
          </w:p>
        </w:tc>
        <w:tc>
          <w:tcPr>
            <w:tcW w:type="dxa" w:w="2016"/>
            <w:shd w:fill="003366"/>
          </w:tcPr>
          <w:p>
            <w:pPr>
              <w:jc w:val="center"/>
            </w:pPr>
            <w:r>
              <w:rPr>
                <w:b/>
                <w:color w:val="FFFFFF"/>
                <w:sz w:val="20"/>
              </w:rPr>
              <w:t>Cardivex® 100 mg</w:t>
            </w:r>
          </w:p>
        </w:tc>
        <w:tc>
          <w:tcPr>
            <w:tcW w:type="dxa" w:w="1440"/>
            <w:shd w:fill="003366"/>
          </w:tcPr>
          <w:p>
            <w:pPr>
              <w:jc w:val="center"/>
            </w:pPr>
            <w:r>
              <w:rPr>
                <w:b/>
                <w:color w:val="FFFFFF"/>
                <w:sz w:val="20"/>
              </w:rPr>
              <w:t>Difference</w:t>
            </w:r>
          </w:p>
        </w:tc>
        <w:tc>
          <w:tcPr>
            <w:tcW w:type="dxa" w:w="1152"/>
            <w:shd w:fill="003366"/>
          </w:tcPr>
          <w:p>
            <w:pPr>
              <w:jc w:val="center"/>
            </w:pPr>
            <w:r>
              <w:rPr>
                <w:b/>
                <w:color w:val="FFFFFF"/>
                <w:sz w:val="20"/>
              </w:rPr>
              <w:t>p-value</w:t>
            </w:r>
          </w:p>
        </w:tc>
      </w:tr>
      <w:tr>
        <w:tc>
          <w:tcPr>
            <w:tcW w:type="dxa" w:w="2880"/>
          </w:tcPr>
          <w:p>
            <w:pPr/>
            <w:r>
              <w:rPr>
                <w:sz w:val="20"/>
              </w:rPr>
              <w:t>Total exercise duration (sec)</w:t>
            </w:r>
          </w:p>
        </w:tc>
        <w:tc>
          <w:tcPr>
            <w:tcW w:type="dxa" w:w="1728"/>
          </w:tcPr>
          <w:p>
            <w:pPr/>
            <w:r>
              <w:rPr>
                <w:sz w:val="20"/>
              </w:rPr>
              <w:t>412 ± 98</w:t>
            </w:r>
          </w:p>
        </w:tc>
        <w:tc>
          <w:tcPr>
            <w:tcW w:type="dxa" w:w="2016"/>
          </w:tcPr>
          <w:p>
            <w:pPr/>
            <w:r>
              <w:rPr>
                <w:sz w:val="20"/>
              </w:rPr>
              <w:t>486 ± 102</w:t>
            </w:r>
          </w:p>
        </w:tc>
        <w:tc>
          <w:tcPr>
            <w:tcW w:type="dxa" w:w="1440"/>
          </w:tcPr>
          <w:p>
            <w:pPr/>
            <w:r>
              <w:rPr>
                <w:sz w:val="20"/>
              </w:rPr>
              <w:t>+74 ± 28</w:t>
            </w:r>
          </w:p>
        </w:tc>
        <w:tc>
          <w:tcPr>
            <w:tcW w:type="dxa" w:w="1152"/>
          </w:tcPr>
          <w:p>
            <w:pPr/>
            <w:r>
              <w:rPr>
                <w:sz w:val="20"/>
              </w:rPr>
              <w:t>&lt;0.001</w:t>
            </w:r>
          </w:p>
        </w:tc>
      </w:tr>
      <w:tr>
        <w:tc>
          <w:tcPr>
            <w:tcW w:type="dxa" w:w="2880"/>
          </w:tcPr>
          <w:p>
            <w:pPr/>
            <w:r>
              <w:rPr>
                <w:sz w:val="20"/>
              </w:rPr>
              <w:t>Time to 1 mm ST depression (sec)</w:t>
            </w:r>
          </w:p>
        </w:tc>
        <w:tc>
          <w:tcPr>
            <w:tcW w:type="dxa" w:w="1728"/>
          </w:tcPr>
          <w:p>
            <w:pPr/>
            <w:r>
              <w:rPr>
                <w:sz w:val="20"/>
              </w:rPr>
              <w:t>326 ± 88</w:t>
            </w:r>
          </w:p>
        </w:tc>
        <w:tc>
          <w:tcPr>
            <w:tcW w:type="dxa" w:w="2016"/>
          </w:tcPr>
          <w:p>
            <w:pPr/>
            <w:r>
              <w:rPr>
                <w:sz w:val="20"/>
              </w:rPr>
              <w:t>402 ± 94</w:t>
            </w:r>
          </w:p>
        </w:tc>
        <w:tc>
          <w:tcPr>
            <w:tcW w:type="dxa" w:w="1440"/>
          </w:tcPr>
          <w:p>
            <w:pPr/>
            <w:r>
              <w:rPr>
                <w:sz w:val="20"/>
              </w:rPr>
              <w:t>+76 ± 32</w:t>
            </w:r>
          </w:p>
        </w:tc>
        <w:tc>
          <w:tcPr>
            <w:tcW w:type="dxa" w:w="1152"/>
          </w:tcPr>
          <w:p>
            <w:pPr/>
            <w:r>
              <w:rPr>
                <w:sz w:val="20"/>
              </w:rPr>
              <w:t>&lt;0.001</w:t>
            </w:r>
          </w:p>
        </w:tc>
      </w:tr>
      <w:tr>
        <w:tc>
          <w:tcPr>
            <w:tcW w:type="dxa" w:w="2880"/>
          </w:tcPr>
          <w:p>
            <w:pPr/>
            <w:r>
              <w:rPr>
                <w:sz w:val="20"/>
              </w:rPr>
              <w:t>Time to onset of angina (sec)</w:t>
            </w:r>
          </w:p>
        </w:tc>
        <w:tc>
          <w:tcPr>
            <w:tcW w:type="dxa" w:w="1728"/>
          </w:tcPr>
          <w:p>
            <w:pPr/>
            <w:r>
              <w:rPr>
                <w:sz w:val="20"/>
              </w:rPr>
              <w:t>348 ± 92</w:t>
            </w:r>
          </w:p>
        </w:tc>
        <w:tc>
          <w:tcPr>
            <w:tcW w:type="dxa" w:w="2016"/>
          </w:tcPr>
          <w:p>
            <w:pPr/>
            <w:r>
              <w:rPr>
                <w:sz w:val="20"/>
              </w:rPr>
              <w:t>428 ± 96</w:t>
            </w:r>
          </w:p>
        </w:tc>
        <w:tc>
          <w:tcPr>
            <w:tcW w:type="dxa" w:w="1440"/>
          </w:tcPr>
          <w:p>
            <w:pPr/>
            <w:r>
              <w:rPr>
                <w:sz w:val="20"/>
              </w:rPr>
              <w:t>+80 ± 30</w:t>
            </w:r>
          </w:p>
        </w:tc>
        <w:tc>
          <w:tcPr>
            <w:tcW w:type="dxa" w:w="1152"/>
          </w:tcPr>
          <w:p>
            <w:pPr/>
            <w:r>
              <w:rPr>
                <w:sz w:val="20"/>
              </w:rPr>
              <w:t>&lt;0.001</w:t>
            </w:r>
          </w:p>
        </w:tc>
      </w:tr>
      <w:tr>
        <w:tc>
          <w:tcPr>
            <w:tcW w:type="dxa" w:w="2880"/>
          </w:tcPr>
          <w:p>
            <w:pPr/>
            <w:r>
              <w:rPr>
                <w:sz w:val="20"/>
              </w:rPr>
              <w:t>Angina episodes/week</w:t>
            </w:r>
          </w:p>
        </w:tc>
        <w:tc>
          <w:tcPr>
            <w:tcW w:type="dxa" w:w="1728"/>
          </w:tcPr>
          <w:p>
            <w:pPr/>
            <w:r>
              <w:rPr>
                <w:sz w:val="20"/>
              </w:rPr>
              <w:t>4.8 ± 2.6</w:t>
            </w:r>
          </w:p>
        </w:tc>
        <w:tc>
          <w:tcPr>
            <w:tcW w:type="dxa" w:w="2016"/>
          </w:tcPr>
          <w:p>
            <w:pPr/>
            <w:r>
              <w:rPr>
                <w:sz w:val="20"/>
              </w:rPr>
              <w:t>2.1 ± 1.8</w:t>
            </w:r>
          </w:p>
        </w:tc>
        <w:tc>
          <w:tcPr>
            <w:tcW w:type="dxa" w:w="1440"/>
          </w:tcPr>
          <w:p>
            <w:pPr/>
            <w:r>
              <w:rPr>
                <w:sz w:val="20"/>
              </w:rPr>
              <w:t>−2.7 ± 1.4</w:t>
            </w:r>
          </w:p>
        </w:tc>
        <w:tc>
          <w:tcPr>
            <w:tcW w:type="dxa" w:w="1152"/>
          </w:tcPr>
          <w:p>
            <w:pPr/>
            <w:r>
              <w:rPr>
                <w:sz w:val="20"/>
              </w:rPr>
              <w:t>&lt;0.001</w:t>
            </w:r>
          </w:p>
        </w:tc>
      </w:tr>
      <w:tr>
        <w:tc>
          <w:tcPr>
            <w:tcW w:type="dxa" w:w="2880"/>
          </w:tcPr>
          <w:p>
            <w:pPr/>
            <w:r>
              <w:rPr>
                <w:sz w:val="20"/>
              </w:rPr>
              <w:t>NTG use/week (tablets)</w:t>
            </w:r>
          </w:p>
        </w:tc>
        <w:tc>
          <w:tcPr>
            <w:tcW w:type="dxa" w:w="1728"/>
          </w:tcPr>
          <w:p>
            <w:pPr/>
            <w:r>
              <w:rPr>
                <w:sz w:val="20"/>
              </w:rPr>
              <w:t>3.6 ± 2.2</w:t>
            </w:r>
          </w:p>
        </w:tc>
        <w:tc>
          <w:tcPr>
            <w:tcW w:type="dxa" w:w="2016"/>
          </w:tcPr>
          <w:p>
            <w:pPr/>
            <w:r>
              <w:rPr>
                <w:sz w:val="20"/>
              </w:rPr>
              <w:t>1.4 ± 1.4</w:t>
            </w:r>
          </w:p>
        </w:tc>
        <w:tc>
          <w:tcPr>
            <w:tcW w:type="dxa" w:w="1440"/>
          </w:tcPr>
          <w:p>
            <w:pPr/>
            <w:r>
              <w:rPr>
                <w:sz w:val="20"/>
              </w:rPr>
              <w:t>−2.2 ± 1.2</w:t>
            </w:r>
          </w:p>
        </w:tc>
        <w:tc>
          <w:tcPr>
            <w:tcW w:type="dxa" w:w="1152"/>
          </w:tcPr>
          <w:p>
            <w:pPr/>
            <w:r>
              <w:rPr>
                <w:sz w:val="20"/>
              </w:rPr>
              <w:t>&lt;0.001</w:t>
            </w:r>
          </w:p>
        </w:tc>
      </w:tr>
    </w:tbl>
    <w:p/>
    <w:p>
      <w:r>
        <w:br w:type="page"/>
      </w:r>
    </w:p>
    <w:p>
      <w:pPr>
        <w:pStyle w:val="Heading1"/>
      </w:pPr>
      <w:r>
        <w:t>14. Efficacy Summary</w:t>
      </w:r>
    </w:p>
    <w:p>
      <w:pPr>
        <w:pStyle w:val="Heading2"/>
      </w:pPr>
      <w:r>
        <w:t>14.1 Overview of Clinical Efficacy Across Indications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fill="003366"/>
          </w:tcPr>
          <w:p>
            <w:pPr>
              <w:jc w:val="center"/>
            </w:pPr>
            <w:r>
              <w:rPr>
                <w:b/>
                <w:color w:val="FFFFFF"/>
                <w:sz w:val="20"/>
              </w:rPr>
              <w:t>Study</w:t>
            </w:r>
          </w:p>
        </w:tc>
        <w:tc>
          <w:tcPr>
            <w:tcW w:type="dxa" w:w="1296"/>
            <w:shd w:fill="003366"/>
          </w:tcPr>
          <w:p>
            <w:pPr>
              <w:jc w:val="center"/>
            </w:pPr>
            <w:r>
              <w:rPr>
                <w:b/>
                <w:color w:val="FFFFFF"/>
                <w:sz w:val="20"/>
              </w:rPr>
              <w:t>Indication</w:t>
            </w:r>
          </w:p>
        </w:tc>
        <w:tc>
          <w:tcPr>
            <w:tcW w:type="dxa" w:w="720"/>
            <w:shd w:fill="003366"/>
          </w:tcPr>
          <w:p>
            <w:pPr>
              <w:jc w:val="center"/>
            </w:pPr>
            <w:r>
              <w:rPr>
                <w:b/>
                <w:color w:val="FFFFFF"/>
                <w:sz w:val="20"/>
              </w:rPr>
              <w:t>N</w:t>
            </w:r>
          </w:p>
        </w:tc>
        <w:tc>
          <w:tcPr>
            <w:tcW w:type="dxa" w:w="1440"/>
            <w:shd w:fill="003366"/>
          </w:tcPr>
          <w:p>
            <w:pPr>
              <w:jc w:val="center"/>
            </w:pPr>
            <w:r>
              <w:rPr>
                <w:b/>
                <w:color w:val="FFFFFF"/>
                <w:sz w:val="20"/>
              </w:rPr>
              <w:t>Design</w:t>
            </w:r>
          </w:p>
        </w:tc>
        <w:tc>
          <w:tcPr>
            <w:tcW w:type="dxa" w:w="1728"/>
            <w:shd w:fill="003366"/>
          </w:tcPr>
          <w:p>
            <w:pPr>
              <w:jc w:val="center"/>
            </w:pPr>
            <w:r>
              <w:rPr>
                <w:b/>
                <w:color w:val="FFFFFF"/>
                <w:sz w:val="20"/>
              </w:rPr>
              <w:t>Primary Endpoint</w:t>
            </w:r>
          </w:p>
        </w:tc>
        <w:tc>
          <w:tcPr>
            <w:tcW w:type="dxa" w:w="2592"/>
            <w:shd w:fill="003366"/>
          </w:tcPr>
          <w:p>
            <w:pPr>
              <w:jc w:val="center"/>
            </w:pPr>
            <w:r>
              <w:rPr>
                <w:b/>
                <w:color w:val="FFFFFF"/>
                <w:sz w:val="20"/>
              </w:rPr>
              <w:t>Key Result</w:t>
            </w:r>
          </w:p>
        </w:tc>
      </w:tr>
      <w:tr>
        <w:tc>
          <w:tcPr>
            <w:tcW w:type="dxa" w:w="1584"/>
          </w:tcPr>
          <w:p>
            <w:pPr/>
            <w:r>
              <w:rPr>
                <w:sz w:val="20"/>
              </w:rPr>
              <w:t>CARDINAL (CV-201)</w:t>
            </w:r>
          </w:p>
        </w:tc>
        <w:tc>
          <w:tcPr>
            <w:tcW w:type="dxa" w:w="1296"/>
          </w:tcPr>
          <w:p>
            <w:pPr/>
            <w:r>
              <w:rPr>
                <w:sz w:val="20"/>
              </w:rPr>
              <w:t>Hypertension</w:t>
            </w:r>
          </w:p>
        </w:tc>
        <w:tc>
          <w:tcPr>
            <w:tcW w:type="dxa" w:w="720"/>
          </w:tcPr>
          <w:p>
            <w:pPr/>
            <w:r>
              <w:rPr>
                <w:sz w:val="20"/>
              </w:rPr>
              <w:t>680</w:t>
            </w:r>
          </w:p>
        </w:tc>
        <w:tc>
          <w:tcPr>
            <w:tcW w:type="dxa" w:w="1440"/>
          </w:tcPr>
          <w:p>
            <w:pPr/>
            <w:r>
              <w:rPr>
                <w:sz w:val="20"/>
              </w:rPr>
              <w:t>Phase II, dose-ranging</w:t>
            </w:r>
          </w:p>
        </w:tc>
        <w:tc>
          <w:tcPr>
            <w:tcW w:type="dxa" w:w="1728"/>
          </w:tcPr>
          <w:p>
            <w:pPr/>
            <w:r>
              <w:rPr>
                <w:sz w:val="20"/>
              </w:rPr>
              <w:t>ΔSBP at 12 weeks</w:t>
            </w:r>
          </w:p>
        </w:tc>
        <w:tc>
          <w:tcPr>
            <w:tcW w:type="dxa" w:w="2592"/>
          </w:tcPr>
          <w:p>
            <w:pPr/>
            <w:r>
              <w:rPr>
                <w:sz w:val="20"/>
              </w:rPr>
              <w:t>−18.4 mmHg (100 mg) vs −4.2 (PBO)</w:t>
            </w:r>
          </w:p>
        </w:tc>
      </w:tr>
      <w:tr>
        <w:tc>
          <w:tcPr>
            <w:tcW w:type="dxa" w:w="1584"/>
          </w:tcPr>
          <w:p>
            <w:pPr/>
            <w:r>
              <w:rPr>
                <w:sz w:val="20"/>
              </w:rPr>
              <w:t>CARDIAC-PILOT (CV-202)</w:t>
            </w:r>
          </w:p>
        </w:tc>
        <w:tc>
          <w:tcPr>
            <w:tcW w:type="dxa" w:w="1296"/>
          </w:tcPr>
          <w:p>
            <w:pPr/>
            <w:r>
              <w:rPr>
                <w:sz w:val="20"/>
              </w:rPr>
              <w:t>Heart Failure</w:t>
            </w:r>
          </w:p>
        </w:tc>
        <w:tc>
          <w:tcPr>
            <w:tcW w:type="dxa" w:w="720"/>
          </w:tcPr>
          <w:p>
            <w:pPr/>
            <w:r>
              <w:rPr>
                <w:sz w:val="20"/>
              </w:rPr>
              <w:t>420</w:t>
            </w:r>
          </w:p>
        </w:tc>
        <w:tc>
          <w:tcPr>
            <w:tcW w:type="dxa" w:w="1440"/>
          </w:tcPr>
          <w:p>
            <w:pPr/>
            <w:r>
              <w:rPr>
                <w:sz w:val="20"/>
              </w:rPr>
              <w:t>Phase II, dose-finding</w:t>
            </w:r>
          </w:p>
        </w:tc>
        <w:tc>
          <w:tcPr>
            <w:tcW w:type="dxa" w:w="1728"/>
          </w:tcPr>
          <w:p>
            <w:pPr/>
            <w:r>
              <w:rPr>
                <w:sz w:val="20"/>
              </w:rPr>
              <w:t>ΔLVEF at 24 weeks</w:t>
            </w:r>
          </w:p>
        </w:tc>
        <w:tc>
          <w:tcPr>
            <w:tcW w:type="dxa" w:w="2592"/>
          </w:tcPr>
          <w:p>
            <w:pPr/>
            <w:r>
              <w:rPr>
                <w:sz w:val="20"/>
              </w:rPr>
              <w:t>+5.8% (100 mg) vs +1.2% (PBO)</w:t>
            </w:r>
          </w:p>
        </w:tc>
      </w:tr>
      <w:tr>
        <w:tc>
          <w:tcPr>
            <w:tcW w:type="dxa" w:w="1584"/>
          </w:tcPr>
          <w:p>
            <w:pPr/>
            <w:r>
              <w:rPr>
                <w:sz w:val="20"/>
              </w:rPr>
              <w:t>CARDIAC-SHIELD (CV-301)</w:t>
            </w:r>
          </w:p>
        </w:tc>
        <w:tc>
          <w:tcPr>
            <w:tcW w:type="dxa" w:w="1296"/>
          </w:tcPr>
          <w:p>
            <w:pPr/>
            <w:r>
              <w:rPr>
                <w:sz w:val="20"/>
              </w:rPr>
              <w:t>Heart Failure</w:t>
            </w:r>
          </w:p>
        </w:tc>
        <w:tc>
          <w:tcPr>
            <w:tcW w:type="dxa" w:w="720"/>
          </w:tcPr>
          <w:p>
            <w:pPr/>
            <w:r>
              <w:rPr>
                <w:sz w:val="20"/>
              </w:rPr>
              <w:t>4,218</w:t>
            </w:r>
          </w:p>
        </w:tc>
        <w:tc>
          <w:tcPr>
            <w:tcW w:type="dxa" w:w="1440"/>
          </w:tcPr>
          <w:p>
            <w:pPr/>
            <w:r>
              <w:rPr>
                <w:sz w:val="20"/>
              </w:rPr>
              <w:t>Phase III, outcomes</w:t>
            </w:r>
          </w:p>
        </w:tc>
        <w:tc>
          <w:tcPr>
            <w:tcW w:type="dxa" w:w="1728"/>
          </w:tcPr>
          <w:p>
            <w:pPr/>
            <w:r>
              <w:rPr>
                <w:sz w:val="20"/>
              </w:rPr>
              <w:t>Composite CV endpoint</w:t>
            </w:r>
          </w:p>
        </w:tc>
        <w:tc>
          <w:tcPr>
            <w:tcW w:type="dxa" w:w="2592"/>
          </w:tcPr>
          <w:p>
            <w:pPr/>
            <w:r>
              <w:rPr>
                <w:sz w:val="20"/>
              </w:rPr>
              <w:t>HR 0.72 (p&lt;0.001)</w:t>
            </w:r>
          </w:p>
        </w:tc>
      </w:tr>
      <w:tr>
        <w:tc>
          <w:tcPr>
            <w:tcW w:type="dxa" w:w="1584"/>
          </w:tcPr>
          <w:p>
            <w:pPr/>
            <w:r>
              <w:rPr>
                <w:sz w:val="20"/>
              </w:rPr>
              <w:t>CARDIO-PRESS (CV-302)</w:t>
            </w:r>
          </w:p>
        </w:tc>
        <w:tc>
          <w:tcPr>
            <w:tcW w:type="dxa" w:w="1296"/>
          </w:tcPr>
          <w:p>
            <w:pPr/>
            <w:r>
              <w:rPr>
                <w:sz w:val="20"/>
              </w:rPr>
              <w:t>Hypertension</w:t>
            </w:r>
          </w:p>
        </w:tc>
        <w:tc>
          <w:tcPr>
            <w:tcW w:type="dxa" w:w="720"/>
          </w:tcPr>
          <w:p>
            <w:pPr/>
            <w:r>
              <w:rPr>
                <w:sz w:val="20"/>
              </w:rPr>
              <w:t>2,842</w:t>
            </w:r>
          </w:p>
        </w:tc>
        <w:tc>
          <w:tcPr>
            <w:tcW w:type="dxa" w:w="1440"/>
          </w:tcPr>
          <w:p>
            <w:pPr/>
            <w:r>
              <w:rPr>
                <w:sz w:val="20"/>
              </w:rPr>
              <w:t>Phase III, non-inferiority</w:t>
            </w:r>
          </w:p>
        </w:tc>
        <w:tc>
          <w:tcPr>
            <w:tcW w:type="dxa" w:w="1728"/>
          </w:tcPr>
          <w:p>
            <w:pPr/>
            <w:r>
              <w:rPr>
                <w:sz w:val="20"/>
              </w:rPr>
              <w:t>24h ambulatory SBP</w:t>
            </w:r>
          </w:p>
        </w:tc>
        <w:tc>
          <w:tcPr>
            <w:tcW w:type="dxa" w:w="2592"/>
          </w:tcPr>
          <w:p>
            <w:pPr/>
            <w:r>
              <w:rPr>
                <w:sz w:val="20"/>
              </w:rPr>
              <w:t>Non-inferior to amlodipine</w:t>
            </w:r>
          </w:p>
        </w:tc>
      </w:tr>
      <w:tr>
        <w:tc>
          <w:tcPr>
            <w:tcW w:type="dxa" w:w="1584"/>
          </w:tcPr>
          <w:p>
            <w:pPr/>
            <w:r>
              <w:rPr>
                <w:sz w:val="20"/>
              </w:rPr>
              <w:t>ANGI-RESOLVE (CV-303)</w:t>
            </w:r>
          </w:p>
        </w:tc>
        <w:tc>
          <w:tcPr>
            <w:tcW w:type="dxa" w:w="1296"/>
          </w:tcPr>
          <w:p>
            <w:pPr/>
            <w:r>
              <w:rPr>
                <w:sz w:val="20"/>
              </w:rPr>
              <w:t>Angina</w:t>
            </w:r>
          </w:p>
        </w:tc>
        <w:tc>
          <w:tcPr>
            <w:tcW w:type="dxa" w:w="720"/>
          </w:tcPr>
          <w:p>
            <w:pPr/>
            <w:r>
              <w:rPr>
                <w:sz w:val="20"/>
              </w:rPr>
              <w:t>386</w:t>
            </w:r>
          </w:p>
        </w:tc>
        <w:tc>
          <w:tcPr>
            <w:tcW w:type="dxa" w:w="1440"/>
          </w:tcPr>
          <w:p>
            <w:pPr/>
            <w:r>
              <w:rPr>
                <w:sz w:val="20"/>
              </w:rPr>
              <w:t>Phase III, crossover</w:t>
            </w:r>
          </w:p>
        </w:tc>
        <w:tc>
          <w:tcPr>
            <w:tcW w:type="dxa" w:w="1728"/>
          </w:tcPr>
          <w:p>
            <w:pPr/>
            <w:r>
              <w:rPr>
                <w:sz w:val="20"/>
              </w:rPr>
              <w:t>Exercise duration</w:t>
            </w:r>
          </w:p>
        </w:tc>
        <w:tc>
          <w:tcPr>
            <w:tcW w:type="dxa" w:w="2592"/>
          </w:tcPr>
          <w:p>
            <w:pPr/>
            <w:r>
              <w:rPr>
                <w:sz w:val="20"/>
              </w:rPr>
              <w:t>+74 sec (p&lt;0.001)</w:t>
            </w:r>
          </w:p>
        </w:tc>
      </w:tr>
    </w:tbl>
    <w:p/>
    <w:p>
      <w:pPr>
        <w:pStyle w:val="Heading2"/>
      </w:pPr>
      <w:r>
        <w:t>14.2 Subgroup Analyses — CARDIAC-SHIELD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592"/>
            <w:shd w:fill="003366"/>
          </w:tcPr>
          <w:p>
            <w:pPr>
              <w:jc w:val="center"/>
            </w:pPr>
            <w:r>
              <w:rPr>
                <w:b/>
                <w:color w:val="FFFFFF"/>
                <w:sz w:val="20"/>
              </w:rPr>
              <w:t>Subgroup</w:t>
            </w:r>
          </w:p>
        </w:tc>
        <w:tc>
          <w:tcPr>
            <w:tcW w:type="dxa" w:w="864"/>
            <w:shd w:fill="003366"/>
          </w:tcPr>
          <w:p>
            <w:pPr>
              <w:jc w:val="center"/>
            </w:pPr>
            <w:r>
              <w:rPr>
                <w:b/>
                <w:color w:val="FFFFFF"/>
                <w:sz w:val="20"/>
              </w:rPr>
              <w:t>N</w:t>
            </w:r>
          </w:p>
        </w:tc>
        <w:tc>
          <w:tcPr>
            <w:tcW w:type="dxa" w:w="2160"/>
            <w:shd w:fill="003366"/>
          </w:tcPr>
          <w:p>
            <w:pPr>
              <w:jc w:val="center"/>
            </w:pPr>
            <w:r>
              <w:rPr>
                <w:b/>
                <w:color w:val="FFFFFF"/>
                <w:sz w:val="20"/>
              </w:rPr>
              <w:t>HR (95% CI)</w:t>
            </w:r>
          </w:p>
        </w:tc>
        <w:tc>
          <w:tcPr>
            <w:tcW w:type="dxa" w:w="1728"/>
            <w:shd w:fill="003366"/>
          </w:tcPr>
          <w:p>
            <w:pPr>
              <w:jc w:val="center"/>
            </w:pPr>
            <w:r>
              <w:rPr>
                <w:b/>
                <w:color w:val="FFFFFF"/>
                <w:sz w:val="20"/>
              </w:rPr>
              <w:t>Interaction p-value</w:t>
            </w:r>
          </w:p>
        </w:tc>
      </w:tr>
      <w:tr>
        <w:tc>
          <w:tcPr>
            <w:tcW w:type="dxa" w:w="2592"/>
          </w:tcPr>
          <w:p>
            <w:pPr/>
            <w:r>
              <w:rPr>
                <w:sz w:val="20"/>
              </w:rPr>
              <w:t>Age &lt;65 years</w:t>
            </w:r>
          </w:p>
        </w:tc>
        <w:tc>
          <w:tcPr>
            <w:tcW w:type="dxa" w:w="864"/>
          </w:tcPr>
          <w:p>
            <w:pPr/>
            <w:r>
              <w:rPr>
                <w:sz w:val="20"/>
              </w:rPr>
              <w:t>2,186</w:t>
            </w:r>
          </w:p>
        </w:tc>
        <w:tc>
          <w:tcPr>
            <w:tcW w:type="dxa" w:w="2160"/>
          </w:tcPr>
          <w:p>
            <w:pPr/>
            <w:r>
              <w:rPr>
                <w:sz w:val="20"/>
              </w:rPr>
              <w:t>0.70 (0.58–0.84)</w:t>
            </w:r>
          </w:p>
        </w:tc>
        <w:tc>
          <w:tcPr>
            <w:tcW w:type="dxa" w:w="1728"/>
          </w:tcPr>
          <w:p>
            <w:pPr/>
            <w:r>
              <w:rPr>
                <w:sz w:val="20"/>
              </w:rPr>
              <w:t>0.62</w:t>
            </w:r>
          </w:p>
        </w:tc>
      </w:tr>
      <w:tr>
        <w:tc>
          <w:tcPr>
            <w:tcW w:type="dxa" w:w="2592"/>
          </w:tcPr>
          <w:p>
            <w:pPr/>
            <w:r>
              <w:rPr>
                <w:sz w:val="20"/>
              </w:rPr>
              <w:t>Age ≥65 years</w:t>
            </w:r>
          </w:p>
        </w:tc>
        <w:tc>
          <w:tcPr>
            <w:tcW w:type="dxa" w:w="864"/>
          </w:tcPr>
          <w:p>
            <w:pPr/>
            <w:r>
              <w:rPr>
                <w:sz w:val="20"/>
              </w:rPr>
              <w:t>2,032</w:t>
            </w:r>
          </w:p>
        </w:tc>
        <w:tc>
          <w:tcPr>
            <w:tcW w:type="dxa" w:w="2160"/>
          </w:tcPr>
          <w:p>
            <w:pPr/>
            <w:r>
              <w:rPr>
                <w:sz w:val="20"/>
              </w:rPr>
              <w:t>0.74 (0.61–0.90)</w:t>
            </w:r>
          </w:p>
        </w:tc>
        <w:tc>
          <w:tcPr>
            <w:tcW w:type="dxa" w:w="1728"/>
          </w:tcPr>
          <w:p>
            <w:pPr/>
            <w:r>
              <w:rPr>
                <w:sz w:val="20"/>
              </w:rPr>
              <w:t>—</w:t>
            </w:r>
          </w:p>
        </w:tc>
      </w:tr>
      <w:tr>
        <w:tc>
          <w:tcPr>
            <w:tcW w:type="dxa" w:w="2592"/>
          </w:tcPr>
          <w:p>
            <w:pPr/>
            <w:r>
              <w:rPr>
                <w:sz w:val="20"/>
              </w:rPr>
              <w:t>Male</w:t>
            </w:r>
          </w:p>
        </w:tc>
        <w:tc>
          <w:tcPr>
            <w:tcW w:type="dxa" w:w="864"/>
          </w:tcPr>
          <w:p>
            <w:pPr/>
            <w:r>
              <w:rPr>
                <w:sz w:val="20"/>
              </w:rPr>
              <w:t>2,942</w:t>
            </w:r>
          </w:p>
        </w:tc>
        <w:tc>
          <w:tcPr>
            <w:tcW w:type="dxa" w:w="2160"/>
          </w:tcPr>
          <w:p>
            <w:pPr/>
            <w:r>
              <w:rPr>
                <w:sz w:val="20"/>
              </w:rPr>
              <w:t>0.71 (0.61–0.83)</w:t>
            </w:r>
          </w:p>
        </w:tc>
        <w:tc>
          <w:tcPr>
            <w:tcW w:type="dxa" w:w="1728"/>
          </w:tcPr>
          <w:p>
            <w:pPr/>
            <w:r>
              <w:rPr>
                <w:sz w:val="20"/>
              </w:rPr>
              <w:t>0.78</w:t>
            </w:r>
          </w:p>
        </w:tc>
      </w:tr>
      <w:tr>
        <w:tc>
          <w:tcPr>
            <w:tcW w:type="dxa" w:w="2592"/>
          </w:tcPr>
          <w:p>
            <w:pPr/>
            <w:r>
              <w:rPr>
                <w:sz w:val="20"/>
              </w:rPr>
              <w:t>Female</w:t>
            </w:r>
          </w:p>
        </w:tc>
        <w:tc>
          <w:tcPr>
            <w:tcW w:type="dxa" w:w="864"/>
          </w:tcPr>
          <w:p>
            <w:pPr/>
            <w:r>
              <w:rPr>
                <w:sz w:val="20"/>
              </w:rPr>
              <w:t>1,276</w:t>
            </w:r>
          </w:p>
        </w:tc>
        <w:tc>
          <w:tcPr>
            <w:tcW w:type="dxa" w:w="2160"/>
          </w:tcPr>
          <w:p>
            <w:pPr/>
            <w:r>
              <w:rPr>
                <w:sz w:val="20"/>
              </w:rPr>
              <w:t>0.74 (0.58–0.94)</w:t>
            </w:r>
          </w:p>
        </w:tc>
        <w:tc>
          <w:tcPr>
            <w:tcW w:type="dxa" w:w="1728"/>
          </w:tcPr>
          <w:p>
            <w:pPr/>
            <w:r>
              <w:rPr>
                <w:sz w:val="20"/>
              </w:rPr>
              <w:t>—</w:t>
            </w:r>
          </w:p>
        </w:tc>
      </w:tr>
      <w:tr>
        <w:tc>
          <w:tcPr>
            <w:tcW w:type="dxa" w:w="2592"/>
          </w:tcPr>
          <w:p>
            <w:pPr/>
            <w:r>
              <w:rPr>
                <w:sz w:val="20"/>
              </w:rPr>
              <w:t>LVEF ≤30%</w:t>
            </w:r>
          </w:p>
        </w:tc>
        <w:tc>
          <w:tcPr>
            <w:tcW w:type="dxa" w:w="864"/>
          </w:tcPr>
          <w:p>
            <w:pPr/>
            <w:r>
              <w:rPr>
                <w:sz w:val="20"/>
              </w:rPr>
              <w:t>2,614</w:t>
            </w:r>
          </w:p>
        </w:tc>
        <w:tc>
          <w:tcPr>
            <w:tcW w:type="dxa" w:w="2160"/>
          </w:tcPr>
          <w:p>
            <w:pPr/>
            <w:r>
              <w:rPr>
                <w:sz w:val="20"/>
              </w:rPr>
              <w:t>0.68 (0.58–0.80)</w:t>
            </w:r>
          </w:p>
        </w:tc>
        <w:tc>
          <w:tcPr>
            <w:tcW w:type="dxa" w:w="1728"/>
          </w:tcPr>
          <w:p>
            <w:pPr/>
            <w:r>
              <w:rPr>
                <w:sz w:val="20"/>
              </w:rPr>
              <w:t>0.24</w:t>
            </w:r>
          </w:p>
        </w:tc>
      </w:tr>
      <w:tr>
        <w:tc>
          <w:tcPr>
            <w:tcW w:type="dxa" w:w="2592"/>
          </w:tcPr>
          <w:p>
            <w:pPr/>
            <w:r>
              <w:rPr>
                <w:sz w:val="20"/>
              </w:rPr>
              <w:t>LVEF 31–40%</w:t>
            </w:r>
          </w:p>
        </w:tc>
        <w:tc>
          <w:tcPr>
            <w:tcW w:type="dxa" w:w="864"/>
          </w:tcPr>
          <w:p>
            <w:pPr/>
            <w:r>
              <w:rPr>
                <w:sz w:val="20"/>
              </w:rPr>
              <w:t>1,604</w:t>
            </w:r>
          </w:p>
        </w:tc>
        <w:tc>
          <w:tcPr>
            <w:tcW w:type="dxa" w:w="2160"/>
          </w:tcPr>
          <w:p>
            <w:pPr/>
            <w:r>
              <w:rPr>
                <w:sz w:val="20"/>
              </w:rPr>
              <w:t>0.78 (0.63–0.96)</w:t>
            </w:r>
          </w:p>
        </w:tc>
        <w:tc>
          <w:tcPr>
            <w:tcW w:type="dxa" w:w="1728"/>
          </w:tcPr>
          <w:p>
            <w:pPr/>
            <w:r>
              <w:rPr>
                <w:sz w:val="20"/>
              </w:rPr>
              <w:t>—</w:t>
            </w:r>
          </w:p>
        </w:tc>
      </w:tr>
      <w:tr>
        <w:tc>
          <w:tcPr>
            <w:tcW w:type="dxa" w:w="2592"/>
          </w:tcPr>
          <w:p>
            <w:pPr/>
            <w:r>
              <w:rPr>
                <w:sz w:val="20"/>
              </w:rPr>
              <w:t>Ischemic etiology</w:t>
            </w:r>
          </w:p>
        </w:tc>
        <w:tc>
          <w:tcPr>
            <w:tcW w:type="dxa" w:w="864"/>
          </w:tcPr>
          <w:p>
            <w:pPr/>
            <w:r>
              <w:rPr>
                <w:sz w:val="20"/>
              </w:rPr>
              <w:t>2,596</w:t>
            </w:r>
          </w:p>
        </w:tc>
        <w:tc>
          <w:tcPr>
            <w:tcW w:type="dxa" w:w="2160"/>
          </w:tcPr>
          <w:p>
            <w:pPr/>
            <w:r>
              <w:rPr>
                <w:sz w:val="20"/>
              </w:rPr>
              <w:t>0.70 (0.60–0.82)</w:t>
            </w:r>
          </w:p>
        </w:tc>
        <w:tc>
          <w:tcPr>
            <w:tcW w:type="dxa" w:w="1728"/>
          </w:tcPr>
          <w:p>
            <w:pPr/>
            <w:r>
              <w:rPr>
                <w:sz w:val="20"/>
              </w:rPr>
              <w:t>0.48</w:t>
            </w:r>
          </w:p>
        </w:tc>
      </w:tr>
      <w:tr>
        <w:tc>
          <w:tcPr>
            <w:tcW w:type="dxa" w:w="2592"/>
          </w:tcPr>
          <w:p>
            <w:pPr/>
            <w:r>
              <w:rPr>
                <w:sz w:val="20"/>
              </w:rPr>
              <w:t>Non-ischemic etiology</w:t>
            </w:r>
          </w:p>
        </w:tc>
        <w:tc>
          <w:tcPr>
            <w:tcW w:type="dxa" w:w="864"/>
          </w:tcPr>
          <w:p>
            <w:pPr/>
            <w:r>
              <w:rPr>
                <w:sz w:val="20"/>
              </w:rPr>
              <w:t>1,622</w:t>
            </w:r>
          </w:p>
        </w:tc>
        <w:tc>
          <w:tcPr>
            <w:tcW w:type="dxa" w:w="2160"/>
          </w:tcPr>
          <w:p>
            <w:pPr/>
            <w:r>
              <w:rPr>
                <w:sz w:val="20"/>
              </w:rPr>
              <w:t>0.76 (0.61–0.95)</w:t>
            </w:r>
          </w:p>
        </w:tc>
        <w:tc>
          <w:tcPr>
            <w:tcW w:type="dxa" w:w="1728"/>
          </w:tcPr>
          <w:p>
            <w:pPr/>
            <w:r>
              <w:rPr>
                <w:sz w:val="20"/>
              </w:rPr>
              <w:t>—</w:t>
            </w:r>
          </w:p>
        </w:tc>
      </w:tr>
      <w:tr>
        <w:tc>
          <w:tcPr>
            <w:tcW w:type="dxa" w:w="2592"/>
          </w:tcPr>
          <w:p>
            <w:pPr/>
            <w:r>
              <w:rPr>
                <w:sz w:val="20"/>
              </w:rPr>
              <w:t>With diabetes</w:t>
            </w:r>
          </w:p>
        </w:tc>
        <w:tc>
          <w:tcPr>
            <w:tcW w:type="dxa" w:w="864"/>
          </w:tcPr>
          <w:p>
            <w:pPr/>
            <w:r>
              <w:rPr>
                <w:sz w:val="20"/>
              </w:rPr>
              <w:t>1,286</w:t>
            </w:r>
          </w:p>
        </w:tc>
        <w:tc>
          <w:tcPr>
            <w:tcW w:type="dxa" w:w="2160"/>
          </w:tcPr>
          <w:p>
            <w:pPr/>
            <w:r>
              <w:rPr>
                <w:sz w:val="20"/>
              </w:rPr>
              <w:t>0.73 (0.59–0.90)</w:t>
            </w:r>
          </w:p>
        </w:tc>
        <w:tc>
          <w:tcPr>
            <w:tcW w:type="dxa" w:w="1728"/>
          </w:tcPr>
          <w:p>
            <w:pPr/>
            <w:r>
              <w:rPr>
                <w:sz w:val="20"/>
              </w:rPr>
              <w:t>0.86</w:t>
            </w:r>
          </w:p>
        </w:tc>
      </w:tr>
      <w:tr>
        <w:tc>
          <w:tcPr>
            <w:tcW w:type="dxa" w:w="2592"/>
          </w:tcPr>
          <w:p>
            <w:pPr/>
            <w:r>
              <w:rPr>
                <w:sz w:val="20"/>
              </w:rPr>
              <w:t>Without diabetes</w:t>
            </w:r>
          </w:p>
        </w:tc>
        <w:tc>
          <w:tcPr>
            <w:tcW w:type="dxa" w:w="864"/>
          </w:tcPr>
          <w:p>
            <w:pPr/>
            <w:r>
              <w:rPr>
                <w:sz w:val="20"/>
              </w:rPr>
              <w:t>2,932</w:t>
            </w:r>
          </w:p>
        </w:tc>
        <w:tc>
          <w:tcPr>
            <w:tcW w:type="dxa" w:w="2160"/>
          </w:tcPr>
          <w:p>
            <w:pPr/>
            <w:r>
              <w:rPr>
                <w:sz w:val="20"/>
              </w:rPr>
              <w:t>0.71 (0.60–0.84)</w:t>
            </w:r>
          </w:p>
        </w:tc>
        <w:tc>
          <w:tcPr>
            <w:tcW w:type="dxa" w:w="1728"/>
          </w:tcPr>
          <w:p>
            <w:pPr/>
            <w:r>
              <w:rPr>
                <w:sz w:val="20"/>
              </w:rPr>
              <w:t>—</w:t>
            </w:r>
          </w:p>
        </w:tc>
      </w:tr>
      <w:tr>
        <w:tc>
          <w:tcPr>
            <w:tcW w:type="dxa" w:w="2592"/>
          </w:tcPr>
          <w:p>
            <w:pPr/>
            <w:r>
              <w:rPr>
                <w:sz w:val="20"/>
              </w:rPr>
              <w:t>eGFR ≥60</w:t>
            </w:r>
          </w:p>
        </w:tc>
        <w:tc>
          <w:tcPr>
            <w:tcW w:type="dxa" w:w="864"/>
          </w:tcPr>
          <w:p>
            <w:pPr/>
            <w:r>
              <w:rPr>
                <w:sz w:val="20"/>
              </w:rPr>
              <w:t>2,842</w:t>
            </w:r>
          </w:p>
        </w:tc>
        <w:tc>
          <w:tcPr>
            <w:tcW w:type="dxa" w:w="2160"/>
          </w:tcPr>
          <w:p>
            <w:pPr/>
            <w:r>
              <w:rPr>
                <w:sz w:val="20"/>
              </w:rPr>
              <w:t>0.72 (0.61–0.85)</w:t>
            </w:r>
          </w:p>
        </w:tc>
        <w:tc>
          <w:tcPr>
            <w:tcW w:type="dxa" w:w="1728"/>
          </w:tcPr>
          <w:p>
            <w:pPr/>
            <w:r>
              <w:rPr>
                <w:sz w:val="20"/>
              </w:rPr>
              <w:t>0.92</w:t>
            </w:r>
          </w:p>
        </w:tc>
      </w:tr>
      <w:tr>
        <w:tc>
          <w:tcPr>
            <w:tcW w:type="dxa" w:w="2592"/>
          </w:tcPr>
          <w:p>
            <w:pPr/>
            <w:r>
              <w:rPr>
                <w:sz w:val="20"/>
              </w:rPr>
              <w:t>eGFR &lt;60</w:t>
            </w:r>
          </w:p>
        </w:tc>
        <w:tc>
          <w:tcPr>
            <w:tcW w:type="dxa" w:w="864"/>
          </w:tcPr>
          <w:p>
            <w:pPr/>
            <w:r>
              <w:rPr>
                <w:sz w:val="20"/>
              </w:rPr>
              <w:t>1,376</w:t>
            </w:r>
          </w:p>
        </w:tc>
        <w:tc>
          <w:tcPr>
            <w:tcW w:type="dxa" w:w="2160"/>
          </w:tcPr>
          <w:p>
            <w:pPr/>
            <w:r>
              <w:rPr>
                <w:sz w:val="20"/>
              </w:rPr>
              <w:t>0.73 (0.58–0.92)</w:t>
            </w:r>
          </w:p>
        </w:tc>
        <w:tc>
          <w:tcPr>
            <w:tcW w:type="dxa" w:w="1728"/>
          </w:tcPr>
          <w:p>
            <w:pPr/>
            <w:r>
              <w:rPr>
                <w:sz w:val="20"/>
              </w:rPr>
              <w:t>—</w:t>
            </w:r>
          </w:p>
        </w:tc>
      </w:tr>
    </w:tbl>
    <w:p/>
    <w:p>
      <w:r>
        <w:t>Treatment benefit was consistent across all prespecified subgroups with no significant interactions, indicating robust efficacy regardless of baseline characteristics.</w:t>
      </w:r>
    </w:p>
    <w:p>
      <w:r>
        <w:br w:type="page"/>
      </w:r>
    </w:p>
    <w:p>
      <w:pPr>
        <w:pStyle w:val="Heading1"/>
      </w:pPr>
      <w:r>
        <w:t>15. Safety Profile and Adverse Events</w:t>
      </w:r>
    </w:p>
    <w:p>
      <w:pPr>
        <w:pStyle w:val="Heading2"/>
      </w:pPr>
      <w:r>
        <w:t>15.1 Integrated Safety Database</w:t>
      </w:r>
    </w:p>
    <w:p>
      <w:r>
        <w:t>The integrated safety analysis includes data from 8,146 patients exposed to Cardivex® across all Phase I–III studies. The median duration of exposure was 18 months (range: 1 day to 36 months). A total of 3,876 patients received Cardivex® for ≥12 months and 2,142 for ≥24 months.</w:t>
      </w:r>
    </w:p>
    <w:p>
      <w:pPr>
        <w:pStyle w:val="Heading2"/>
      </w:pPr>
      <w:r>
        <w:t>15.2 Common Adverse Events (≥2% in Any Treatment Group)</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592"/>
            <w:shd w:fill="003366"/>
          </w:tcPr>
          <w:p>
            <w:pPr>
              <w:jc w:val="center"/>
            </w:pPr>
            <w:r>
              <w:rPr>
                <w:b/>
                <w:color w:val="FFFFFF"/>
                <w:sz w:val="20"/>
              </w:rPr>
              <w:t>Adverse Event (MedDRA PT)</w:t>
            </w:r>
          </w:p>
        </w:tc>
        <w:tc>
          <w:tcPr>
            <w:tcW w:type="dxa" w:w="2304"/>
            <w:shd w:fill="003366"/>
          </w:tcPr>
          <w:p>
            <w:pPr>
              <w:jc w:val="center"/>
            </w:pPr>
            <w:r>
              <w:rPr>
                <w:b/>
                <w:color w:val="FFFFFF"/>
                <w:sz w:val="20"/>
              </w:rPr>
              <w:t>Cardivex® (N=8,146) n (%)</w:t>
            </w:r>
          </w:p>
        </w:tc>
        <w:tc>
          <w:tcPr>
            <w:tcW w:type="dxa" w:w="2304"/>
            <w:shd w:fill="003366"/>
          </w:tcPr>
          <w:p>
            <w:pPr>
              <w:jc w:val="center"/>
            </w:pPr>
            <w:r>
              <w:rPr>
                <w:b/>
                <w:color w:val="FFFFFF"/>
                <w:sz w:val="20"/>
              </w:rPr>
              <w:t>Placebo (N=4,701) n (%)</w:t>
            </w:r>
          </w:p>
        </w:tc>
        <w:tc>
          <w:tcPr>
            <w:tcW w:type="dxa" w:w="1440"/>
            <w:shd w:fill="003366"/>
          </w:tcPr>
          <w:p>
            <w:pPr>
              <w:jc w:val="center"/>
            </w:pPr>
            <w:r>
              <w:rPr>
                <w:b/>
                <w:color w:val="FFFFFF"/>
                <w:sz w:val="20"/>
              </w:rPr>
              <w:t>Risk Difference</w:t>
            </w:r>
          </w:p>
        </w:tc>
      </w:tr>
      <w:tr>
        <w:tc>
          <w:tcPr>
            <w:tcW w:type="dxa" w:w="2592"/>
          </w:tcPr>
          <w:p>
            <w:pPr/>
            <w:r>
              <w:rPr>
                <w:sz w:val="20"/>
              </w:rPr>
              <w:t>Fatigue</w:t>
            </w:r>
          </w:p>
        </w:tc>
        <w:tc>
          <w:tcPr>
            <w:tcW w:type="dxa" w:w="2304"/>
          </w:tcPr>
          <w:p>
            <w:pPr/>
            <w:r>
              <w:rPr>
                <w:sz w:val="20"/>
              </w:rPr>
              <w:t>528 (6.5%)</w:t>
            </w:r>
          </w:p>
        </w:tc>
        <w:tc>
          <w:tcPr>
            <w:tcW w:type="dxa" w:w="2304"/>
          </w:tcPr>
          <w:p>
            <w:pPr/>
            <w:r>
              <w:rPr>
                <w:sz w:val="20"/>
              </w:rPr>
              <w:t>212 (4.5%)</w:t>
            </w:r>
          </w:p>
        </w:tc>
        <w:tc>
          <w:tcPr>
            <w:tcW w:type="dxa" w:w="1440"/>
          </w:tcPr>
          <w:p>
            <w:pPr/>
            <w:r>
              <w:rPr>
                <w:sz w:val="20"/>
              </w:rPr>
              <w:t>+2.0%</w:t>
            </w:r>
          </w:p>
        </w:tc>
      </w:tr>
      <w:tr>
        <w:tc>
          <w:tcPr>
            <w:tcW w:type="dxa" w:w="2592"/>
          </w:tcPr>
          <w:p>
            <w:pPr/>
            <w:r>
              <w:rPr>
                <w:sz w:val="20"/>
              </w:rPr>
              <w:t>Dizziness</w:t>
            </w:r>
          </w:p>
        </w:tc>
        <w:tc>
          <w:tcPr>
            <w:tcW w:type="dxa" w:w="2304"/>
          </w:tcPr>
          <w:p>
            <w:pPr/>
            <w:r>
              <w:rPr>
                <w:sz w:val="20"/>
              </w:rPr>
              <w:t>488 (6.0%)</w:t>
            </w:r>
          </w:p>
        </w:tc>
        <w:tc>
          <w:tcPr>
            <w:tcW w:type="dxa" w:w="2304"/>
          </w:tcPr>
          <w:p>
            <w:pPr/>
            <w:r>
              <w:rPr>
                <w:sz w:val="20"/>
              </w:rPr>
              <w:t>236 (5.0%)</w:t>
            </w:r>
          </w:p>
        </w:tc>
        <w:tc>
          <w:tcPr>
            <w:tcW w:type="dxa" w:w="1440"/>
          </w:tcPr>
          <w:p>
            <w:pPr/>
            <w:r>
              <w:rPr>
                <w:sz w:val="20"/>
              </w:rPr>
              <w:t>+1.0%</w:t>
            </w:r>
          </w:p>
        </w:tc>
      </w:tr>
      <w:tr>
        <w:tc>
          <w:tcPr>
            <w:tcW w:type="dxa" w:w="2592"/>
          </w:tcPr>
          <w:p>
            <w:pPr/>
            <w:r>
              <w:rPr>
                <w:sz w:val="20"/>
              </w:rPr>
              <w:t>Bradycardia</w:t>
            </w:r>
          </w:p>
        </w:tc>
        <w:tc>
          <w:tcPr>
            <w:tcW w:type="dxa" w:w="2304"/>
          </w:tcPr>
          <w:p>
            <w:pPr/>
            <w:r>
              <w:rPr>
                <w:sz w:val="20"/>
              </w:rPr>
              <w:t>406 (5.0%)</w:t>
            </w:r>
          </w:p>
        </w:tc>
        <w:tc>
          <w:tcPr>
            <w:tcW w:type="dxa" w:w="2304"/>
          </w:tcPr>
          <w:p>
            <w:pPr/>
            <w:r>
              <w:rPr>
                <w:sz w:val="20"/>
              </w:rPr>
              <w:t>94 (2.0%)</w:t>
            </w:r>
          </w:p>
        </w:tc>
        <w:tc>
          <w:tcPr>
            <w:tcW w:type="dxa" w:w="1440"/>
          </w:tcPr>
          <w:p>
            <w:pPr/>
            <w:r>
              <w:rPr>
                <w:sz w:val="20"/>
              </w:rPr>
              <w:t>+3.0%</w:t>
            </w:r>
          </w:p>
        </w:tc>
      </w:tr>
      <w:tr>
        <w:tc>
          <w:tcPr>
            <w:tcW w:type="dxa" w:w="2592"/>
          </w:tcPr>
          <w:p>
            <w:pPr/>
            <w:r>
              <w:rPr>
                <w:sz w:val="20"/>
              </w:rPr>
              <w:t>Headache</w:t>
            </w:r>
          </w:p>
        </w:tc>
        <w:tc>
          <w:tcPr>
            <w:tcW w:type="dxa" w:w="2304"/>
          </w:tcPr>
          <w:p>
            <w:pPr/>
            <w:r>
              <w:rPr>
                <w:sz w:val="20"/>
              </w:rPr>
              <w:t>358 (4.4%)</w:t>
            </w:r>
          </w:p>
        </w:tc>
        <w:tc>
          <w:tcPr>
            <w:tcW w:type="dxa" w:w="2304"/>
          </w:tcPr>
          <w:p>
            <w:pPr/>
            <w:r>
              <w:rPr>
                <w:sz w:val="20"/>
              </w:rPr>
              <w:t>224 (4.8%)</w:t>
            </w:r>
          </w:p>
        </w:tc>
        <w:tc>
          <w:tcPr>
            <w:tcW w:type="dxa" w:w="1440"/>
          </w:tcPr>
          <w:p>
            <w:pPr/>
            <w:r>
              <w:rPr>
                <w:sz w:val="20"/>
              </w:rPr>
              <w:t>−0.4%</w:t>
            </w:r>
          </w:p>
        </w:tc>
      </w:tr>
      <w:tr>
        <w:tc>
          <w:tcPr>
            <w:tcW w:type="dxa" w:w="2592"/>
          </w:tcPr>
          <w:p>
            <w:pPr/>
            <w:r>
              <w:rPr>
                <w:sz w:val="20"/>
              </w:rPr>
              <w:t>Diarrhea</w:t>
            </w:r>
          </w:p>
        </w:tc>
        <w:tc>
          <w:tcPr>
            <w:tcW w:type="dxa" w:w="2304"/>
          </w:tcPr>
          <w:p>
            <w:pPr/>
            <w:r>
              <w:rPr>
                <w:sz w:val="20"/>
              </w:rPr>
              <w:t>326 (4.0%)</w:t>
            </w:r>
          </w:p>
        </w:tc>
        <w:tc>
          <w:tcPr>
            <w:tcW w:type="dxa" w:w="2304"/>
          </w:tcPr>
          <w:p>
            <w:pPr/>
            <w:r>
              <w:rPr>
                <w:sz w:val="20"/>
              </w:rPr>
              <w:t>174 (3.7%)</w:t>
            </w:r>
          </w:p>
        </w:tc>
        <w:tc>
          <w:tcPr>
            <w:tcW w:type="dxa" w:w="1440"/>
          </w:tcPr>
          <w:p>
            <w:pPr/>
            <w:r>
              <w:rPr>
                <w:sz w:val="20"/>
              </w:rPr>
              <w:t>+0.3%</w:t>
            </w:r>
          </w:p>
        </w:tc>
      </w:tr>
      <w:tr>
        <w:tc>
          <w:tcPr>
            <w:tcW w:type="dxa" w:w="2592"/>
          </w:tcPr>
          <w:p>
            <w:pPr/>
            <w:r>
              <w:rPr>
                <w:sz w:val="20"/>
              </w:rPr>
              <w:t>Hypotension</w:t>
            </w:r>
          </w:p>
        </w:tc>
        <w:tc>
          <w:tcPr>
            <w:tcW w:type="dxa" w:w="2304"/>
          </w:tcPr>
          <w:p>
            <w:pPr/>
            <w:r>
              <w:rPr>
                <w:sz w:val="20"/>
              </w:rPr>
              <w:t>284 (3.5%)</w:t>
            </w:r>
          </w:p>
        </w:tc>
        <w:tc>
          <w:tcPr>
            <w:tcW w:type="dxa" w:w="2304"/>
          </w:tcPr>
          <w:p>
            <w:pPr/>
            <w:r>
              <w:rPr>
                <w:sz w:val="20"/>
              </w:rPr>
              <w:t>98 (2.1%)</w:t>
            </w:r>
          </w:p>
        </w:tc>
        <w:tc>
          <w:tcPr>
            <w:tcW w:type="dxa" w:w="1440"/>
          </w:tcPr>
          <w:p>
            <w:pPr/>
            <w:r>
              <w:rPr>
                <w:sz w:val="20"/>
              </w:rPr>
              <w:t>+1.4%</w:t>
            </w:r>
          </w:p>
        </w:tc>
      </w:tr>
      <w:tr>
        <w:tc>
          <w:tcPr>
            <w:tcW w:type="dxa" w:w="2592"/>
          </w:tcPr>
          <w:p>
            <w:pPr/>
            <w:r>
              <w:rPr>
                <w:sz w:val="20"/>
              </w:rPr>
              <w:t>Nausea</w:t>
            </w:r>
          </w:p>
        </w:tc>
        <w:tc>
          <w:tcPr>
            <w:tcW w:type="dxa" w:w="2304"/>
          </w:tcPr>
          <w:p>
            <w:pPr/>
            <w:r>
              <w:rPr>
                <w:sz w:val="20"/>
              </w:rPr>
              <w:t>268 (3.3%)</w:t>
            </w:r>
          </w:p>
        </w:tc>
        <w:tc>
          <w:tcPr>
            <w:tcW w:type="dxa" w:w="2304"/>
          </w:tcPr>
          <w:p>
            <w:pPr/>
            <w:r>
              <w:rPr>
                <w:sz w:val="20"/>
              </w:rPr>
              <w:t>148 (3.1%)</w:t>
            </w:r>
          </w:p>
        </w:tc>
        <w:tc>
          <w:tcPr>
            <w:tcW w:type="dxa" w:w="1440"/>
          </w:tcPr>
          <w:p>
            <w:pPr/>
            <w:r>
              <w:rPr>
                <w:sz w:val="20"/>
              </w:rPr>
              <w:t>+0.2%</w:t>
            </w:r>
          </w:p>
        </w:tc>
      </w:tr>
      <w:tr>
        <w:tc>
          <w:tcPr>
            <w:tcW w:type="dxa" w:w="2592"/>
          </w:tcPr>
          <w:p>
            <w:pPr/>
            <w:r>
              <w:rPr>
                <w:sz w:val="20"/>
              </w:rPr>
              <w:t>Dyspnea</w:t>
            </w:r>
          </w:p>
        </w:tc>
        <w:tc>
          <w:tcPr>
            <w:tcW w:type="dxa" w:w="2304"/>
          </w:tcPr>
          <w:p>
            <w:pPr/>
            <w:r>
              <w:rPr>
                <w:sz w:val="20"/>
              </w:rPr>
              <w:t>244 (3.0%)</w:t>
            </w:r>
          </w:p>
        </w:tc>
        <w:tc>
          <w:tcPr>
            <w:tcW w:type="dxa" w:w="2304"/>
          </w:tcPr>
          <w:p>
            <w:pPr/>
            <w:r>
              <w:rPr>
                <w:sz w:val="20"/>
              </w:rPr>
              <w:t>188 (4.0%)</w:t>
            </w:r>
          </w:p>
        </w:tc>
        <w:tc>
          <w:tcPr>
            <w:tcW w:type="dxa" w:w="1440"/>
          </w:tcPr>
          <w:p>
            <w:pPr/>
            <w:r>
              <w:rPr>
                <w:sz w:val="20"/>
              </w:rPr>
              <w:t>−1.0%</w:t>
            </w:r>
          </w:p>
        </w:tc>
      </w:tr>
      <w:tr>
        <w:tc>
          <w:tcPr>
            <w:tcW w:type="dxa" w:w="2592"/>
          </w:tcPr>
          <w:p>
            <w:pPr/>
            <w:r>
              <w:rPr>
                <w:sz w:val="20"/>
              </w:rPr>
              <w:t>Cold extremities</w:t>
            </w:r>
          </w:p>
        </w:tc>
        <w:tc>
          <w:tcPr>
            <w:tcW w:type="dxa" w:w="2304"/>
          </w:tcPr>
          <w:p>
            <w:pPr/>
            <w:r>
              <w:rPr>
                <w:sz w:val="20"/>
              </w:rPr>
              <w:t>212 (2.6%)</w:t>
            </w:r>
          </w:p>
        </w:tc>
        <w:tc>
          <w:tcPr>
            <w:tcW w:type="dxa" w:w="2304"/>
          </w:tcPr>
          <w:p>
            <w:pPr/>
            <w:r>
              <w:rPr>
                <w:sz w:val="20"/>
              </w:rPr>
              <w:t>56 (1.2%)</w:t>
            </w:r>
          </w:p>
        </w:tc>
        <w:tc>
          <w:tcPr>
            <w:tcW w:type="dxa" w:w="1440"/>
          </w:tcPr>
          <w:p>
            <w:pPr/>
            <w:r>
              <w:rPr>
                <w:sz w:val="20"/>
              </w:rPr>
              <w:t>+1.4%</w:t>
            </w:r>
          </w:p>
        </w:tc>
      </w:tr>
      <w:tr>
        <w:tc>
          <w:tcPr>
            <w:tcW w:type="dxa" w:w="2592"/>
          </w:tcPr>
          <w:p>
            <w:pPr/>
            <w:r>
              <w:rPr>
                <w:sz w:val="20"/>
              </w:rPr>
              <w:t>Insomnia</w:t>
            </w:r>
          </w:p>
        </w:tc>
        <w:tc>
          <w:tcPr>
            <w:tcW w:type="dxa" w:w="2304"/>
          </w:tcPr>
          <w:p>
            <w:pPr/>
            <w:r>
              <w:rPr>
                <w:sz w:val="20"/>
              </w:rPr>
              <w:t>196 (2.4%)</w:t>
            </w:r>
          </w:p>
        </w:tc>
        <w:tc>
          <w:tcPr>
            <w:tcW w:type="dxa" w:w="2304"/>
          </w:tcPr>
          <w:p>
            <w:pPr/>
            <w:r>
              <w:rPr>
                <w:sz w:val="20"/>
              </w:rPr>
              <w:t>104 (2.2%)</w:t>
            </w:r>
          </w:p>
        </w:tc>
        <w:tc>
          <w:tcPr>
            <w:tcW w:type="dxa" w:w="1440"/>
          </w:tcPr>
          <w:p>
            <w:pPr/>
            <w:r>
              <w:rPr>
                <w:sz w:val="20"/>
              </w:rPr>
              <w:t>+0.2%</w:t>
            </w:r>
          </w:p>
        </w:tc>
      </w:tr>
      <w:tr>
        <w:tc>
          <w:tcPr>
            <w:tcW w:type="dxa" w:w="2592"/>
          </w:tcPr>
          <w:p>
            <w:pPr/>
            <w:r>
              <w:rPr>
                <w:sz w:val="20"/>
              </w:rPr>
              <w:t>Depression</w:t>
            </w:r>
          </w:p>
        </w:tc>
        <w:tc>
          <w:tcPr>
            <w:tcW w:type="dxa" w:w="2304"/>
          </w:tcPr>
          <w:p>
            <w:pPr/>
            <w:r>
              <w:rPr>
                <w:sz w:val="20"/>
              </w:rPr>
              <w:t>178 (2.2%)</w:t>
            </w:r>
          </w:p>
        </w:tc>
        <w:tc>
          <w:tcPr>
            <w:tcW w:type="dxa" w:w="2304"/>
          </w:tcPr>
          <w:p>
            <w:pPr/>
            <w:r>
              <w:rPr>
                <w:sz w:val="20"/>
              </w:rPr>
              <w:t>94 (2.0%)</w:t>
            </w:r>
          </w:p>
        </w:tc>
        <w:tc>
          <w:tcPr>
            <w:tcW w:type="dxa" w:w="1440"/>
          </w:tcPr>
          <w:p>
            <w:pPr/>
            <w:r>
              <w:rPr>
                <w:sz w:val="20"/>
              </w:rPr>
              <w:t>+0.2%</w:t>
            </w:r>
          </w:p>
        </w:tc>
      </w:tr>
      <w:tr>
        <w:tc>
          <w:tcPr>
            <w:tcW w:type="dxa" w:w="2592"/>
          </w:tcPr>
          <w:p>
            <w:pPr/>
            <w:r>
              <w:rPr>
                <w:sz w:val="20"/>
              </w:rPr>
              <w:t>Peripheral edema</w:t>
            </w:r>
          </w:p>
        </w:tc>
        <w:tc>
          <w:tcPr>
            <w:tcW w:type="dxa" w:w="2304"/>
          </w:tcPr>
          <w:p>
            <w:pPr/>
            <w:r>
              <w:rPr>
                <w:sz w:val="20"/>
              </w:rPr>
              <w:t>164 (2.0%)</w:t>
            </w:r>
          </w:p>
        </w:tc>
        <w:tc>
          <w:tcPr>
            <w:tcW w:type="dxa" w:w="2304"/>
          </w:tcPr>
          <w:p>
            <w:pPr/>
            <w:r>
              <w:rPr>
                <w:sz w:val="20"/>
              </w:rPr>
              <w:t>82 (1.7%)</w:t>
            </w:r>
          </w:p>
        </w:tc>
        <w:tc>
          <w:tcPr>
            <w:tcW w:type="dxa" w:w="1440"/>
          </w:tcPr>
          <w:p>
            <w:pPr/>
            <w:r>
              <w:rPr>
                <w:sz w:val="20"/>
              </w:rPr>
              <w:t>+0.3%</w:t>
            </w:r>
          </w:p>
        </w:tc>
      </w:tr>
      <w:tr>
        <w:tc>
          <w:tcPr>
            <w:tcW w:type="dxa" w:w="2592"/>
          </w:tcPr>
          <w:p>
            <w:pPr/>
            <w:r>
              <w:rPr>
                <w:sz w:val="20"/>
              </w:rPr>
              <w:t>Erectile dysfunction</w:t>
            </w:r>
          </w:p>
        </w:tc>
        <w:tc>
          <w:tcPr>
            <w:tcW w:type="dxa" w:w="2304"/>
          </w:tcPr>
          <w:p>
            <w:pPr/>
            <w:r>
              <w:rPr>
                <w:sz w:val="20"/>
              </w:rPr>
              <w:t>148 (1.8%)*</w:t>
            </w:r>
          </w:p>
        </w:tc>
        <w:tc>
          <w:tcPr>
            <w:tcW w:type="dxa" w:w="2304"/>
          </w:tcPr>
          <w:p>
            <w:pPr/>
            <w:r>
              <w:rPr>
                <w:sz w:val="20"/>
              </w:rPr>
              <w:t>72 (1.5%)*</w:t>
            </w:r>
          </w:p>
        </w:tc>
        <w:tc>
          <w:tcPr>
            <w:tcW w:type="dxa" w:w="1440"/>
          </w:tcPr>
          <w:p>
            <w:pPr/>
            <w:r>
              <w:rPr>
                <w:sz w:val="20"/>
              </w:rPr>
              <w:t>+0.3%</w:t>
            </w:r>
          </w:p>
        </w:tc>
      </w:tr>
      <w:tr>
        <w:tc>
          <w:tcPr>
            <w:tcW w:type="dxa" w:w="2592"/>
          </w:tcPr>
          <w:p>
            <w:pPr/>
            <w:r>
              <w:rPr>
                <w:sz w:val="20"/>
              </w:rPr>
              <w:t>Weight gain (≥2 kg)</w:t>
            </w:r>
          </w:p>
        </w:tc>
        <w:tc>
          <w:tcPr>
            <w:tcW w:type="dxa" w:w="2304"/>
          </w:tcPr>
          <w:p>
            <w:pPr/>
            <w:r>
              <w:rPr>
                <w:sz w:val="20"/>
              </w:rPr>
              <w:t>132 (1.6%)</w:t>
            </w:r>
          </w:p>
        </w:tc>
        <w:tc>
          <w:tcPr>
            <w:tcW w:type="dxa" w:w="2304"/>
          </w:tcPr>
          <w:p>
            <w:pPr/>
            <w:r>
              <w:rPr>
                <w:sz w:val="20"/>
              </w:rPr>
              <w:t>64 (1.4%)</w:t>
            </w:r>
          </w:p>
        </w:tc>
        <w:tc>
          <w:tcPr>
            <w:tcW w:type="dxa" w:w="1440"/>
          </w:tcPr>
          <w:p>
            <w:pPr/>
            <w:r>
              <w:rPr>
                <w:sz w:val="20"/>
              </w:rPr>
              <w:t>+0.2%</w:t>
            </w:r>
          </w:p>
        </w:tc>
      </w:tr>
    </w:tbl>
    <w:p/>
    <w:p>
      <w:r>
        <w:t>*Calculated among male patients only.</w:t>
      </w:r>
    </w:p>
    <w:p>
      <w:pPr>
        <w:pStyle w:val="Heading2"/>
      </w:pPr>
      <w:r>
        <w:t>15.3 Serious Adverse Events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168"/>
            <w:shd w:fill="003366"/>
          </w:tcPr>
          <w:p>
            <w:pPr>
              <w:jc w:val="center"/>
            </w:pPr>
            <w:r>
              <w:rPr>
                <w:b/>
                <w:color w:val="FFFFFF"/>
                <w:sz w:val="20"/>
              </w:rPr>
              <w:t>Serious Adverse Event</w:t>
            </w:r>
          </w:p>
        </w:tc>
        <w:tc>
          <w:tcPr>
            <w:tcW w:type="dxa" w:w="2160"/>
            <w:shd w:fill="003366"/>
          </w:tcPr>
          <w:p>
            <w:pPr>
              <w:jc w:val="center"/>
            </w:pPr>
            <w:r>
              <w:rPr>
                <w:b/>
                <w:color w:val="FFFFFF"/>
                <w:sz w:val="20"/>
              </w:rPr>
              <w:t>Cardivex® n (rate/100 PY)</w:t>
            </w:r>
          </w:p>
        </w:tc>
        <w:tc>
          <w:tcPr>
            <w:tcW w:type="dxa" w:w="2160"/>
            <w:shd w:fill="003366"/>
          </w:tcPr>
          <w:p>
            <w:pPr>
              <w:jc w:val="center"/>
            </w:pPr>
            <w:r>
              <w:rPr>
                <w:b/>
                <w:color w:val="FFFFFF"/>
                <w:sz w:val="20"/>
              </w:rPr>
              <w:t>Placebo n (rate/100 PY)</w:t>
            </w:r>
          </w:p>
        </w:tc>
        <w:tc>
          <w:tcPr>
            <w:tcW w:type="dxa" w:w="1152"/>
            <w:shd w:fill="003366"/>
          </w:tcPr>
          <w:p>
            <w:pPr>
              <w:jc w:val="center"/>
            </w:pPr>
            <w:r>
              <w:rPr>
                <w:b/>
                <w:color w:val="FFFFFF"/>
                <w:sz w:val="20"/>
              </w:rPr>
              <w:t>p-value</w:t>
            </w:r>
          </w:p>
        </w:tc>
      </w:tr>
      <w:tr>
        <w:tc>
          <w:tcPr>
            <w:tcW w:type="dxa" w:w="3168"/>
          </w:tcPr>
          <w:p>
            <w:pPr/>
            <w:r>
              <w:rPr>
                <w:sz w:val="20"/>
              </w:rPr>
              <w:t>Total SAEs</w:t>
            </w:r>
          </w:p>
        </w:tc>
        <w:tc>
          <w:tcPr>
            <w:tcW w:type="dxa" w:w="2160"/>
          </w:tcPr>
          <w:p>
            <w:pPr/>
            <w:r>
              <w:rPr>
                <w:sz w:val="20"/>
              </w:rPr>
              <w:t>486 (3.98)</w:t>
            </w:r>
          </w:p>
        </w:tc>
        <w:tc>
          <w:tcPr>
            <w:tcW w:type="dxa" w:w="2160"/>
          </w:tcPr>
          <w:p>
            <w:pPr/>
            <w:r>
              <w:rPr>
                <w:sz w:val="20"/>
              </w:rPr>
              <w:t>412 (5.84)</w:t>
            </w:r>
          </w:p>
        </w:tc>
        <w:tc>
          <w:tcPr>
            <w:tcW w:type="dxa" w:w="1152"/>
          </w:tcPr>
          <w:p>
            <w:pPr/>
            <w:r>
              <w:rPr>
                <w:sz w:val="20"/>
              </w:rPr>
              <w:t>0.002</w:t>
            </w:r>
          </w:p>
        </w:tc>
      </w:tr>
      <w:tr>
        <w:tc>
          <w:tcPr>
            <w:tcW w:type="dxa" w:w="3168"/>
          </w:tcPr>
          <w:p>
            <w:pPr/>
            <w:r>
              <w:rPr>
                <w:sz w:val="20"/>
              </w:rPr>
              <w:t>Symptomatic bradycardia (HR &lt;45 bpm)</w:t>
            </w:r>
          </w:p>
        </w:tc>
        <w:tc>
          <w:tcPr>
            <w:tcW w:type="dxa" w:w="2160"/>
          </w:tcPr>
          <w:p>
            <w:pPr/>
            <w:r>
              <w:rPr>
                <w:sz w:val="20"/>
              </w:rPr>
              <w:t>48 (0.39)</w:t>
            </w:r>
          </w:p>
        </w:tc>
        <w:tc>
          <w:tcPr>
            <w:tcW w:type="dxa" w:w="2160"/>
          </w:tcPr>
          <w:p>
            <w:pPr/>
            <w:r>
              <w:rPr>
                <w:sz w:val="20"/>
              </w:rPr>
              <w:t>8 (0.11)</w:t>
            </w:r>
          </w:p>
        </w:tc>
        <w:tc>
          <w:tcPr>
            <w:tcW w:type="dxa" w:w="1152"/>
          </w:tcPr>
          <w:p>
            <w:pPr/>
            <w:r>
              <w:rPr>
                <w:sz w:val="20"/>
              </w:rPr>
              <w:t>&lt;0.001</w:t>
            </w:r>
          </w:p>
        </w:tc>
      </w:tr>
      <w:tr>
        <w:tc>
          <w:tcPr>
            <w:tcW w:type="dxa" w:w="3168"/>
          </w:tcPr>
          <w:p>
            <w:pPr/>
            <w:r>
              <w:rPr>
                <w:sz w:val="20"/>
              </w:rPr>
              <w:t>Second/third degree AV block</w:t>
            </w:r>
          </w:p>
        </w:tc>
        <w:tc>
          <w:tcPr>
            <w:tcW w:type="dxa" w:w="2160"/>
          </w:tcPr>
          <w:p>
            <w:pPr/>
            <w:r>
              <w:rPr>
                <w:sz w:val="20"/>
              </w:rPr>
              <w:t>18 (0.15)</w:t>
            </w:r>
          </w:p>
        </w:tc>
        <w:tc>
          <w:tcPr>
            <w:tcW w:type="dxa" w:w="2160"/>
          </w:tcPr>
          <w:p>
            <w:pPr/>
            <w:r>
              <w:rPr>
                <w:sz w:val="20"/>
              </w:rPr>
              <w:t>4 (0.06)</w:t>
            </w:r>
          </w:p>
        </w:tc>
        <w:tc>
          <w:tcPr>
            <w:tcW w:type="dxa" w:w="1152"/>
          </w:tcPr>
          <w:p>
            <w:pPr/>
            <w:r>
              <w:rPr>
                <w:sz w:val="20"/>
              </w:rPr>
              <w:t>0.08</w:t>
            </w:r>
          </w:p>
        </w:tc>
      </w:tr>
      <w:tr>
        <w:tc>
          <w:tcPr>
            <w:tcW w:type="dxa" w:w="3168"/>
          </w:tcPr>
          <w:p>
            <w:pPr/>
            <w:r>
              <w:rPr>
                <w:sz w:val="20"/>
              </w:rPr>
              <w:t>Cardiogenic shock</w:t>
            </w:r>
          </w:p>
        </w:tc>
        <w:tc>
          <w:tcPr>
            <w:tcW w:type="dxa" w:w="2160"/>
          </w:tcPr>
          <w:p>
            <w:pPr/>
            <w:r>
              <w:rPr>
                <w:sz w:val="20"/>
              </w:rPr>
              <w:t>6 (0.05)</w:t>
            </w:r>
          </w:p>
        </w:tc>
        <w:tc>
          <w:tcPr>
            <w:tcW w:type="dxa" w:w="2160"/>
          </w:tcPr>
          <w:p>
            <w:pPr/>
            <w:r>
              <w:rPr>
                <w:sz w:val="20"/>
              </w:rPr>
              <w:t>14 (0.20)</w:t>
            </w:r>
          </w:p>
        </w:tc>
        <w:tc>
          <w:tcPr>
            <w:tcW w:type="dxa" w:w="1152"/>
          </w:tcPr>
          <w:p>
            <w:pPr/>
            <w:r>
              <w:rPr>
                <w:sz w:val="20"/>
              </w:rPr>
              <w:t>0.02</w:t>
            </w:r>
          </w:p>
        </w:tc>
      </w:tr>
      <w:tr>
        <w:tc>
          <w:tcPr>
            <w:tcW w:type="dxa" w:w="3168"/>
          </w:tcPr>
          <w:p>
            <w:pPr/>
            <w:r>
              <w:rPr>
                <w:sz w:val="20"/>
              </w:rPr>
              <w:t>Severe hypotension (SBP &lt;80 mmHg)</w:t>
            </w:r>
          </w:p>
        </w:tc>
        <w:tc>
          <w:tcPr>
            <w:tcW w:type="dxa" w:w="2160"/>
          </w:tcPr>
          <w:p>
            <w:pPr/>
            <w:r>
              <w:rPr>
                <w:sz w:val="20"/>
              </w:rPr>
              <w:t>24 (0.20)</w:t>
            </w:r>
          </w:p>
        </w:tc>
        <w:tc>
          <w:tcPr>
            <w:tcW w:type="dxa" w:w="2160"/>
          </w:tcPr>
          <w:p>
            <w:pPr/>
            <w:r>
              <w:rPr>
                <w:sz w:val="20"/>
              </w:rPr>
              <w:t>10 (0.14)</w:t>
            </w:r>
          </w:p>
        </w:tc>
        <w:tc>
          <w:tcPr>
            <w:tcW w:type="dxa" w:w="1152"/>
          </w:tcPr>
          <w:p>
            <w:pPr/>
            <w:r>
              <w:rPr>
                <w:sz w:val="20"/>
              </w:rPr>
              <w:t>0.38</w:t>
            </w:r>
          </w:p>
        </w:tc>
      </w:tr>
      <w:tr>
        <w:tc>
          <w:tcPr>
            <w:tcW w:type="dxa" w:w="3168"/>
          </w:tcPr>
          <w:p>
            <w:pPr/>
            <w:r>
              <w:rPr>
                <w:sz w:val="20"/>
              </w:rPr>
              <w:t>Worsening heart failure</w:t>
            </w:r>
          </w:p>
        </w:tc>
        <w:tc>
          <w:tcPr>
            <w:tcW w:type="dxa" w:w="2160"/>
          </w:tcPr>
          <w:p>
            <w:pPr/>
            <w:r>
              <w:rPr>
                <w:sz w:val="20"/>
              </w:rPr>
              <w:t>86 (0.70)</w:t>
            </w:r>
          </w:p>
        </w:tc>
        <w:tc>
          <w:tcPr>
            <w:tcW w:type="dxa" w:w="2160"/>
          </w:tcPr>
          <w:p>
            <w:pPr/>
            <w:r>
              <w:rPr>
                <w:sz w:val="20"/>
              </w:rPr>
              <w:t>142 (2.01)</w:t>
            </w:r>
          </w:p>
        </w:tc>
        <w:tc>
          <w:tcPr>
            <w:tcW w:type="dxa" w:w="1152"/>
          </w:tcPr>
          <w:p>
            <w:pPr/>
            <w:r>
              <w:rPr>
                <w:sz w:val="20"/>
              </w:rPr>
              <w:t>&lt;0.001</w:t>
            </w:r>
          </w:p>
        </w:tc>
      </w:tr>
      <w:tr>
        <w:tc>
          <w:tcPr>
            <w:tcW w:type="dxa" w:w="3168"/>
          </w:tcPr>
          <w:p>
            <w:pPr/>
            <w:r>
              <w:rPr>
                <w:sz w:val="20"/>
              </w:rPr>
              <w:t>Bronchospasm</w:t>
            </w:r>
          </w:p>
        </w:tc>
        <w:tc>
          <w:tcPr>
            <w:tcW w:type="dxa" w:w="2160"/>
          </w:tcPr>
          <w:p>
            <w:pPr/>
            <w:r>
              <w:rPr>
                <w:sz w:val="20"/>
              </w:rPr>
              <w:t>12 (0.10)</w:t>
            </w:r>
          </w:p>
        </w:tc>
        <w:tc>
          <w:tcPr>
            <w:tcW w:type="dxa" w:w="2160"/>
          </w:tcPr>
          <w:p>
            <w:pPr/>
            <w:r>
              <w:rPr>
                <w:sz w:val="20"/>
              </w:rPr>
              <w:t>6 (0.09)</w:t>
            </w:r>
          </w:p>
        </w:tc>
        <w:tc>
          <w:tcPr>
            <w:tcW w:type="dxa" w:w="1152"/>
          </w:tcPr>
          <w:p>
            <w:pPr/>
            <w:r>
              <w:rPr>
                <w:sz w:val="20"/>
              </w:rPr>
              <w:t>0.82</w:t>
            </w:r>
          </w:p>
        </w:tc>
      </w:tr>
      <w:tr>
        <w:tc>
          <w:tcPr>
            <w:tcW w:type="dxa" w:w="3168"/>
          </w:tcPr>
          <w:p>
            <w:pPr/>
            <w:r>
              <w:rPr>
                <w:sz w:val="20"/>
              </w:rPr>
              <w:t>Death (all causes)</w:t>
            </w:r>
          </w:p>
        </w:tc>
        <w:tc>
          <w:tcPr>
            <w:tcW w:type="dxa" w:w="2160"/>
          </w:tcPr>
          <w:p>
            <w:pPr/>
            <w:r>
              <w:rPr>
                <w:sz w:val="20"/>
              </w:rPr>
              <w:t>224 (1.83)</w:t>
            </w:r>
          </w:p>
        </w:tc>
        <w:tc>
          <w:tcPr>
            <w:tcW w:type="dxa" w:w="2160"/>
          </w:tcPr>
          <w:p>
            <w:pPr/>
            <w:r>
              <w:rPr>
                <w:sz w:val="20"/>
              </w:rPr>
              <w:t>310 (4.39)</w:t>
            </w:r>
          </w:p>
        </w:tc>
        <w:tc>
          <w:tcPr>
            <w:tcW w:type="dxa" w:w="1152"/>
          </w:tcPr>
          <w:p>
            <w:pPr/>
            <w:r>
              <w:rPr>
                <w:sz w:val="20"/>
              </w:rPr>
              <w:t>&lt;0.001</w:t>
            </w:r>
          </w:p>
        </w:tc>
      </w:tr>
    </w:tbl>
    <w:p/>
    <w:p>
      <w:pPr>
        <w:pStyle w:val="Heading2"/>
      </w:pPr>
      <w:r>
        <w:t>15.4 Discontinuation Due to Adverse Events</w:t>
      </w:r>
    </w:p>
    <w:p>
      <w:r>
        <w:t>Overall, 4.7% of Cardivex®-treated patients discontinued due to adverse events, compared to 3.9% of placebo-treated patients. The most common reasons for discontinuation in the Cardivex® group were symptomatic bradycardia (1.2%), fatigue (0.8%), and hypotension (0.6%).</w:t>
      </w:r>
    </w:p>
    <w:p>
      <w:r>
        <w:br w:type="page"/>
      </w:r>
    </w:p>
    <w:p>
      <w:pPr>
        <w:pStyle w:val="Heading1"/>
      </w:pPr>
      <w:r>
        <w:t>16. Drug Interactions</w:t>
      </w:r>
    </w:p>
    <w:p>
      <w:pPr>
        <w:pStyle w:val="Heading2"/>
      </w:pPr>
      <w:r>
        <w:t>16.1 Pharmacokinetic Interactions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872"/>
            <w:shd w:fill="003366"/>
          </w:tcPr>
          <w:p>
            <w:pPr>
              <w:jc w:val="center"/>
            </w:pPr>
            <w:r>
              <w:rPr>
                <w:b/>
                <w:color w:val="FFFFFF"/>
                <w:sz w:val="20"/>
              </w:rPr>
              <w:t>Interacting Drug</w:t>
            </w:r>
          </w:p>
        </w:tc>
        <w:tc>
          <w:tcPr>
            <w:tcW w:type="dxa" w:w="2160"/>
            <w:shd w:fill="003366"/>
          </w:tcPr>
          <w:p>
            <w:pPr>
              <w:jc w:val="center"/>
            </w:pPr>
            <w:r>
              <w:rPr>
                <w:b/>
                <w:color w:val="FFFFFF"/>
                <w:sz w:val="20"/>
              </w:rPr>
              <w:t>Effect on Metopravil PK</w:t>
            </w:r>
          </w:p>
        </w:tc>
        <w:tc>
          <w:tcPr>
            <w:tcW w:type="dxa" w:w="2160"/>
            <w:shd w:fill="003366"/>
          </w:tcPr>
          <w:p>
            <w:pPr>
              <w:jc w:val="center"/>
            </w:pPr>
            <w:r>
              <w:rPr>
                <w:b/>
                <w:color w:val="FFFFFF"/>
                <w:sz w:val="20"/>
              </w:rPr>
              <w:t>Effect on Co-administered Drug PK</w:t>
            </w:r>
          </w:p>
        </w:tc>
        <w:tc>
          <w:tcPr>
            <w:tcW w:type="dxa" w:w="2880"/>
            <w:shd w:fill="003366"/>
          </w:tcPr>
          <w:p>
            <w:pPr>
              <w:jc w:val="center"/>
            </w:pPr>
            <w:r>
              <w:rPr>
                <w:b/>
                <w:color w:val="FFFFFF"/>
                <w:sz w:val="20"/>
              </w:rPr>
              <w:t>Clinical Recommendation</w:t>
            </w:r>
          </w:p>
        </w:tc>
      </w:tr>
      <w:tr>
        <w:tc>
          <w:tcPr>
            <w:tcW w:type="dxa" w:w="1872"/>
          </w:tcPr>
          <w:p>
            <w:pPr/>
            <w:r>
              <w:rPr>
                <w:sz w:val="20"/>
              </w:rPr>
              <w:t>Fluoxetine (CYP2D6 inhibitor)</w:t>
            </w:r>
          </w:p>
        </w:tc>
        <w:tc>
          <w:tcPr>
            <w:tcW w:type="dxa" w:w="2160"/>
          </w:tcPr>
          <w:p>
            <w:pPr/>
            <w:r>
              <w:rPr>
                <w:sz w:val="20"/>
              </w:rPr>
              <w:t>↑ AUC 68%, ↑ Cmax 42%</w:t>
            </w:r>
          </w:p>
        </w:tc>
        <w:tc>
          <w:tcPr>
            <w:tcW w:type="dxa" w:w="2160"/>
          </w:tcPr>
          <w:p>
            <w:pPr/>
            <w:r>
              <w:rPr>
                <w:sz w:val="20"/>
              </w:rPr>
              <w:t>No significant change</w:t>
            </w:r>
          </w:p>
        </w:tc>
        <w:tc>
          <w:tcPr>
            <w:tcW w:type="dxa" w:w="2880"/>
          </w:tcPr>
          <w:p>
            <w:pPr/>
            <w:r>
              <w:rPr>
                <w:sz w:val="20"/>
              </w:rPr>
              <w:t>Consider 50% dose reduction of Cardivex®; monitor HR</w:t>
            </w:r>
          </w:p>
        </w:tc>
      </w:tr>
      <w:tr>
        <w:tc>
          <w:tcPr>
            <w:tcW w:type="dxa" w:w="1872"/>
          </w:tcPr>
          <w:p>
            <w:pPr/>
            <w:r>
              <w:rPr>
                <w:sz w:val="20"/>
              </w:rPr>
              <w:t>Paroxetine (CYP2D6 inhibitor)</w:t>
            </w:r>
          </w:p>
        </w:tc>
        <w:tc>
          <w:tcPr>
            <w:tcW w:type="dxa" w:w="2160"/>
          </w:tcPr>
          <w:p>
            <w:pPr/>
            <w:r>
              <w:rPr>
                <w:sz w:val="20"/>
              </w:rPr>
              <w:t>↑ AUC 62%, ↑ Cmax 38%</w:t>
            </w:r>
          </w:p>
        </w:tc>
        <w:tc>
          <w:tcPr>
            <w:tcW w:type="dxa" w:w="2160"/>
          </w:tcPr>
          <w:p>
            <w:pPr/>
            <w:r>
              <w:rPr>
                <w:sz w:val="20"/>
              </w:rPr>
              <w:t>No significant change</w:t>
            </w:r>
          </w:p>
        </w:tc>
        <w:tc>
          <w:tcPr>
            <w:tcW w:type="dxa" w:w="2880"/>
          </w:tcPr>
          <w:p>
            <w:pPr/>
            <w:r>
              <w:rPr>
                <w:sz w:val="20"/>
              </w:rPr>
              <w:t>Consider 50% dose reduction of Cardivex®; monitor HR</w:t>
            </w:r>
          </w:p>
        </w:tc>
      </w:tr>
      <w:tr>
        <w:tc>
          <w:tcPr>
            <w:tcW w:type="dxa" w:w="1872"/>
          </w:tcPr>
          <w:p>
            <w:pPr/>
            <w:r>
              <w:rPr>
                <w:sz w:val="20"/>
              </w:rPr>
              <w:t>Ketoconazole (CYP3A4 inhibitor)</w:t>
            </w:r>
          </w:p>
        </w:tc>
        <w:tc>
          <w:tcPr>
            <w:tcW w:type="dxa" w:w="2160"/>
          </w:tcPr>
          <w:p>
            <w:pPr/>
            <w:r>
              <w:rPr>
                <w:sz w:val="20"/>
              </w:rPr>
              <w:t>↑ AUC 24%, ↑ Cmax 18%</w:t>
            </w:r>
          </w:p>
        </w:tc>
        <w:tc>
          <w:tcPr>
            <w:tcW w:type="dxa" w:w="2160"/>
          </w:tcPr>
          <w:p>
            <w:pPr/>
            <w:r>
              <w:rPr>
                <w:sz w:val="20"/>
              </w:rPr>
              <w:t>No significant change</w:t>
            </w:r>
          </w:p>
        </w:tc>
        <w:tc>
          <w:tcPr>
            <w:tcW w:type="dxa" w:w="2880"/>
          </w:tcPr>
          <w:p>
            <w:pPr/>
            <w:r>
              <w:rPr>
                <w:sz w:val="20"/>
              </w:rPr>
              <w:t>No dose adjustment; monitor for increased effects</w:t>
            </w:r>
          </w:p>
        </w:tc>
      </w:tr>
      <w:tr>
        <w:tc>
          <w:tcPr>
            <w:tcW w:type="dxa" w:w="1872"/>
          </w:tcPr>
          <w:p>
            <w:pPr/>
            <w:r>
              <w:rPr>
                <w:sz w:val="20"/>
              </w:rPr>
              <w:t>Rifampicin (CYP inducer)</w:t>
            </w:r>
          </w:p>
        </w:tc>
        <w:tc>
          <w:tcPr>
            <w:tcW w:type="dxa" w:w="2160"/>
          </w:tcPr>
          <w:p>
            <w:pPr/>
            <w:r>
              <w:rPr>
                <w:sz w:val="20"/>
              </w:rPr>
              <w:t>↓ AUC 58%, ↓ Cmax 45%</w:t>
            </w:r>
          </w:p>
        </w:tc>
        <w:tc>
          <w:tcPr>
            <w:tcW w:type="dxa" w:w="2160"/>
          </w:tcPr>
          <w:p>
            <w:pPr/>
            <w:r>
              <w:rPr>
                <w:sz w:val="20"/>
              </w:rPr>
              <w:t>No significant change</w:t>
            </w:r>
          </w:p>
        </w:tc>
        <w:tc>
          <w:tcPr>
            <w:tcW w:type="dxa" w:w="2880"/>
          </w:tcPr>
          <w:p>
            <w:pPr/>
            <w:r>
              <w:rPr>
                <w:sz w:val="20"/>
              </w:rPr>
              <w:t>May need to increase Cardivex® dose; monitor BP</w:t>
            </w:r>
          </w:p>
        </w:tc>
      </w:tr>
      <w:tr>
        <w:tc>
          <w:tcPr>
            <w:tcW w:type="dxa" w:w="1872"/>
          </w:tcPr>
          <w:p>
            <w:pPr/>
            <w:r>
              <w:rPr>
                <w:sz w:val="20"/>
              </w:rPr>
              <w:t>Cimetidine (non-specific CYP)</w:t>
            </w:r>
          </w:p>
        </w:tc>
        <w:tc>
          <w:tcPr>
            <w:tcW w:type="dxa" w:w="2160"/>
          </w:tcPr>
          <w:p>
            <w:pPr/>
            <w:r>
              <w:rPr>
                <w:sz w:val="20"/>
              </w:rPr>
              <w:t>↑ AUC 32%, ↑ Cmax 22%</w:t>
            </w:r>
          </w:p>
        </w:tc>
        <w:tc>
          <w:tcPr>
            <w:tcW w:type="dxa" w:w="2160"/>
          </w:tcPr>
          <w:p>
            <w:pPr/>
            <w:r>
              <w:rPr>
                <w:sz w:val="20"/>
              </w:rPr>
              <w:t>No significant change</w:t>
            </w:r>
          </w:p>
        </w:tc>
        <w:tc>
          <w:tcPr>
            <w:tcW w:type="dxa" w:w="2880"/>
          </w:tcPr>
          <w:p>
            <w:pPr/>
            <w:r>
              <w:rPr>
                <w:sz w:val="20"/>
              </w:rPr>
              <w:t>No dose adjustment; use alternative H2-blocker if needed</w:t>
            </w:r>
          </w:p>
        </w:tc>
      </w:tr>
      <w:tr>
        <w:tc>
          <w:tcPr>
            <w:tcW w:type="dxa" w:w="1872"/>
          </w:tcPr>
          <w:p>
            <w:pPr/>
            <w:r>
              <w:rPr>
                <w:sz w:val="20"/>
              </w:rPr>
              <w:t>Warfarin</w:t>
            </w:r>
          </w:p>
        </w:tc>
        <w:tc>
          <w:tcPr>
            <w:tcW w:type="dxa" w:w="2160"/>
          </w:tcPr>
          <w:p>
            <w:pPr/>
            <w:r>
              <w:rPr>
                <w:sz w:val="20"/>
              </w:rPr>
              <w:t>No significant change</w:t>
            </w:r>
          </w:p>
        </w:tc>
        <w:tc>
          <w:tcPr>
            <w:tcW w:type="dxa" w:w="2160"/>
          </w:tcPr>
          <w:p>
            <w:pPr/>
            <w:r>
              <w:rPr>
                <w:sz w:val="20"/>
              </w:rPr>
              <w:t>No significant change</w:t>
            </w:r>
          </w:p>
        </w:tc>
        <w:tc>
          <w:tcPr>
            <w:tcW w:type="dxa" w:w="2880"/>
          </w:tcPr>
          <w:p>
            <w:pPr/>
            <w:r>
              <w:rPr>
                <w:sz w:val="20"/>
              </w:rPr>
              <w:t>No dose adjustment; monitor INR as standard practice</w:t>
            </w:r>
          </w:p>
        </w:tc>
      </w:tr>
      <w:tr>
        <w:tc>
          <w:tcPr>
            <w:tcW w:type="dxa" w:w="1872"/>
          </w:tcPr>
          <w:p>
            <w:pPr/>
            <w:r>
              <w:rPr>
                <w:sz w:val="20"/>
              </w:rPr>
              <w:t>Digoxin</w:t>
            </w:r>
          </w:p>
        </w:tc>
        <w:tc>
          <w:tcPr>
            <w:tcW w:type="dxa" w:w="2160"/>
          </w:tcPr>
          <w:p>
            <w:pPr/>
            <w:r>
              <w:rPr>
                <w:sz w:val="20"/>
              </w:rPr>
              <w:t>No significant change</w:t>
            </w:r>
          </w:p>
        </w:tc>
        <w:tc>
          <w:tcPr>
            <w:tcW w:type="dxa" w:w="2160"/>
          </w:tcPr>
          <w:p>
            <w:pPr/>
            <w:r>
              <w:rPr>
                <w:sz w:val="20"/>
              </w:rPr>
              <w:t>↑ AUC 18%</w:t>
            </w:r>
          </w:p>
        </w:tc>
        <w:tc>
          <w:tcPr>
            <w:tcW w:type="dxa" w:w="2880"/>
          </w:tcPr>
          <w:p>
            <w:pPr/>
            <w:r>
              <w:rPr>
                <w:sz w:val="20"/>
              </w:rPr>
              <w:t>Monitor digoxin levels; reduce digoxin dose if needed</w:t>
            </w:r>
          </w:p>
        </w:tc>
      </w:tr>
      <w:tr>
        <w:tc>
          <w:tcPr>
            <w:tcW w:type="dxa" w:w="1872"/>
          </w:tcPr>
          <w:p>
            <w:pPr/>
            <w:r>
              <w:rPr>
                <w:sz w:val="20"/>
              </w:rPr>
              <w:t>Omeprazole</w:t>
            </w:r>
          </w:p>
        </w:tc>
        <w:tc>
          <w:tcPr>
            <w:tcW w:type="dxa" w:w="2160"/>
          </w:tcPr>
          <w:p>
            <w:pPr/>
            <w:r>
              <w:rPr>
                <w:sz w:val="20"/>
              </w:rPr>
              <w:t>No significant change</w:t>
            </w:r>
          </w:p>
        </w:tc>
        <w:tc>
          <w:tcPr>
            <w:tcW w:type="dxa" w:w="2160"/>
          </w:tcPr>
          <w:p>
            <w:pPr/>
            <w:r>
              <w:rPr>
                <w:sz w:val="20"/>
              </w:rPr>
              <w:t>No significant change</w:t>
            </w:r>
          </w:p>
        </w:tc>
        <w:tc>
          <w:tcPr>
            <w:tcW w:type="dxa" w:w="2880"/>
          </w:tcPr>
          <w:p>
            <w:pPr/>
            <w:r>
              <w:rPr>
                <w:sz w:val="20"/>
              </w:rPr>
              <w:t>No dose adjustment needed</w:t>
            </w:r>
          </w:p>
        </w:tc>
      </w:tr>
    </w:tbl>
    <w:p/>
    <w:p>
      <w:pPr>
        <w:pStyle w:val="Heading2"/>
      </w:pPr>
      <w:r>
        <w:t>16.2 Pharmacodynamic Interactions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160"/>
            <w:shd w:fill="003366"/>
          </w:tcPr>
          <w:p>
            <w:pPr>
              <w:jc w:val="center"/>
            </w:pPr>
            <w:r>
              <w:rPr>
                <w:b/>
                <w:color w:val="FFFFFF"/>
                <w:sz w:val="20"/>
              </w:rPr>
              <w:t>Drug/Class</w:t>
            </w:r>
          </w:p>
        </w:tc>
        <w:tc>
          <w:tcPr>
            <w:tcW w:type="dxa" w:w="2880"/>
            <w:shd w:fill="003366"/>
          </w:tcPr>
          <w:p>
            <w:pPr>
              <w:jc w:val="center"/>
            </w:pPr>
            <w:r>
              <w:rPr>
                <w:b/>
                <w:color w:val="FFFFFF"/>
                <w:sz w:val="20"/>
              </w:rPr>
              <w:t>Interaction Effect</w:t>
            </w:r>
          </w:p>
        </w:tc>
        <w:tc>
          <w:tcPr>
            <w:tcW w:type="dxa" w:w="1008"/>
            <w:shd w:fill="003366"/>
          </w:tcPr>
          <w:p>
            <w:pPr>
              <w:jc w:val="center"/>
            </w:pPr>
            <w:r>
              <w:rPr>
                <w:b/>
                <w:color w:val="FFFFFF"/>
                <w:sz w:val="20"/>
              </w:rPr>
              <w:t>Severity</w:t>
            </w:r>
          </w:p>
        </w:tc>
        <w:tc>
          <w:tcPr>
            <w:tcW w:type="dxa" w:w="2880"/>
            <w:shd w:fill="003366"/>
          </w:tcPr>
          <w:p>
            <w:pPr>
              <w:jc w:val="center"/>
            </w:pPr>
            <w:r>
              <w:rPr>
                <w:b/>
                <w:color w:val="FFFFFF"/>
                <w:sz w:val="20"/>
              </w:rPr>
              <w:t>Management</w:t>
            </w:r>
          </w:p>
        </w:tc>
      </w:tr>
      <w:tr>
        <w:tc>
          <w:tcPr>
            <w:tcW w:type="dxa" w:w="2160"/>
          </w:tcPr>
          <w:p>
            <w:pPr/>
            <w:r>
              <w:rPr>
                <w:sz w:val="20"/>
              </w:rPr>
              <w:t>Non-dihydropyridine CCBs (verapamil, diltiazem)</w:t>
            </w:r>
          </w:p>
        </w:tc>
        <w:tc>
          <w:tcPr>
            <w:tcW w:type="dxa" w:w="2880"/>
          </w:tcPr>
          <w:p>
            <w:pPr/>
            <w:r>
              <w:rPr>
                <w:sz w:val="20"/>
              </w:rPr>
              <w:t>Additive negative chronotropic and inotropic effects; risk of severe bradycardia, AV block, and heart failure</w:t>
            </w:r>
          </w:p>
        </w:tc>
        <w:tc>
          <w:tcPr>
            <w:tcW w:type="dxa" w:w="1008"/>
          </w:tcPr>
          <w:p>
            <w:pPr/>
            <w:r>
              <w:rPr>
                <w:sz w:val="20"/>
              </w:rPr>
              <w:t>Major</w:t>
            </w:r>
          </w:p>
        </w:tc>
        <w:tc>
          <w:tcPr>
            <w:tcW w:type="dxa" w:w="2880"/>
          </w:tcPr>
          <w:p>
            <w:pPr/>
            <w:r>
              <w:rPr>
                <w:sz w:val="20"/>
              </w:rPr>
              <w:t>Avoid combination; if unavoidable, initiate with close ECG and hemodynamic monitoring</w:t>
            </w:r>
          </w:p>
        </w:tc>
      </w:tr>
      <w:tr>
        <w:tc>
          <w:tcPr>
            <w:tcW w:type="dxa" w:w="2160"/>
          </w:tcPr>
          <w:p>
            <w:pPr/>
            <w:r>
              <w:rPr>
                <w:sz w:val="20"/>
              </w:rPr>
              <w:t>Clonidine</w:t>
            </w:r>
          </w:p>
        </w:tc>
        <w:tc>
          <w:tcPr>
            <w:tcW w:type="dxa" w:w="2880"/>
          </w:tcPr>
          <w:p>
            <w:pPr/>
            <w:r>
              <w:rPr>
                <w:sz w:val="20"/>
              </w:rPr>
              <w:t>Risk of rebound hypertension if clonidine discontinued first</w:t>
            </w:r>
          </w:p>
        </w:tc>
        <w:tc>
          <w:tcPr>
            <w:tcW w:type="dxa" w:w="1008"/>
          </w:tcPr>
          <w:p>
            <w:pPr/>
            <w:r>
              <w:rPr>
                <w:sz w:val="20"/>
              </w:rPr>
              <w:t>Major</w:t>
            </w:r>
          </w:p>
        </w:tc>
        <w:tc>
          <w:tcPr>
            <w:tcW w:type="dxa" w:w="2880"/>
          </w:tcPr>
          <w:p>
            <w:pPr/>
            <w:r>
              <w:rPr>
                <w:sz w:val="20"/>
              </w:rPr>
              <w:t>Discontinue Cardivex® several days before clonidine taper</w:t>
            </w:r>
          </w:p>
        </w:tc>
      </w:tr>
      <w:tr>
        <w:tc>
          <w:tcPr>
            <w:tcW w:type="dxa" w:w="2160"/>
          </w:tcPr>
          <w:p>
            <w:pPr/>
            <w:r>
              <w:rPr>
                <w:sz w:val="20"/>
              </w:rPr>
              <w:t>Insulin and oral hypoglycemics</w:t>
            </w:r>
          </w:p>
        </w:tc>
        <w:tc>
          <w:tcPr>
            <w:tcW w:type="dxa" w:w="2880"/>
          </w:tcPr>
          <w:p>
            <w:pPr/>
            <w:r>
              <w:rPr>
                <w:sz w:val="20"/>
              </w:rPr>
              <w:t>May mask tachycardia (key symptom of hypoglycemia); may prolong hypoglycemia</w:t>
            </w:r>
          </w:p>
        </w:tc>
        <w:tc>
          <w:tcPr>
            <w:tcW w:type="dxa" w:w="1008"/>
          </w:tcPr>
          <w:p>
            <w:pPr/>
            <w:r>
              <w:rPr>
                <w:sz w:val="20"/>
              </w:rPr>
              <w:t>Moderate</w:t>
            </w:r>
          </w:p>
        </w:tc>
        <w:tc>
          <w:tcPr>
            <w:tcW w:type="dxa" w:w="2880"/>
          </w:tcPr>
          <w:p>
            <w:pPr/>
            <w:r>
              <w:rPr>
                <w:sz w:val="20"/>
              </w:rPr>
              <w:t>Counsel patients about altered hypoglycemia symptoms; monitor glucose closely</w:t>
            </w:r>
          </w:p>
        </w:tc>
      </w:tr>
      <w:tr>
        <w:tc>
          <w:tcPr>
            <w:tcW w:type="dxa" w:w="2160"/>
          </w:tcPr>
          <w:p>
            <w:pPr/>
            <w:r>
              <w:rPr>
                <w:sz w:val="20"/>
              </w:rPr>
              <w:t>MAO inhibitors</w:t>
            </w:r>
          </w:p>
        </w:tc>
        <w:tc>
          <w:tcPr>
            <w:tcW w:type="dxa" w:w="2880"/>
          </w:tcPr>
          <w:p>
            <w:pPr/>
            <w:r>
              <w:rPr>
                <w:sz w:val="20"/>
              </w:rPr>
              <w:t>Risk of excessive hypertensive response to catecholamines</w:t>
            </w:r>
          </w:p>
        </w:tc>
        <w:tc>
          <w:tcPr>
            <w:tcW w:type="dxa" w:w="1008"/>
          </w:tcPr>
          <w:p>
            <w:pPr/>
            <w:r>
              <w:rPr>
                <w:sz w:val="20"/>
              </w:rPr>
              <w:t>Major</w:t>
            </w:r>
          </w:p>
        </w:tc>
        <w:tc>
          <w:tcPr>
            <w:tcW w:type="dxa" w:w="2880"/>
          </w:tcPr>
          <w:p>
            <w:pPr/>
            <w:r>
              <w:rPr>
                <w:sz w:val="20"/>
              </w:rPr>
              <w:t>Avoid concomitant use; 14-day washout recommended</w:t>
            </w:r>
          </w:p>
        </w:tc>
      </w:tr>
      <w:tr>
        <w:tc>
          <w:tcPr>
            <w:tcW w:type="dxa" w:w="2160"/>
          </w:tcPr>
          <w:p>
            <w:pPr/>
            <w:r>
              <w:rPr>
                <w:sz w:val="20"/>
              </w:rPr>
              <w:t>NSAIDs</w:t>
            </w:r>
          </w:p>
        </w:tc>
        <w:tc>
          <w:tcPr>
            <w:tcW w:type="dxa" w:w="2880"/>
          </w:tcPr>
          <w:p>
            <w:pPr/>
            <w:r>
              <w:rPr>
                <w:sz w:val="20"/>
              </w:rPr>
              <w:t>May attenuate antihypertensive effect through sodium and fluid retention</w:t>
            </w:r>
          </w:p>
        </w:tc>
        <w:tc>
          <w:tcPr>
            <w:tcW w:type="dxa" w:w="1008"/>
          </w:tcPr>
          <w:p>
            <w:pPr/>
            <w:r>
              <w:rPr>
                <w:sz w:val="20"/>
              </w:rPr>
              <w:t>Moderate</w:t>
            </w:r>
          </w:p>
        </w:tc>
        <w:tc>
          <w:tcPr>
            <w:tcW w:type="dxa" w:w="2880"/>
          </w:tcPr>
          <w:p>
            <w:pPr/>
            <w:r>
              <w:rPr>
                <w:sz w:val="20"/>
              </w:rPr>
              <w:t>Monitor BP; consider alternative analgesic</w:t>
            </w:r>
          </w:p>
        </w:tc>
      </w:tr>
      <w:tr>
        <w:tc>
          <w:tcPr>
            <w:tcW w:type="dxa" w:w="2160"/>
          </w:tcPr>
          <w:p>
            <w:pPr/>
            <w:r>
              <w:rPr>
                <w:sz w:val="20"/>
              </w:rPr>
              <w:t>Dihydropyridine CCBs (amlodipine, nifedipine)</w:t>
            </w:r>
          </w:p>
        </w:tc>
        <w:tc>
          <w:tcPr>
            <w:tcW w:type="dxa" w:w="2880"/>
          </w:tcPr>
          <w:p>
            <w:pPr/>
            <w:r>
              <w:rPr>
                <w:sz w:val="20"/>
              </w:rPr>
              <w:t>Additive blood pressure reduction; generally beneficial combination</w:t>
            </w:r>
          </w:p>
        </w:tc>
        <w:tc>
          <w:tcPr>
            <w:tcW w:type="dxa" w:w="1008"/>
          </w:tcPr>
          <w:p>
            <w:pPr/>
            <w:r>
              <w:rPr>
                <w:sz w:val="20"/>
              </w:rPr>
              <w:t>Minor</w:t>
            </w:r>
          </w:p>
        </w:tc>
        <w:tc>
          <w:tcPr>
            <w:tcW w:type="dxa" w:w="2880"/>
          </w:tcPr>
          <w:p>
            <w:pPr/>
            <w:r>
              <w:rPr>
                <w:sz w:val="20"/>
              </w:rPr>
              <w:t>Monitor for hypotension; combination generally well-tolerated</w:t>
            </w:r>
          </w:p>
        </w:tc>
      </w:tr>
      <w:tr>
        <w:tc>
          <w:tcPr>
            <w:tcW w:type="dxa" w:w="2160"/>
          </w:tcPr>
          <w:p>
            <w:pPr/>
            <w:r>
              <w:rPr>
                <w:sz w:val="20"/>
              </w:rPr>
              <w:t>ACE Inhibitors / ARBs</w:t>
            </w:r>
          </w:p>
        </w:tc>
        <w:tc>
          <w:tcPr>
            <w:tcW w:type="dxa" w:w="2880"/>
          </w:tcPr>
          <w:p>
            <w:pPr/>
            <w:r>
              <w:rPr>
                <w:sz w:val="20"/>
              </w:rPr>
              <w:t>Additive BP reduction and cardioprotective effects</w:t>
            </w:r>
          </w:p>
        </w:tc>
        <w:tc>
          <w:tcPr>
            <w:tcW w:type="dxa" w:w="1008"/>
          </w:tcPr>
          <w:p>
            <w:pPr/>
            <w:r>
              <w:rPr>
                <w:sz w:val="20"/>
              </w:rPr>
              <w:t>Minor</w:t>
            </w:r>
          </w:p>
        </w:tc>
        <w:tc>
          <w:tcPr>
            <w:tcW w:type="dxa" w:w="2880"/>
          </w:tcPr>
          <w:p>
            <w:pPr/>
            <w:r>
              <w:rPr>
                <w:sz w:val="20"/>
              </w:rPr>
              <w:t>Standard combination in heart failure; monitor potassium and renal function</w:t>
            </w:r>
          </w:p>
        </w:tc>
      </w:tr>
      <w:tr>
        <w:tc>
          <w:tcPr>
            <w:tcW w:type="dxa" w:w="2160"/>
          </w:tcPr>
          <w:p>
            <w:pPr/>
            <w:r>
              <w:rPr>
                <w:sz w:val="20"/>
              </w:rPr>
              <w:t>Catecholamine-depleting drugs (reserpine)</w:t>
            </w:r>
          </w:p>
        </w:tc>
        <w:tc>
          <w:tcPr>
            <w:tcW w:type="dxa" w:w="2880"/>
          </w:tcPr>
          <w:p>
            <w:pPr/>
            <w:r>
              <w:rPr>
                <w:sz w:val="20"/>
              </w:rPr>
              <w:t>Excessive sympathetic blockade leading to hypotension and bradycardia</w:t>
            </w:r>
          </w:p>
        </w:tc>
        <w:tc>
          <w:tcPr>
            <w:tcW w:type="dxa" w:w="1008"/>
          </w:tcPr>
          <w:p>
            <w:pPr/>
            <w:r>
              <w:rPr>
                <w:sz w:val="20"/>
              </w:rPr>
              <w:t>Major</w:t>
            </w:r>
          </w:p>
        </w:tc>
        <w:tc>
          <w:tcPr>
            <w:tcW w:type="dxa" w:w="2880"/>
          </w:tcPr>
          <w:p>
            <w:pPr/>
            <w:r>
              <w:rPr>
                <w:sz w:val="20"/>
              </w:rPr>
              <w:t>Avoid combination; monitor closely if co-administered</w:t>
            </w:r>
          </w:p>
        </w:tc>
      </w:tr>
    </w:tbl>
    <w:p/>
    <w:p>
      <w:r>
        <w:br w:type="page"/>
      </w:r>
    </w:p>
    <w:p>
      <w:pPr>
        <w:pStyle w:val="Heading1"/>
      </w:pPr>
      <w:r>
        <w:t>17. Contraindications</w:t>
      </w:r>
    </w:p>
    <w:p>
      <w:r>
        <w:t>Cardivex® is contraindicated in patients with:</w:t>
      </w:r>
    </w:p>
    <w:tbl>
      <w:tblPr>
        <w:tblStyle w:val="LightGrid-Accent1"/>
        <w:tblW w:type="auto" w:w="0"/>
        <w:jc w:val="center"/>
        <w:tblLook w:firstColumn="1" w:firstRow="1" w:lastColumn="0" w:lastRow="0" w:noHBand="0" w:noVBand="1" w:val="04A0"/>
      </w:tblPr>
      <w:tblGrid>
        <w:gridCol w:w="4680"/>
        <w:gridCol w:w="4680"/>
      </w:tblGrid>
      <w:tr>
        <w:tc>
          <w:tcPr>
            <w:tcW w:type="dxa" w:w="3600"/>
            <w:shd w:fill="003366"/>
          </w:tcPr>
          <w:p>
            <w:pPr>
              <w:jc w:val="center"/>
            </w:pPr>
            <w:r>
              <w:rPr>
                <w:b/>
                <w:color w:val="FFFFFF"/>
                <w:sz w:val="20"/>
              </w:rPr>
              <w:t>Condition</w:t>
            </w:r>
          </w:p>
        </w:tc>
        <w:tc>
          <w:tcPr>
            <w:tcW w:type="dxa" w:w="5760"/>
            <w:shd w:fill="003366"/>
          </w:tcPr>
          <w:p>
            <w:pPr>
              <w:jc w:val="center"/>
            </w:pPr>
            <w:r>
              <w:rPr>
                <w:b/>
                <w:color w:val="FFFFFF"/>
                <w:sz w:val="20"/>
              </w:rPr>
              <w:t>Specification</w:t>
            </w:r>
          </w:p>
        </w:tc>
      </w:tr>
      <w:tr>
        <w:tc>
          <w:tcPr>
            <w:tcW w:type="dxa" w:w="3600"/>
          </w:tcPr>
          <w:p>
            <w:pPr/>
            <w:r>
              <w:rPr>
                <w:sz w:val="20"/>
              </w:rPr>
              <w:t>Severe bradycardia</w:t>
            </w:r>
          </w:p>
        </w:tc>
        <w:tc>
          <w:tcPr>
            <w:tcW w:type="dxa" w:w="5760"/>
          </w:tcPr>
          <w:p>
            <w:pPr/>
            <w:r>
              <w:rPr>
                <w:sz w:val="20"/>
              </w:rPr>
              <w:t>Resting heart rate &lt;45 bpm prior to initiation of therapy</w:t>
            </w:r>
          </w:p>
        </w:tc>
      </w:tr>
      <w:tr>
        <w:tc>
          <w:tcPr>
            <w:tcW w:type="dxa" w:w="3600"/>
          </w:tcPr>
          <w:p>
            <w:pPr/>
            <w:r>
              <w:rPr>
                <w:sz w:val="20"/>
              </w:rPr>
              <w:t>Cardiogenic shock</w:t>
            </w:r>
          </w:p>
        </w:tc>
        <w:tc>
          <w:tcPr>
            <w:tcW w:type="dxa" w:w="5760"/>
          </w:tcPr>
          <w:p>
            <w:pPr/>
            <w:r>
              <w:rPr>
                <w:sz w:val="20"/>
              </w:rPr>
              <w:t>Hemodynamically significant cardiogenic shock requiring inotropic support</w:t>
            </w:r>
          </w:p>
        </w:tc>
      </w:tr>
      <w:tr>
        <w:tc>
          <w:tcPr>
            <w:tcW w:type="dxa" w:w="3600"/>
          </w:tcPr>
          <w:p>
            <w:pPr/>
            <w:r>
              <w:rPr>
                <w:sz w:val="20"/>
              </w:rPr>
              <w:t>Decompensated heart failure</w:t>
            </w:r>
          </w:p>
        </w:tc>
        <w:tc>
          <w:tcPr>
            <w:tcW w:type="dxa" w:w="5760"/>
          </w:tcPr>
          <w:p>
            <w:pPr/>
            <w:r>
              <w:rPr>
                <w:sz w:val="20"/>
              </w:rPr>
              <w:t>NYHA Class IV patients requiring intravenous inotropic therapy</w:t>
            </w:r>
          </w:p>
        </w:tc>
      </w:tr>
      <w:tr>
        <w:tc>
          <w:tcPr>
            <w:tcW w:type="dxa" w:w="3600"/>
          </w:tcPr>
          <w:p>
            <w:pPr/>
            <w:r>
              <w:rPr>
                <w:sz w:val="20"/>
              </w:rPr>
              <w:t>Sick sinus syndrome</w:t>
            </w:r>
          </w:p>
        </w:tc>
        <w:tc>
          <w:tcPr>
            <w:tcW w:type="dxa" w:w="5760"/>
          </w:tcPr>
          <w:p>
            <w:pPr/>
            <w:r>
              <w:rPr>
                <w:sz w:val="20"/>
              </w:rPr>
              <w:t>Without a functioning permanent pacemaker</w:t>
            </w:r>
          </w:p>
        </w:tc>
      </w:tr>
      <w:tr>
        <w:tc>
          <w:tcPr>
            <w:tcW w:type="dxa" w:w="3600"/>
          </w:tcPr>
          <w:p>
            <w:pPr/>
            <w:r>
              <w:rPr>
                <w:sz w:val="20"/>
              </w:rPr>
              <w:t>Second or third degree AV block</w:t>
            </w:r>
          </w:p>
        </w:tc>
        <w:tc>
          <w:tcPr>
            <w:tcW w:type="dxa" w:w="5760"/>
          </w:tcPr>
          <w:p>
            <w:pPr/>
            <w:r>
              <w:rPr>
                <w:sz w:val="20"/>
              </w:rPr>
              <w:t>Without a functioning permanent pacemaker</w:t>
            </w:r>
          </w:p>
        </w:tc>
      </w:tr>
      <w:tr>
        <w:tc>
          <w:tcPr>
            <w:tcW w:type="dxa" w:w="3600"/>
          </w:tcPr>
          <w:p>
            <w:pPr/>
            <w:r>
              <w:rPr>
                <w:sz w:val="20"/>
              </w:rPr>
              <w:t>Severe peripheral arterial circulatory disorders</w:t>
            </w:r>
          </w:p>
        </w:tc>
        <w:tc>
          <w:tcPr>
            <w:tcW w:type="dxa" w:w="5760"/>
          </w:tcPr>
          <w:p>
            <w:pPr/>
            <w:r>
              <w:rPr>
                <w:sz w:val="20"/>
              </w:rPr>
              <w:t>Including critical limb ischemia</w:t>
            </w:r>
          </w:p>
        </w:tc>
      </w:tr>
      <w:tr>
        <w:tc>
          <w:tcPr>
            <w:tcW w:type="dxa" w:w="3600"/>
          </w:tcPr>
          <w:p>
            <w:pPr/>
            <w:r>
              <w:rPr>
                <w:sz w:val="20"/>
              </w:rPr>
              <w:t>Pheochromocytoma</w:t>
            </w:r>
          </w:p>
        </w:tc>
        <w:tc>
          <w:tcPr>
            <w:tcW w:type="dxa" w:w="5760"/>
          </w:tcPr>
          <w:p>
            <w:pPr/>
            <w:r>
              <w:rPr>
                <w:sz w:val="20"/>
              </w:rPr>
              <w:t>Without prior alpha-adrenergic blockade</w:t>
            </w:r>
          </w:p>
        </w:tc>
      </w:tr>
      <w:tr>
        <w:tc>
          <w:tcPr>
            <w:tcW w:type="dxa" w:w="3600"/>
          </w:tcPr>
          <w:p>
            <w:pPr/>
            <w:r>
              <w:rPr>
                <w:sz w:val="20"/>
              </w:rPr>
              <w:t>Severe hepatic impairment</w:t>
            </w:r>
          </w:p>
        </w:tc>
        <w:tc>
          <w:tcPr>
            <w:tcW w:type="dxa" w:w="5760"/>
          </w:tcPr>
          <w:p>
            <w:pPr/>
            <w:r>
              <w:rPr>
                <w:sz w:val="20"/>
              </w:rPr>
              <w:t>Child-Pugh Class C</w:t>
            </w:r>
          </w:p>
        </w:tc>
      </w:tr>
      <w:tr>
        <w:tc>
          <w:tcPr>
            <w:tcW w:type="dxa" w:w="3600"/>
          </w:tcPr>
          <w:p>
            <w:pPr/>
            <w:r>
              <w:rPr>
                <w:sz w:val="20"/>
              </w:rPr>
              <w:t>Hypersensitivity</w:t>
            </w:r>
          </w:p>
        </w:tc>
        <w:tc>
          <w:tcPr>
            <w:tcW w:type="dxa" w:w="5760"/>
          </w:tcPr>
          <w:p>
            <w:pPr/>
            <w:r>
              <w:rPr>
                <w:sz w:val="20"/>
              </w:rPr>
              <w:t>Known hypersensitivity to metopravil, other beta-blockers, or any excipient</w:t>
            </w:r>
          </w:p>
        </w:tc>
      </w:tr>
      <w:tr>
        <w:tc>
          <w:tcPr>
            <w:tcW w:type="dxa" w:w="3600"/>
          </w:tcPr>
          <w:p>
            <w:pPr/>
            <w:r>
              <w:rPr>
                <w:sz w:val="20"/>
              </w:rPr>
              <w:t>Metabolic acidosis</w:t>
            </w:r>
          </w:p>
        </w:tc>
        <w:tc>
          <w:tcPr>
            <w:tcW w:type="dxa" w:w="5760"/>
          </w:tcPr>
          <w:p>
            <w:pPr/>
            <w:r>
              <w:rPr>
                <w:sz w:val="20"/>
              </w:rPr>
              <w:t>Clinically significant metabolic acidosis</w:t>
            </w:r>
          </w:p>
        </w:tc>
      </w:tr>
    </w:tbl>
    <w:p/>
    <w:p>
      <w:r>
        <w:br w:type="page"/>
      </w:r>
    </w:p>
    <w:p>
      <w:pPr>
        <w:pStyle w:val="Heading1"/>
      </w:pPr>
      <w:r>
        <w:t>18. Warnings and Precautions</w:t>
      </w:r>
    </w:p>
    <w:p>
      <w:pPr>
        <w:pStyle w:val="Heading2"/>
      </w:pPr>
      <w:r>
        <w:t>18.1 Abrupt Cessation of Therapy</w:t>
      </w:r>
    </w:p>
    <w:p>
      <w:r>
        <w:t>Do not abruptly discontinue Cardivex® in patients with coronary artery disease. Severe exacerbation of angina, myocardial infarction, and ventricular arrhythmias have been reported following abrupt discontinuation of beta-blocker therapy. When discontinuation is planned, gradually reduce the dose over 1–2 weeks with careful monitoring. If angina worsens or acute coronary insufficiency develops, promptly reinstate therapy, at least temporarily.</w:t>
      </w:r>
    </w:p>
    <w:p>
      <w:pPr>
        <w:pStyle w:val="Heading2"/>
      </w:pPr>
      <w:r>
        <w:t>18.2 Bradycardia</w:t>
      </w:r>
    </w:p>
    <w:p>
      <w:r>
        <w:t>Cardivex® may cause clinically significant bradycardia. In clinical trials, symptomatic bradycardia (HR &lt;45 bpm) occurred in 5.0% of Cardivex®-treated patients. Monitor heart rate regularly. If significant bradycardia develops, reduce dose or discontinue. Do not initiate in patients with resting HR &lt;50 bpm.</w:t>
      </w:r>
    </w:p>
    <w:p>
      <w:pPr>
        <w:pStyle w:val="Heading2"/>
      </w:pPr>
      <w:r>
        <w:t>18.3 Heart Failure</w:t>
      </w:r>
    </w:p>
    <w:p>
      <w:r>
        <w:t>Beta-blockers may precipitate or worsen heart failure. In patients with compensated heart failure, initiate at low doses and titrate slowly. If heart failure worsens, increase diuretic therapy and reduce or temporarily discontinue Cardivex®.</w:t>
      </w:r>
    </w:p>
    <w:p>
      <w:pPr>
        <w:pStyle w:val="Heading2"/>
      </w:pPr>
      <w:r>
        <w:t>18.4 Bronchospastic Diseases</w:t>
      </w:r>
    </w:p>
    <w:p>
      <w:r>
        <w:t>Due to its high β₁-selectivity, Cardivex® may be used with caution in patients with bronchospastic disease who do not respond to or cannot tolerate other antihypertensive agents. Use the lowest effective dose and consider concomitant β₂-agonist therapy. Monitor pulmonary function.</w:t>
      </w:r>
    </w:p>
    <w:p>
      <w:pPr>
        <w:pStyle w:val="Heading2"/>
      </w:pPr>
      <w:r>
        <w:t>18.5 Diabetes and Hypoglycemia</w:t>
      </w:r>
    </w:p>
    <w:p>
      <w:r>
        <w:t>Beta-blockers may mask tachycardia associated with hypoglycemia but do not mask diaphoresis. Counsel diabetic patients about altered symptom recognition. Metopravil does not significantly affect glucose metabolism or insulin sensitivity.</w:t>
      </w:r>
    </w:p>
    <w:p>
      <w:pPr>
        <w:pStyle w:val="Heading2"/>
      </w:pPr>
      <w:r>
        <w:t>18.6 Thyrotoxicosis</w:t>
      </w:r>
    </w:p>
    <w:p>
      <w:r>
        <w:t>Beta-blockade may mask signs of thyrotoxicosis (e.g., tachycardia). Abrupt withdrawal may precipitate thyroid storm. Monitor thyroid function in at-risk patients.</w:t>
      </w:r>
    </w:p>
    <w:p>
      <w:pPr>
        <w:pStyle w:val="Heading2"/>
      </w:pPr>
      <w:r>
        <w:t>18.7 Peripheral Vascular Disease</w:t>
      </w:r>
    </w:p>
    <w:p>
      <w:r>
        <w:t>Beta-blockers may aggravate symptoms of peripheral vascular disease. Use with caution in patients with Raynaud's phenomenon or intermittent claudication.</w:t>
      </w:r>
    </w:p>
    <w:p>
      <w:pPr>
        <w:pStyle w:val="Heading2"/>
      </w:pPr>
      <w:r>
        <w:t>18.8 Major Surgery</w:t>
      </w:r>
    </w:p>
    <w:p>
      <w:r>
        <w:t>The necessity or desirability of withdrawal of beta-blocker therapy prior to major surgery is controversial. Beta-blockade impairs the heart's ability to respond to reflex adrenergic stimuli. If continued perioperatively, ensure the anesthesiologist is aware of beta-blocker use.</w:t>
      </w:r>
    </w:p>
    <w:p>
      <w:r>
        <w:br w:type="page"/>
      </w:r>
    </w:p>
    <w:p>
      <w:pPr>
        <w:pStyle w:val="Heading1"/>
      </w:pPr>
      <w:r>
        <w:t>19. Use in Special Populations</w:t>
      </w:r>
    </w:p>
    <w:p>
      <w:pPr>
        <w:pStyle w:val="Heading2"/>
      </w:pPr>
      <w:r>
        <w:t>19.1 Pregnancy</w:t>
      </w:r>
    </w:p>
    <w:p>
      <w:r>
        <w:t>Risk Summary: Based on animal reproduction studies and limited human data, Cardivex® may cause fetal harm when administered during pregnancy. Beta-blockers cross the placenta and have been associated with intrauterine growth restriction, neonatal bradycardia, and hypoglycemia. Cardivex® should only be used during pregnancy if the potential benefit justifies the potential risk to the fetus (Pregnancy Category C).</w:t>
      </w:r>
    </w:p>
    <w:p>
      <w:r>
        <w:t>Animal Data: In rat embryo-fetal development studies, metopravil administered at 50, 150, and 450 mg/kg/day during organogenesis (GD 6–17) produced reduced fetal body weight and delayed ossification at ≥150 mg/kg/day (approximately 12× the MRHD on a mg/m² basis). No teratogenicity was observed at any dose tested. In rabbits, doses up to 100 mg/kg/day during GD 6–18 showed no evidence of teratogenicity or adverse developmental effects.</w:t>
      </w:r>
    </w:p>
    <w:p>
      <w:pPr>
        <w:pStyle w:val="Heading2"/>
      </w:pPr>
      <w:r>
        <w:t>19.2 Lactation</w:t>
      </w:r>
    </w:p>
    <w:p>
      <w:r>
        <w:t>Metopravil is excreted in human breast milk with a milk:plasma ratio of approximately 3.5. An exclusively breastfed infant would receive an estimated 1.2% of the maternal weight-adjusted dose. Due to the potential for serious adverse reactions in nursing infants (bradycardia, hypotension), a decision should be made whether to discontinue nursing or discontinue the drug.</w:t>
      </w:r>
    </w:p>
    <w:p>
      <w:pPr>
        <w:pStyle w:val="Heading2"/>
      </w:pPr>
      <w:r>
        <w:t>19.3 Pediatric Use</w:t>
      </w:r>
    </w:p>
    <w:p>
      <w:r>
        <w:t>The safety and effectiveness of Cardivex® in pediatric patients have not been established. A Phase II pharmacokinetic study (CV-204) in adolescents aged 12–17 years (N=36) with hypertension demonstrated similar pharmacokinetic profiles to adults. However, no efficacy data are available. Cardivex® is not currently approved for use in patients under 18 years of age.</w:t>
      </w:r>
    </w:p>
    <w:p>
      <w:pPr>
        <w:pStyle w:val="Heading2"/>
      </w:pPr>
      <w:r>
        <w:t>19.4 Geriatric Use</w:t>
      </w:r>
    </w:p>
    <w:p>
      <w:r>
        <w:t>Of the 8,146 patients exposed to Cardivex® in clinical studies, 3,264 (40.1%) were ≥65 years and 1,142 (14.0%) were ≥75 years. No overall differences in efficacy were observed between older and younger patients. Elderly patients had a higher incidence of bradycardia (7.2% vs. 3.8%) and dizziness (8.4% vs. 4.6%). Start at the lowest recommended dose and titrate carefully.</w:t>
      </w:r>
    </w:p>
    <w:p>
      <w:pPr>
        <w:pStyle w:val="Heading2"/>
      </w:pPr>
      <w:r>
        <w:t>19.5 Hepatic Impairment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728"/>
            <w:shd w:fill="003366"/>
          </w:tcPr>
          <w:p>
            <w:pPr>
              <w:jc w:val="center"/>
            </w:pPr>
            <w:r>
              <w:rPr>
                <w:b/>
                <w:color w:val="FFFFFF"/>
                <w:sz w:val="20"/>
              </w:rPr>
              <w:t>Child-Pugh Class</w:t>
            </w:r>
          </w:p>
        </w:tc>
        <w:tc>
          <w:tcPr>
            <w:tcW w:type="dxa" w:w="2160"/>
            <w:shd w:fill="003366"/>
          </w:tcPr>
          <w:p>
            <w:pPr>
              <w:jc w:val="center"/>
            </w:pPr>
            <w:r>
              <w:rPr>
                <w:b/>
                <w:color w:val="FFFFFF"/>
                <w:sz w:val="20"/>
              </w:rPr>
              <w:t>Pharmacokinetic Change</w:t>
            </w:r>
          </w:p>
        </w:tc>
        <w:tc>
          <w:tcPr>
            <w:tcW w:type="dxa" w:w="2160"/>
            <w:shd w:fill="003366"/>
          </w:tcPr>
          <w:p>
            <w:pPr>
              <w:jc w:val="center"/>
            </w:pPr>
            <w:r>
              <w:rPr>
                <w:b/>
                <w:color w:val="FFFFFF"/>
                <w:sz w:val="20"/>
              </w:rPr>
              <w:t>Dose Recommendation</w:t>
            </w:r>
          </w:p>
        </w:tc>
        <w:tc>
          <w:tcPr>
            <w:tcW w:type="dxa" w:w="3168"/>
            <w:shd w:fill="003366"/>
          </w:tcPr>
          <w:p>
            <w:pPr>
              <w:jc w:val="center"/>
            </w:pPr>
            <w:r>
              <w:rPr>
                <w:b/>
                <w:color w:val="FFFFFF"/>
                <w:sz w:val="20"/>
              </w:rPr>
              <w:t>Monitoring</w:t>
            </w:r>
          </w:p>
        </w:tc>
      </w:tr>
      <w:tr>
        <w:tc>
          <w:tcPr>
            <w:tcW w:type="dxa" w:w="1728"/>
          </w:tcPr>
          <w:p>
            <w:pPr/>
            <w:r>
              <w:rPr>
                <w:sz w:val="20"/>
              </w:rPr>
              <w:t>A (Mild)</w:t>
            </w:r>
          </w:p>
        </w:tc>
        <w:tc>
          <w:tcPr>
            <w:tcW w:type="dxa" w:w="2160"/>
          </w:tcPr>
          <w:p>
            <w:pPr/>
            <w:r>
              <w:rPr>
                <w:sz w:val="20"/>
              </w:rPr>
              <w:t>AUC ↑35%</w:t>
            </w:r>
          </w:p>
        </w:tc>
        <w:tc>
          <w:tcPr>
            <w:tcW w:type="dxa" w:w="2160"/>
          </w:tcPr>
          <w:p>
            <w:pPr/>
            <w:r>
              <w:rPr>
                <w:sz w:val="20"/>
              </w:rPr>
              <w:t>No adjustment needed</w:t>
            </w:r>
          </w:p>
        </w:tc>
        <w:tc>
          <w:tcPr>
            <w:tcW w:type="dxa" w:w="3168"/>
          </w:tcPr>
          <w:p>
            <w:pPr/>
            <w:r>
              <w:rPr>
                <w:sz w:val="20"/>
              </w:rPr>
              <w:t>Standard monitoring</w:t>
            </w:r>
          </w:p>
        </w:tc>
      </w:tr>
      <w:tr>
        <w:tc>
          <w:tcPr>
            <w:tcW w:type="dxa" w:w="1728"/>
          </w:tcPr>
          <w:p>
            <w:pPr/>
            <w:r>
              <w:rPr>
                <w:sz w:val="20"/>
              </w:rPr>
              <w:t>B (Moderate)</w:t>
            </w:r>
          </w:p>
        </w:tc>
        <w:tc>
          <w:tcPr>
            <w:tcW w:type="dxa" w:w="2160"/>
          </w:tcPr>
          <w:p>
            <w:pPr/>
            <w:r>
              <w:rPr>
                <w:sz w:val="20"/>
              </w:rPr>
              <w:t>AUC ↑65%</w:t>
            </w:r>
          </w:p>
        </w:tc>
        <w:tc>
          <w:tcPr>
            <w:tcW w:type="dxa" w:w="2160"/>
          </w:tcPr>
          <w:p>
            <w:pPr/>
            <w:r>
              <w:rPr>
                <w:sz w:val="20"/>
              </w:rPr>
              <w:t>Maximum 100 mg daily</w:t>
            </w:r>
          </w:p>
        </w:tc>
        <w:tc>
          <w:tcPr>
            <w:tcW w:type="dxa" w:w="3168"/>
          </w:tcPr>
          <w:p>
            <w:pPr/>
            <w:r>
              <w:rPr>
                <w:sz w:val="20"/>
              </w:rPr>
              <w:t>Monthly LFTs for 3 months; monitor HR/BP closely</w:t>
            </w:r>
          </w:p>
        </w:tc>
      </w:tr>
      <w:tr>
        <w:tc>
          <w:tcPr>
            <w:tcW w:type="dxa" w:w="1728"/>
          </w:tcPr>
          <w:p>
            <w:pPr/>
            <w:r>
              <w:rPr>
                <w:sz w:val="20"/>
              </w:rPr>
              <w:t>C (Severe)</w:t>
            </w:r>
          </w:p>
        </w:tc>
        <w:tc>
          <w:tcPr>
            <w:tcW w:type="dxa" w:w="2160"/>
          </w:tcPr>
          <w:p>
            <w:pPr/>
            <w:r>
              <w:rPr>
                <w:sz w:val="20"/>
              </w:rPr>
              <w:t>AUC ↑145%</w:t>
            </w:r>
          </w:p>
        </w:tc>
        <w:tc>
          <w:tcPr>
            <w:tcW w:type="dxa" w:w="2160"/>
          </w:tcPr>
          <w:p>
            <w:pPr/>
            <w:r>
              <w:rPr>
                <w:sz w:val="20"/>
              </w:rPr>
              <w:t>Contraindicated</w:t>
            </w:r>
          </w:p>
        </w:tc>
        <w:tc>
          <w:tcPr>
            <w:tcW w:type="dxa" w:w="3168"/>
          </w:tcPr>
          <w:p>
            <w:pPr/>
            <w:r>
              <w:rPr>
                <w:sz w:val="20"/>
              </w:rPr>
              <w:t>N/A</w:t>
            </w:r>
          </w:p>
        </w:tc>
      </w:tr>
    </w:tbl>
    <w:p/>
    <w:p>
      <w:pPr>
        <w:pStyle w:val="Heading2"/>
      </w:pPr>
      <w:r>
        <w:t>19.6 Renal Impairment</w:t>
      </w:r>
    </w:p>
    <w:tbl>
      <w:tblPr>
        <w:tblStyle w:val="LightGrid-Accent1"/>
        <w:tblW w:type="auto" w:w="0"/>
        <w:jc w:val="center"/>
        <w:tblLook w:firstColumn="1" w:firstRow="1" w:lastColumn="0" w:lastRow="0" w:noHBand="0" w:noVBand="1" w:val="04A0"/>
      </w:tblPr>
      <w:tblGrid>
        <w:gridCol w:w="3120"/>
        <w:gridCol w:w="3120"/>
        <w:gridCol w:w="3120"/>
      </w:tblGrid>
      <w:tr>
        <w:tc>
          <w:tcPr>
            <w:tcW w:type="dxa" w:w="2592"/>
            <w:shd w:fill="003366"/>
          </w:tcPr>
          <w:p>
            <w:pPr>
              <w:jc w:val="center"/>
            </w:pPr>
            <w:r>
              <w:rPr>
                <w:b/>
                <w:color w:val="FFFFFF"/>
                <w:sz w:val="20"/>
              </w:rPr>
              <w:t>eGFR (mL/min/1.73m²)</w:t>
            </w:r>
          </w:p>
        </w:tc>
        <w:tc>
          <w:tcPr>
            <w:tcW w:type="dxa" w:w="2592"/>
            <w:shd w:fill="003366"/>
          </w:tcPr>
          <w:p>
            <w:pPr>
              <w:jc w:val="center"/>
            </w:pPr>
            <w:r>
              <w:rPr>
                <w:b/>
                <w:color w:val="FFFFFF"/>
                <w:sz w:val="20"/>
              </w:rPr>
              <w:t>Pharmacokinetic Change</w:t>
            </w:r>
          </w:p>
        </w:tc>
        <w:tc>
          <w:tcPr>
            <w:tcW w:type="dxa" w:w="3600"/>
            <w:shd w:fill="003366"/>
          </w:tcPr>
          <w:p>
            <w:pPr>
              <w:jc w:val="center"/>
            </w:pPr>
            <w:r>
              <w:rPr>
                <w:b/>
                <w:color w:val="FFFFFF"/>
                <w:sz w:val="20"/>
              </w:rPr>
              <w:t>Dose Recommendation</w:t>
            </w:r>
          </w:p>
        </w:tc>
      </w:tr>
      <w:tr>
        <w:tc>
          <w:tcPr>
            <w:tcW w:type="dxa" w:w="2592"/>
          </w:tcPr>
          <w:p>
            <w:pPr/>
            <w:r>
              <w:rPr>
                <w:sz w:val="20"/>
              </w:rPr>
              <w:t>≥60 (Normal/Mild)</w:t>
            </w:r>
          </w:p>
        </w:tc>
        <w:tc>
          <w:tcPr>
            <w:tcW w:type="dxa" w:w="2592"/>
          </w:tcPr>
          <w:p>
            <w:pPr/>
            <w:r>
              <w:rPr>
                <w:sz w:val="20"/>
              </w:rPr>
              <w:t>No significant change</w:t>
            </w:r>
          </w:p>
        </w:tc>
        <w:tc>
          <w:tcPr>
            <w:tcW w:type="dxa" w:w="3600"/>
          </w:tcPr>
          <w:p>
            <w:pPr/>
            <w:r>
              <w:rPr>
                <w:sz w:val="20"/>
              </w:rPr>
              <w:t>No adjustment needed</w:t>
            </w:r>
          </w:p>
        </w:tc>
      </w:tr>
      <w:tr>
        <w:tc>
          <w:tcPr>
            <w:tcW w:type="dxa" w:w="2592"/>
          </w:tcPr>
          <w:p>
            <w:pPr/>
            <w:r>
              <w:rPr>
                <w:sz w:val="20"/>
              </w:rPr>
              <w:t>30–59 (Moderate)</w:t>
            </w:r>
          </w:p>
        </w:tc>
        <w:tc>
          <w:tcPr>
            <w:tcW w:type="dxa" w:w="2592"/>
          </w:tcPr>
          <w:p>
            <w:pPr/>
            <w:r>
              <w:rPr>
                <w:sz w:val="20"/>
              </w:rPr>
              <w:t>AUC ↑12%</w:t>
            </w:r>
          </w:p>
        </w:tc>
        <w:tc>
          <w:tcPr>
            <w:tcW w:type="dxa" w:w="3600"/>
          </w:tcPr>
          <w:p>
            <w:pPr/>
            <w:r>
              <w:rPr>
                <w:sz w:val="20"/>
              </w:rPr>
              <w:t>No adjustment needed</w:t>
            </w:r>
          </w:p>
        </w:tc>
      </w:tr>
      <w:tr>
        <w:tc>
          <w:tcPr>
            <w:tcW w:type="dxa" w:w="2592"/>
          </w:tcPr>
          <w:p>
            <w:pPr/>
            <w:r>
              <w:rPr>
                <w:sz w:val="20"/>
              </w:rPr>
              <w:t>15–29 (Severe)</w:t>
            </w:r>
          </w:p>
        </w:tc>
        <w:tc>
          <w:tcPr>
            <w:tcW w:type="dxa" w:w="2592"/>
          </w:tcPr>
          <w:p>
            <w:pPr/>
            <w:r>
              <w:rPr>
                <w:sz w:val="20"/>
              </w:rPr>
              <w:t>AUC ↑32%</w:t>
            </w:r>
          </w:p>
        </w:tc>
        <w:tc>
          <w:tcPr>
            <w:tcW w:type="dxa" w:w="3600"/>
          </w:tcPr>
          <w:p>
            <w:pPr/>
            <w:r>
              <w:rPr>
                <w:sz w:val="20"/>
              </w:rPr>
              <w:t>Start at 50 mg; max 100 mg daily</w:t>
            </w:r>
          </w:p>
        </w:tc>
      </w:tr>
      <w:tr>
        <w:tc>
          <w:tcPr>
            <w:tcW w:type="dxa" w:w="2592"/>
          </w:tcPr>
          <w:p>
            <w:pPr/>
            <w:r>
              <w:rPr>
                <w:sz w:val="20"/>
              </w:rPr>
              <w:t>&lt;15 or Dialysis</w:t>
            </w:r>
          </w:p>
        </w:tc>
        <w:tc>
          <w:tcPr>
            <w:tcW w:type="dxa" w:w="2592"/>
          </w:tcPr>
          <w:p>
            <w:pPr/>
            <w:r>
              <w:rPr>
                <w:sz w:val="20"/>
              </w:rPr>
              <w:t>AUC ↑56%</w:t>
            </w:r>
          </w:p>
        </w:tc>
        <w:tc>
          <w:tcPr>
            <w:tcW w:type="dxa" w:w="3600"/>
          </w:tcPr>
          <w:p>
            <w:pPr/>
            <w:r>
              <w:rPr>
                <w:sz w:val="20"/>
              </w:rPr>
              <w:t>Maximum 50 mg daily; give post-dialysis</w:t>
            </w:r>
          </w:p>
        </w:tc>
      </w:tr>
    </w:tbl>
    <w:p/>
    <w:p>
      <w:r>
        <w:br w:type="page"/>
      </w:r>
    </w:p>
    <w:p>
      <w:pPr>
        <w:pStyle w:val="Heading1"/>
      </w:pPr>
      <w:r>
        <w:t>20. Overdosage</w:t>
      </w:r>
    </w:p>
    <w:p>
      <w:pPr>
        <w:pStyle w:val="Heading2"/>
      </w:pPr>
      <w:r>
        <w:t>20.1 Signs and Symptoms</w:t>
      </w:r>
    </w:p>
    <w:p>
      <w:r>
        <w:t>Beta-blocker overdose may produce severe bradycardia, hypotension, heart failure, cardiogenic shock, bronchospasm, impaired consciousness, coma, and cardiac arrest. Symptoms typically appear within 1–3 hours of ingestion but may be delayed up to 6 hours with extended-release formulations.</w:t>
      </w:r>
    </w:p>
    <w:p>
      <w:pPr>
        <w:pStyle w:val="Heading2"/>
      </w:pPr>
      <w:r>
        <w:t>20.2 Management</w:t>
      </w:r>
    </w:p>
    <w:p>
      <w:pPr>
        <w:pStyle w:val="ListBullet"/>
      </w:pPr>
      <w:r>
        <w:t>Establish and maintain a patent airway. Monitor cardiac rhythm and vital signs continuously.</w:t>
      </w:r>
    </w:p>
    <w:p>
      <w:pPr>
        <w:pStyle w:val="ListBullet"/>
      </w:pPr>
      <w:r>
        <w:t>Gastric lavage or activated charcoal if within 1–2 hours of ingestion (consider extended window for ER formulation).</w:t>
      </w:r>
    </w:p>
    <w:p>
      <w:pPr>
        <w:pStyle w:val="ListBullet"/>
      </w:pPr>
      <w:r>
        <w:t>Atropine 0.5–1.0 mg IV for symptomatic bradycardia; repeat as needed up to 3 mg total.</w:t>
      </w:r>
    </w:p>
    <w:p>
      <w:pPr>
        <w:pStyle w:val="ListBullet"/>
      </w:pPr>
      <w:r>
        <w:t>Glucagon 5–10 mg IV bolus followed by 1–5 mg/hour infusion for refractory bradycardia and hypotension (bypasses beta-receptor blockade via adenylyl cyclase activation).</w:t>
      </w:r>
    </w:p>
    <w:p>
      <w:pPr>
        <w:pStyle w:val="ListBullet"/>
      </w:pPr>
      <w:r>
        <w:t>Isoproterenol or dobutamine infusion for persistent hemodynamic instability.</w:t>
      </w:r>
    </w:p>
    <w:p>
      <w:pPr>
        <w:pStyle w:val="ListBullet"/>
      </w:pPr>
      <w:r>
        <w:t>IV fluids and vasopressors (norepinephrine, dopamine) for severe hypotension.</w:t>
      </w:r>
    </w:p>
    <w:p>
      <w:pPr>
        <w:pStyle w:val="ListBullet"/>
      </w:pPr>
      <w:r>
        <w:t>Temporary transvenous cardiac pacing for complete heart block unresponsive to pharmacotherapy.</w:t>
      </w:r>
    </w:p>
    <w:p>
      <w:pPr>
        <w:pStyle w:val="ListBullet"/>
      </w:pPr>
      <w:r>
        <w:t>IV diazepam for seizures.</w:t>
      </w:r>
    </w:p>
    <w:p>
      <w:pPr>
        <w:pStyle w:val="ListBullet"/>
      </w:pPr>
      <w:r>
        <w:t>Intra-aortic balloon pump or extracorporeal membrane oxygenation (ECMO) for refractory cardiogenic shock.</w:t>
      </w:r>
    </w:p>
    <w:p>
      <w:pPr>
        <w:pStyle w:val="ListBullet"/>
      </w:pPr>
      <w:r>
        <w:t>Hemodialysis is NOT effective due to high volume of distribution and protein binding.</w:t>
      </w:r>
    </w:p>
    <w:p>
      <w:r>
        <w:br w:type="page"/>
      </w:r>
    </w:p>
    <w:p>
      <w:pPr>
        <w:pStyle w:val="Heading1"/>
      </w:pPr>
      <w:r>
        <w:t>21. Storage and Handling</w:t>
      </w:r>
    </w:p>
    <w:tbl>
      <w:tblPr>
        <w:tblStyle w:val="LightGrid-Accent1"/>
        <w:tblW w:type="auto" w:w="0"/>
        <w:jc w:val="center"/>
        <w:tblLook w:firstColumn="1" w:firstRow="1" w:lastColumn="0" w:lastRow="0" w:noHBand="0" w:noVBand="1" w:val="04A0"/>
      </w:tblPr>
      <w:tblGrid>
        <w:gridCol w:w="4680"/>
        <w:gridCol w:w="4680"/>
      </w:tblGrid>
      <w:tr>
        <w:tc>
          <w:tcPr>
            <w:tcW w:type="dxa" w:w="2880"/>
            <w:shd w:fill="003366"/>
          </w:tcPr>
          <w:p>
            <w:pPr>
              <w:jc w:val="center"/>
            </w:pPr>
            <w:r>
              <w:rPr>
                <w:b/>
                <w:color w:val="FFFFFF"/>
                <w:sz w:val="20"/>
              </w:rPr>
              <w:t>Parameter</w:t>
            </w:r>
          </w:p>
        </w:tc>
        <w:tc>
          <w:tcPr>
            <w:tcW w:type="dxa" w:w="6480"/>
            <w:shd w:fill="003366"/>
          </w:tcPr>
          <w:p>
            <w:pPr>
              <w:jc w:val="center"/>
            </w:pPr>
            <w:r>
              <w:rPr>
                <w:b/>
                <w:color w:val="FFFFFF"/>
                <w:sz w:val="20"/>
              </w:rPr>
              <w:t>Specification</w:t>
            </w:r>
          </w:p>
        </w:tc>
      </w:tr>
      <w:tr>
        <w:tc>
          <w:tcPr>
            <w:tcW w:type="dxa" w:w="2880"/>
          </w:tcPr>
          <w:p>
            <w:pPr/>
            <w:r>
              <w:rPr>
                <w:sz w:val="20"/>
              </w:rPr>
              <w:t>Storage temperature</w:t>
            </w:r>
          </w:p>
        </w:tc>
        <w:tc>
          <w:tcPr>
            <w:tcW w:type="dxa" w:w="6480"/>
          </w:tcPr>
          <w:p>
            <w:pPr/>
            <w:r>
              <w:rPr>
                <w:sz w:val="20"/>
              </w:rPr>
              <w:t>Store at 20°C to 25°C (68°F to 77°F)</w:t>
            </w:r>
          </w:p>
        </w:tc>
      </w:tr>
      <w:tr>
        <w:tc>
          <w:tcPr>
            <w:tcW w:type="dxa" w:w="2880"/>
          </w:tcPr>
          <w:p>
            <w:pPr/>
            <w:r>
              <w:rPr>
                <w:sz w:val="20"/>
              </w:rPr>
              <w:t>Excursions permitted</w:t>
            </w:r>
          </w:p>
        </w:tc>
        <w:tc>
          <w:tcPr>
            <w:tcW w:type="dxa" w:w="6480"/>
          </w:tcPr>
          <w:p>
            <w:pPr/>
            <w:r>
              <w:rPr>
                <w:sz w:val="20"/>
              </w:rPr>
              <w:t>15°C to 30°C (59°F to 86°F) for up to 30 days</w:t>
            </w:r>
          </w:p>
        </w:tc>
      </w:tr>
      <w:tr>
        <w:tc>
          <w:tcPr>
            <w:tcW w:type="dxa" w:w="2880"/>
          </w:tcPr>
          <w:p>
            <w:pPr/>
            <w:r>
              <w:rPr>
                <w:sz w:val="20"/>
              </w:rPr>
              <w:t>Light protection</w:t>
            </w:r>
          </w:p>
        </w:tc>
        <w:tc>
          <w:tcPr>
            <w:tcW w:type="dxa" w:w="6480"/>
          </w:tcPr>
          <w:p>
            <w:pPr/>
            <w:r>
              <w:rPr>
                <w:sz w:val="20"/>
              </w:rPr>
              <w:t>Store in original container; protect from light</w:t>
            </w:r>
          </w:p>
        </w:tc>
      </w:tr>
      <w:tr>
        <w:tc>
          <w:tcPr>
            <w:tcW w:type="dxa" w:w="2880"/>
          </w:tcPr>
          <w:p>
            <w:pPr/>
            <w:r>
              <w:rPr>
                <w:sz w:val="20"/>
              </w:rPr>
              <w:t>Moisture protection</w:t>
            </w:r>
          </w:p>
        </w:tc>
        <w:tc>
          <w:tcPr>
            <w:tcW w:type="dxa" w:w="6480"/>
          </w:tcPr>
          <w:p>
            <w:pPr/>
            <w:r>
              <w:rPr>
                <w:sz w:val="20"/>
              </w:rPr>
              <w:t>Keep container tightly closed; do not remove desiccant</w:t>
            </w:r>
          </w:p>
        </w:tc>
      </w:tr>
      <w:tr>
        <w:tc>
          <w:tcPr>
            <w:tcW w:type="dxa" w:w="2880"/>
          </w:tcPr>
          <w:p>
            <w:pPr/>
            <w:r>
              <w:rPr>
                <w:sz w:val="20"/>
              </w:rPr>
              <w:t>Shelf life</w:t>
            </w:r>
          </w:p>
        </w:tc>
        <w:tc>
          <w:tcPr>
            <w:tcW w:type="dxa" w:w="6480"/>
          </w:tcPr>
          <w:p>
            <w:pPr/>
            <w:r>
              <w:rPr>
                <w:sz w:val="20"/>
              </w:rPr>
              <w:t>36 months from date of manufacture</w:t>
            </w:r>
          </w:p>
        </w:tc>
      </w:tr>
      <w:tr>
        <w:tc>
          <w:tcPr>
            <w:tcW w:type="dxa" w:w="2880"/>
          </w:tcPr>
          <w:p>
            <w:pPr/>
            <w:r>
              <w:rPr>
                <w:sz w:val="20"/>
              </w:rPr>
              <w:t>Packaging</w:t>
            </w:r>
          </w:p>
        </w:tc>
        <w:tc>
          <w:tcPr>
            <w:tcW w:type="dxa" w:w="6480"/>
          </w:tcPr>
          <w:p>
            <w:pPr/>
            <w:r>
              <w:rPr>
                <w:sz w:val="20"/>
              </w:rPr>
              <w:t>HDPE bottles with child-resistant closure, induction seal, and desiccant</w:t>
            </w:r>
          </w:p>
        </w:tc>
      </w:tr>
      <w:tr>
        <w:tc>
          <w:tcPr>
            <w:tcW w:type="dxa" w:w="2880"/>
          </w:tcPr>
          <w:p>
            <w:pPr/>
            <w:r>
              <w:rPr>
                <w:sz w:val="20"/>
              </w:rPr>
              <w:t>Pack sizes</w:t>
            </w:r>
          </w:p>
        </w:tc>
        <w:tc>
          <w:tcPr>
            <w:tcW w:type="dxa" w:w="6480"/>
          </w:tcPr>
          <w:p>
            <w:pPr/>
            <w:r>
              <w:rPr>
                <w:sz w:val="20"/>
              </w:rPr>
              <w:t>30, 90, and 500 count bottles</w:t>
            </w:r>
          </w:p>
        </w:tc>
      </w:tr>
      <w:tr>
        <w:tc>
          <w:tcPr>
            <w:tcW w:type="dxa" w:w="2880"/>
          </w:tcPr>
          <w:p>
            <w:pPr/>
            <w:r>
              <w:rPr>
                <w:sz w:val="20"/>
              </w:rPr>
              <w:t>Disposal</w:t>
            </w:r>
          </w:p>
        </w:tc>
        <w:tc>
          <w:tcPr>
            <w:tcW w:type="dxa" w:w="6480"/>
          </w:tcPr>
          <w:p>
            <w:pPr/>
            <w:r>
              <w:rPr>
                <w:sz w:val="20"/>
              </w:rPr>
              <w:t>Dispose of unused tablets per FDA drug disposal guidelines; do not flush</w:t>
            </w:r>
          </w:p>
        </w:tc>
      </w:tr>
    </w:tbl>
    <w:p/>
    <w:p>
      <w:r>
        <w:t>Keep out of reach of children. In case of accidental ingestion, contact a poison control center or emergency room immediately.</w:t>
      </w:r>
    </w:p>
    <w:p>
      <w:pPr>
        <w:pStyle w:val="Heading1"/>
      </w:pPr>
      <w:r>
        <w:t>22. Regulatory Status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728"/>
            <w:shd w:fill="003366"/>
          </w:tcPr>
          <w:p>
            <w:pPr>
              <w:jc w:val="center"/>
            </w:pPr>
            <w:r>
              <w:rPr>
                <w:b/>
                <w:color w:val="FFFFFF"/>
                <w:sz w:val="20"/>
              </w:rPr>
              <w:t>Regulatory Authority</w:t>
            </w:r>
          </w:p>
        </w:tc>
        <w:tc>
          <w:tcPr>
            <w:tcW w:type="dxa" w:w="1728"/>
            <w:shd w:fill="003366"/>
          </w:tcPr>
          <w:p>
            <w:pPr>
              <w:jc w:val="center"/>
            </w:pPr>
            <w:r>
              <w:rPr>
                <w:b/>
                <w:color w:val="FFFFFF"/>
                <w:sz w:val="20"/>
              </w:rPr>
              <w:t>Application Number</w:t>
            </w:r>
          </w:p>
        </w:tc>
        <w:tc>
          <w:tcPr>
            <w:tcW w:type="dxa" w:w="1440"/>
            <w:shd w:fill="003366"/>
          </w:tcPr>
          <w:p>
            <w:pPr>
              <w:jc w:val="center"/>
            </w:pPr>
            <w:r>
              <w:rPr>
                <w:b/>
                <w:color w:val="FFFFFF"/>
                <w:sz w:val="20"/>
              </w:rPr>
              <w:t>Approval Date</w:t>
            </w:r>
          </w:p>
        </w:tc>
        <w:tc>
          <w:tcPr>
            <w:tcW w:type="dxa" w:w="1152"/>
            <w:shd w:fill="003366"/>
          </w:tcPr>
          <w:p>
            <w:pPr>
              <w:jc w:val="center"/>
            </w:pPr>
            <w:r>
              <w:rPr>
                <w:b/>
                <w:color w:val="FFFFFF"/>
                <w:sz w:val="20"/>
              </w:rPr>
              <w:t>Status</w:t>
            </w:r>
          </w:p>
        </w:tc>
        <w:tc>
          <w:tcPr>
            <w:tcW w:type="dxa" w:w="2880"/>
            <w:shd w:fill="003366"/>
          </w:tcPr>
          <w:p>
            <w:pPr>
              <w:jc w:val="center"/>
            </w:pPr>
            <w:r>
              <w:rPr>
                <w:b/>
                <w:color w:val="FFFFFF"/>
                <w:sz w:val="20"/>
              </w:rPr>
              <w:t>Approved Indications</w:t>
            </w:r>
          </w:p>
        </w:tc>
      </w:tr>
      <w:tr>
        <w:tc>
          <w:tcPr>
            <w:tcW w:type="dxa" w:w="1728"/>
          </w:tcPr>
          <w:p>
            <w:pPr/>
            <w:r>
              <w:rPr>
                <w:sz w:val="20"/>
              </w:rPr>
              <w:t>FDA (United States)</w:t>
            </w:r>
          </w:p>
        </w:tc>
        <w:tc>
          <w:tcPr>
            <w:tcW w:type="dxa" w:w="1728"/>
          </w:tcPr>
          <w:p>
            <w:pPr/>
            <w:r>
              <w:rPr>
                <w:sz w:val="20"/>
              </w:rPr>
              <w:t>NDA 215-847</w:t>
            </w:r>
          </w:p>
        </w:tc>
        <w:tc>
          <w:tcPr>
            <w:tcW w:type="dxa" w:w="1440"/>
          </w:tcPr>
          <w:p>
            <w:pPr/>
            <w:r>
              <w:rPr>
                <w:sz w:val="20"/>
              </w:rPr>
              <w:t>October 14, 2025</w:t>
            </w:r>
          </w:p>
        </w:tc>
        <w:tc>
          <w:tcPr>
            <w:tcW w:type="dxa" w:w="1152"/>
          </w:tcPr>
          <w:p>
            <w:pPr/>
            <w:r>
              <w:rPr>
                <w:sz w:val="20"/>
              </w:rPr>
              <w:t>Approved</w:t>
            </w:r>
          </w:p>
        </w:tc>
        <w:tc>
          <w:tcPr>
            <w:tcW w:type="dxa" w:w="2880"/>
          </w:tcPr>
          <w:p>
            <w:pPr/>
            <w:r>
              <w:rPr>
                <w:sz w:val="20"/>
              </w:rPr>
              <w:t>Hypertension, HFrEF, Stable Angina</w:t>
            </w:r>
          </w:p>
        </w:tc>
      </w:tr>
      <w:tr>
        <w:tc>
          <w:tcPr>
            <w:tcW w:type="dxa" w:w="1728"/>
          </w:tcPr>
          <w:p>
            <w:pPr/>
            <w:r>
              <w:rPr>
                <w:sz w:val="20"/>
              </w:rPr>
              <w:t>EMA (European Union)</w:t>
            </w:r>
          </w:p>
        </w:tc>
        <w:tc>
          <w:tcPr>
            <w:tcW w:type="dxa" w:w="1728"/>
          </w:tcPr>
          <w:p>
            <w:pPr/>
            <w:r>
              <w:rPr>
                <w:sz w:val="20"/>
              </w:rPr>
              <w:t>EMEA/H/C/006284</w:t>
            </w:r>
          </w:p>
        </w:tc>
        <w:tc>
          <w:tcPr>
            <w:tcW w:type="dxa" w:w="1440"/>
          </w:tcPr>
          <w:p>
            <w:pPr/>
            <w:r>
              <w:rPr>
                <w:sz w:val="20"/>
              </w:rPr>
              <w:t>December 8, 2025</w:t>
            </w:r>
          </w:p>
        </w:tc>
        <w:tc>
          <w:tcPr>
            <w:tcW w:type="dxa" w:w="1152"/>
          </w:tcPr>
          <w:p>
            <w:pPr/>
            <w:r>
              <w:rPr>
                <w:sz w:val="20"/>
              </w:rPr>
              <w:t>Approved</w:t>
            </w:r>
          </w:p>
        </w:tc>
        <w:tc>
          <w:tcPr>
            <w:tcW w:type="dxa" w:w="2880"/>
          </w:tcPr>
          <w:p>
            <w:pPr/>
            <w:r>
              <w:rPr>
                <w:sz w:val="20"/>
              </w:rPr>
              <w:t>Hypertension, CHF, Angina Pectoris</w:t>
            </w:r>
          </w:p>
        </w:tc>
      </w:tr>
      <w:tr>
        <w:tc>
          <w:tcPr>
            <w:tcW w:type="dxa" w:w="1728"/>
          </w:tcPr>
          <w:p>
            <w:pPr/>
            <w:r>
              <w:rPr>
                <w:sz w:val="20"/>
              </w:rPr>
              <w:t>MHRA (United Kingdom)</w:t>
            </w:r>
          </w:p>
        </w:tc>
        <w:tc>
          <w:tcPr>
            <w:tcW w:type="dxa" w:w="1728"/>
          </w:tcPr>
          <w:p>
            <w:pPr/>
            <w:r>
              <w:rPr>
                <w:sz w:val="20"/>
              </w:rPr>
              <w:t>PL 54321/0012</w:t>
            </w:r>
          </w:p>
        </w:tc>
        <w:tc>
          <w:tcPr>
            <w:tcW w:type="dxa" w:w="1440"/>
          </w:tcPr>
          <w:p>
            <w:pPr/>
            <w:r>
              <w:rPr>
                <w:sz w:val="20"/>
              </w:rPr>
              <w:t>January 15, 2026</w:t>
            </w:r>
          </w:p>
        </w:tc>
        <w:tc>
          <w:tcPr>
            <w:tcW w:type="dxa" w:w="1152"/>
          </w:tcPr>
          <w:p>
            <w:pPr/>
            <w:r>
              <w:rPr>
                <w:sz w:val="20"/>
              </w:rPr>
              <w:t>Approved</w:t>
            </w:r>
          </w:p>
        </w:tc>
        <w:tc>
          <w:tcPr>
            <w:tcW w:type="dxa" w:w="2880"/>
          </w:tcPr>
          <w:p>
            <w:pPr/>
            <w:r>
              <w:rPr>
                <w:sz w:val="20"/>
              </w:rPr>
              <w:t>Hypertension, HFrEF, Stable Angina</w:t>
            </w:r>
          </w:p>
        </w:tc>
      </w:tr>
      <w:tr>
        <w:tc>
          <w:tcPr>
            <w:tcW w:type="dxa" w:w="1728"/>
          </w:tcPr>
          <w:p>
            <w:pPr/>
            <w:r>
              <w:rPr>
                <w:sz w:val="20"/>
              </w:rPr>
              <w:t>PMDA (Japan)</w:t>
            </w:r>
          </w:p>
        </w:tc>
        <w:tc>
          <w:tcPr>
            <w:tcW w:type="dxa" w:w="1728"/>
          </w:tcPr>
          <w:p>
            <w:pPr/>
            <w:r>
              <w:rPr>
                <w:sz w:val="20"/>
              </w:rPr>
              <w:t>CTD 2025-3456</w:t>
            </w:r>
          </w:p>
        </w:tc>
        <w:tc>
          <w:tcPr>
            <w:tcW w:type="dxa" w:w="1440"/>
          </w:tcPr>
          <w:p>
            <w:pPr/>
            <w:r>
              <w:rPr>
                <w:sz w:val="20"/>
              </w:rPr>
              <w:t>Under review</w:t>
            </w:r>
          </w:p>
        </w:tc>
        <w:tc>
          <w:tcPr>
            <w:tcW w:type="dxa" w:w="1152"/>
          </w:tcPr>
          <w:p>
            <w:pPr/>
            <w:r>
              <w:rPr>
                <w:sz w:val="20"/>
              </w:rPr>
              <w:t>Under review</w:t>
            </w:r>
          </w:p>
        </w:tc>
        <w:tc>
          <w:tcPr>
            <w:tcW w:type="dxa" w:w="2880"/>
          </w:tcPr>
          <w:p>
            <w:pPr/>
            <w:r>
              <w:rPr>
                <w:sz w:val="20"/>
              </w:rPr>
              <w:t>Hypertension, CHF</w:t>
            </w:r>
          </w:p>
        </w:tc>
      </w:tr>
      <w:tr>
        <w:tc>
          <w:tcPr>
            <w:tcW w:type="dxa" w:w="1728"/>
          </w:tcPr>
          <w:p>
            <w:pPr/>
            <w:r>
              <w:rPr>
                <w:sz w:val="20"/>
              </w:rPr>
              <w:t>TGA (Australia)</w:t>
            </w:r>
          </w:p>
        </w:tc>
        <w:tc>
          <w:tcPr>
            <w:tcW w:type="dxa" w:w="1728"/>
          </w:tcPr>
          <w:p>
            <w:pPr/>
            <w:r>
              <w:rPr>
                <w:sz w:val="20"/>
              </w:rPr>
              <w:t>AUST R 345678</w:t>
            </w:r>
          </w:p>
        </w:tc>
        <w:tc>
          <w:tcPr>
            <w:tcW w:type="dxa" w:w="1440"/>
          </w:tcPr>
          <w:p>
            <w:pPr/>
            <w:r>
              <w:rPr>
                <w:sz w:val="20"/>
              </w:rPr>
              <w:t>February 22, 2026</w:t>
            </w:r>
          </w:p>
        </w:tc>
        <w:tc>
          <w:tcPr>
            <w:tcW w:type="dxa" w:w="1152"/>
          </w:tcPr>
          <w:p>
            <w:pPr/>
            <w:r>
              <w:rPr>
                <w:sz w:val="20"/>
              </w:rPr>
              <w:t>Approved</w:t>
            </w:r>
          </w:p>
        </w:tc>
        <w:tc>
          <w:tcPr>
            <w:tcW w:type="dxa" w:w="2880"/>
          </w:tcPr>
          <w:p>
            <w:pPr/>
            <w:r>
              <w:rPr>
                <w:sz w:val="20"/>
              </w:rPr>
              <w:t>Hypertension, Heart Failure</w:t>
            </w:r>
          </w:p>
        </w:tc>
      </w:tr>
      <w:tr>
        <w:tc>
          <w:tcPr>
            <w:tcW w:type="dxa" w:w="1728"/>
          </w:tcPr>
          <w:p>
            <w:pPr/>
            <w:r>
              <w:rPr>
                <w:sz w:val="20"/>
              </w:rPr>
              <w:t>Health Canada</w:t>
            </w:r>
          </w:p>
        </w:tc>
        <w:tc>
          <w:tcPr>
            <w:tcW w:type="dxa" w:w="1728"/>
          </w:tcPr>
          <w:p>
            <w:pPr/>
            <w:r>
              <w:rPr>
                <w:sz w:val="20"/>
              </w:rPr>
              <w:t>DIN 02567890</w:t>
            </w:r>
          </w:p>
        </w:tc>
        <w:tc>
          <w:tcPr>
            <w:tcW w:type="dxa" w:w="1440"/>
          </w:tcPr>
          <w:p>
            <w:pPr/>
            <w:r>
              <w:rPr>
                <w:sz w:val="20"/>
              </w:rPr>
              <w:t>March 5, 2026</w:t>
            </w:r>
          </w:p>
        </w:tc>
        <w:tc>
          <w:tcPr>
            <w:tcW w:type="dxa" w:w="1152"/>
          </w:tcPr>
          <w:p>
            <w:pPr/>
            <w:r>
              <w:rPr>
                <w:sz w:val="20"/>
              </w:rPr>
              <w:t>Approved</w:t>
            </w:r>
          </w:p>
        </w:tc>
        <w:tc>
          <w:tcPr>
            <w:tcW w:type="dxa" w:w="2880"/>
          </w:tcPr>
          <w:p>
            <w:pPr/>
            <w:r>
              <w:rPr>
                <w:sz w:val="20"/>
              </w:rPr>
              <w:t>Hypertension, HFrEF, Stable Angina</w:t>
            </w:r>
          </w:p>
        </w:tc>
      </w:tr>
    </w:tbl>
    <w:p/>
    <w:p>
      <w:r>
        <w:br w:type="page"/>
      </w:r>
    </w:p>
    <w:p>
      <w:pPr>
        <w:pStyle w:val="Heading1"/>
      </w:pPr>
      <w:r>
        <w:t>23. Patient Counseling Information</w:t>
      </w:r>
    </w:p>
    <w:p>
      <w:r>
        <w:t>Healthcare providers should advise patients of the following:</w:t>
      </w:r>
    </w:p>
    <w:p>
      <w:pPr>
        <w:pStyle w:val="Heading3"/>
      </w:pPr>
      <w:r>
        <w:t>Do Not Discontinue Abruptly</w:t>
      </w:r>
    </w:p>
    <w:p>
      <w:r>
        <w:t>Patients should be warned against abrupt discontinuation of Cardivex®. If discontinuation is necessary, the physician will gradually reduce the dose over 1–2 weeks. Sudden discontinuation may lead to worsening chest pain or heart attack.</w:t>
      </w:r>
    </w:p>
    <w:p>
      <w:pPr>
        <w:pStyle w:val="Heading3"/>
      </w:pPr>
      <w:r>
        <w:t>Missed Doses</w:t>
      </w:r>
    </w:p>
    <w:p>
      <w:r>
        <w:t>If a dose is missed, it should be taken as soon as remembered, unless the next scheduled dose is within 8 hours. Patients should never take two doses at the same time.</w:t>
      </w:r>
    </w:p>
    <w:p>
      <w:pPr>
        <w:pStyle w:val="Heading3"/>
      </w:pPr>
      <w:r>
        <w:t>Driving and Operating Machinery</w:t>
      </w:r>
    </w:p>
    <w:p>
      <w:r>
        <w:t>Cardivex® may cause dizziness and fatigue. Patients should be advised to avoid driving or operating heavy machinery until they know how the medication affects them.</w:t>
      </w:r>
    </w:p>
    <w:p>
      <w:pPr>
        <w:pStyle w:val="Heading3"/>
      </w:pPr>
      <w:r>
        <w:t>Diabetes</w:t>
      </w:r>
    </w:p>
    <w:p>
      <w:r>
        <w:t>Diabetic patients should be informed that Cardivex® may mask symptoms of low blood sugar, particularly rapid heartbeat. Regular blood glucose monitoring is recommended.</w:t>
      </w:r>
    </w:p>
    <w:p>
      <w:pPr>
        <w:pStyle w:val="Heading3"/>
      </w:pPr>
      <w:r>
        <w:t>Surgery</w:t>
      </w:r>
    </w:p>
    <w:p>
      <w:r>
        <w:t>Patients should inform their surgeon or anesthesiologist that they are taking Cardivex® before any planned surgical procedure.</w:t>
      </w:r>
    </w:p>
    <w:p>
      <w:pPr>
        <w:pStyle w:val="Heading3"/>
      </w:pPr>
      <w:r>
        <w:t>Pregnancy and Breastfeeding</w:t>
      </w:r>
    </w:p>
    <w:p>
      <w:r>
        <w:t>Women of childbearing potential should be advised to use effective contraception. If pregnancy is planned or suspected, patients should consult their physician before continuing therapy.</w:t>
      </w:r>
    </w:p>
    <w:p>
      <w:pPr>
        <w:pStyle w:val="Heading3"/>
      </w:pPr>
      <w:r>
        <w:t>Alcohol</w:t>
      </w:r>
    </w:p>
    <w:p>
      <w:r>
        <w:t>Patients should limit alcohol consumption as it may enhance the blood pressure-lowering effect and increase the risk of dizziness.</w:t>
      </w:r>
    </w:p>
    <w:p>
      <w:pPr>
        <w:pStyle w:val="Heading3"/>
      </w:pPr>
      <w:r>
        <w:t>Heart Rate Monitoring</w:t>
      </w:r>
    </w:p>
    <w:p>
      <w:r>
        <w:t>Patients should be taught how to measure their pulse rate and instructed to contact their healthcare provider if resting heart rate falls below 50 beats per minute.</w:t>
      </w:r>
    </w:p>
    <w:p>
      <w:r>
        <w:br w:type="page"/>
      </w:r>
    </w:p>
    <w:p>
      <w:pPr>
        <w:pStyle w:val="Heading1"/>
      </w:pPr>
      <w:r>
        <w:t>24. References</w:t>
      </w:r>
    </w:p>
    <w:p>
      <w:pPr/>
      <w:r>
        <w:t>1. Anderson JL, et al. Metopravil succinate in heart failure with reduced ejection fraction: results of the CARDIAC-SHIELD trial. N Engl J Med. 2025;393(18):1684–1696.</w:t>
      </w:r>
    </w:p>
    <w:p>
      <w:pPr/>
      <w:r>
        <w:t>2. Chen W, Patel R, et al. Pharmacokinetics and pharmacodynamics of metopravil succinate extended-release tablets: a Phase I dose-escalation study. Clin Pharmacol Ther. 2024;116(4):892–904.</w:t>
      </w:r>
    </w:p>
    <w:p>
      <w:pPr/>
      <w:r>
        <w:t>3. Davidson MH, Torres F, et al. Dose-ranging efficacy and safety of metopravil in mild-to-moderate hypertension: the CARDINAL study. J Hypertens. 2025;43(2):312–324.</w:t>
      </w:r>
    </w:p>
    <w:p>
      <w:pPr/>
      <w:r>
        <w:t>4. European Medicines Agency. Cardivex (metopravil succinate) Summary of Product Characteristics. EMEA/H/C/006284. December 2025.</w:t>
      </w:r>
    </w:p>
    <w:p>
      <w:pPr/>
      <w:r>
        <w:t>5. FDA Center for Drug Evaluation and Research. Cardivex (metopravil succinate) NDA 215-847 Prescribing Information. October 2025.</w:t>
      </w:r>
    </w:p>
    <w:p>
      <w:pPr/>
      <w:r>
        <w:t>6. Goldstein RE, et al. Comparative hemodynamic effects of selective beta-1 antagonists: a systematic review and network meta-analysis. Eur Heart J. 2025;46(8):622–635.</w:t>
      </w:r>
    </w:p>
    <w:p>
      <w:pPr/>
      <w:r>
        <w:t>7. Harrison DG, Vinh A, et al. Beta-1 adrenergic receptor selectivity and clinical outcomes: translating receptor pharmacology to patient benefit. Pharmacol Rev. 2024;76(3):401–428.</w:t>
      </w:r>
    </w:p>
    <w:p>
      <w:pPr/>
      <w:r>
        <w:t>8. Ibrahim M, et al. Metopravil for stable angina pectoris: the ANGI-RESOLVE crossover trial. Am J Cardiol. 2025;186:42–51.</w:t>
      </w:r>
    </w:p>
    <w:p>
      <w:pPr/>
      <w:r>
        <w:t>9. Jackson EK, et al. CYP2D6 pharmacogenomics and beta-blocker therapy: implications for personalized dosing of metopravil. Clin Pharmacol Drug Dev. 2025;14(1):68–79.</w:t>
      </w:r>
    </w:p>
    <w:p>
      <w:pPr/>
      <w:r>
        <w:t>10. Kim JH, Weber MA, et al. Antihypertensive efficacy of metopravil versus amlodipine: the CARDIO-PRESS non-inferiority trial. Lancet. 2026;407(10324):456–468.</w:t>
      </w:r>
    </w:p>
    <w:p>
      <w:pPr/>
      <w:r>
        <w:t>11. Lee S, Nakamura Y, et al. Cardiac electrophysiology assessment of metopravil: a thorough QT/QTc study. Br J Clin Pharmacol. 2024;90(12):3024–3036.</w:t>
      </w:r>
    </w:p>
    <w:p>
      <w:pPr/>
      <w:r>
        <w:t>12. McMurray JJV, Packer M, et al. Evidence-based beta-blocker therapy in heart failure: 2025 position statement. Eur J Heart Fail. 2025;27(4):512–528.</w:t>
      </w:r>
    </w:p>
    <w:p>
      <w:pPr/>
      <w:r>
        <w:t>13. National Heart, Lung, and Blood Institute. JNC 9 Guidelines for Management of Hypertension in Adults. 2025.</w:t>
      </w:r>
    </w:p>
    <w:p>
      <w:pPr/>
      <w:r>
        <w:t>14. Opie LH, Gersh BJ. Drugs for the Heart. 10th ed. Philadelphia: Elsevier; 2025.</w:t>
      </w:r>
    </w:p>
    <w:p>
      <w:pPr/>
      <w:r>
        <w:t>15. Pharmacore Therapeutics, Inc. Cardivex® (metopravil succinate) Investigator's Brochure, Version 8.0. March 2025.</w:t>
      </w:r>
    </w:p>
    <w:p>
      <w:pPr/>
      <w:r>
        <w:t>16. Rodriguez B, et al. Long-term safety of metopravil succinate in chronic heart failure: CARDIAC-SHIELD open-label extension. Circulation. 2026;153(8):e42–e55.</w:t>
      </w:r>
    </w:p>
    <w:p>
      <w:pPr/>
      <w:r>
        <w:t>17. Smith GD, et al. Impact of beta-1 selectivity on bronchospasm risk in patients with reactive airway disease: a pooled analysis. Chest. 2025;168(5):1342–1351.</w:t>
      </w:r>
    </w:p>
    <w:p>
      <w:pPr/>
      <w:r>
        <w:t>18. Thompson PL, et al. Perioperative beta-blocker management: updated guidelines from the ACC/AHA Task Force. J Am Coll Cardiol. 2025;86(14):1588–1602.</w:t>
      </w:r>
    </w:p>
    <w:p>
      <w:pPr/>
      <w:r>
        <w:t>19. US Department of Health and Human Services. Common Terminology Criteria for Adverse Events (CTCAE) Version 6.0. November 2024.</w:t>
      </w:r>
    </w:p>
    <w:p>
      <w:pPr/>
      <w:r>
        <w:t>20. World Health Organization. Model List of Essential Medicines, 24th Edition. 2025.</w:t>
      </w:r>
    </w:p>
    <w:p>
      <w:r>
        <w:br w:type="page"/>
      </w:r>
    </w:p>
    <w:p>
      <w:pPr>
        <w:pStyle w:val="Heading1"/>
      </w:pPr>
      <w:r>
        <w:t>Document Revision History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152"/>
            <w:shd w:fill="003366"/>
          </w:tcPr>
          <w:p>
            <w:pPr>
              <w:jc w:val="center"/>
            </w:pPr>
            <w:r>
              <w:rPr>
                <w:b/>
                <w:color w:val="FFFFFF"/>
                <w:sz w:val="20"/>
              </w:rPr>
              <w:t>Version</w:t>
            </w:r>
          </w:p>
        </w:tc>
        <w:tc>
          <w:tcPr>
            <w:tcW w:type="dxa" w:w="1728"/>
            <w:shd w:fill="003366"/>
          </w:tcPr>
          <w:p>
            <w:pPr>
              <w:jc w:val="center"/>
            </w:pPr>
            <w:r>
              <w:rPr>
                <w:b/>
                <w:color w:val="FFFFFF"/>
                <w:sz w:val="20"/>
              </w:rPr>
              <w:t>Date</w:t>
            </w:r>
          </w:p>
        </w:tc>
        <w:tc>
          <w:tcPr>
            <w:tcW w:type="dxa" w:w="2160"/>
            <w:shd w:fill="003366"/>
          </w:tcPr>
          <w:p>
            <w:pPr>
              <w:jc w:val="center"/>
            </w:pPr>
            <w:r>
              <w:rPr>
                <w:b/>
                <w:color w:val="FFFFFF"/>
                <w:sz w:val="20"/>
              </w:rPr>
              <w:t>Author</w:t>
            </w:r>
          </w:p>
        </w:tc>
        <w:tc>
          <w:tcPr>
            <w:tcW w:type="dxa" w:w="4320"/>
            <w:shd w:fill="003366"/>
          </w:tcPr>
          <w:p>
            <w:pPr>
              <w:jc w:val="center"/>
            </w:pPr>
            <w:r>
              <w:rPr>
                <w:b/>
                <w:color w:val="FFFFFF"/>
                <w:sz w:val="20"/>
              </w:rPr>
              <w:t>Description of Changes</w:t>
            </w:r>
          </w:p>
        </w:tc>
      </w:tr>
      <w:tr>
        <w:tc>
          <w:tcPr>
            <w:tcW w:type="dxa" w:w="1152"/>
          </w:tcPr>
          <w:p>
            <w:pPr/>
            <w:r>
              <w:rPr>
                <w:sz w:val="20"/>
              </w:rPr>
              <w:t>1.0</w:t>
            </w:r>
          </w:p>
        </w:tc>
        <w:tc>
          <w:tcPr>
            <w:tcW w:type="dxa" w:w="1728"/>
          </w:tcPr>
          <w:p>
            <w:pPr/>
            <w:r>
              <w:rPr>
                <w:sz w:val="20"/>
              </w:rPr>
              <w:t>January 2024</w:t>
            </w:r>
          </w:p>
        </w:tc>
        <w:tc>
          <w:tcPr>
            <w:tcW w:type="dxa" w:w="2160"/>
          </w:tcPr>
          <w:p>
            <w:pPr/>
            <w:r>
              <w:rPr>
                <w:sz w:val="20"/>
              </w:rPr>
              <w:t>Dr. Sarah Mitchell</w:t>
            </w:r>
          </w:p>
        </w:tc>
        <w:tc>
          <w:tcPr>
            <w:tcW w:type="dxa" w:w="4320"/>
          </w:tcPr>
          <w:p>
            <w:pPr/>
            <w:r>
              <w:rPr>
                <w:sz w:val="20"/>
              </w:rPr>
              <w:t>Initial draft of prescribing information</w:t>
            </w:r>
          </w:p>
        </w:tc>
      </w:tr>
      <w:tr>
        <w:tc>
          <w:tcPr>
            <w:tcW w:type="dxa" w:w="1152"/>
          </w:tcPr>
          <w:p>
            <w:pPr/>
            <w:r>
              <w:rPr>
                <w:sz w:val="20"/>
              </w:rPr>
              <w:t>2.0</w:t>
            </w:r>
          </w:p>
        </w:tc>
        <w:tc>
          <w:tcPr>
            <w:tcW w:type="dxa" w:w="1728"/>
          </w:tcPr>
          <w:p>
            <w:pPr/>
            <w:r>
              <w:rPr>
                <w:sz w:val="20"/>
              </w:rPr>
              <w:t>June 2024</w:t>
            </w:r>
          </w:p>
        </w:tc>
        <w:tc>
          <w:tcPr>
            <w:tcW w:type="dxa" w:w="2160"/>
          </w:tcPr>
          <w:p>
            <w:pPr/>
            <w:r>
              <w:rPr>
                <w:sz w:val="20"/>
              </w:rPr>
              <w:t>Dr. James Thompson</w:t>
            </w:r>
          </w:p>
        </w:tc>
        <w:tc>
          <w:tcPr>
            <w:tcW w:type="dxa" w:w="4320"/>
          </w:tcPr>
          <w:p>
            <w:pPr/>
            <w:r>
              <w:rPr>
                <w:sz w:val="20"/>
              </w:rPr>
              <w:t>Incorporated Phase II clinical trial data</w:t>
            </w:r>
          </w:p>
        </w:tc>
      </w:tr>
      <w:tr>
        <w:tc>
          <w:tcPr>
            <w:tcW w:type="dxa" w:w="1152"/>
          </w:tcPr>
          <w:p>
            <w:pPr/>
            <w:r>
              <w:rPr>
                <w:sz w:val="20"/>
              </w:rPr>
              <w:t>3.0</w:t>
            </w:r>
          </w:p>
        </w:tc>
        <w:tc>
          <w:tcPr>
            <w:tcW w:type="dxa" w:w="1728"/>
          </w:tcPr>
          <w:p>
            <w:pPr/>
            <w:r>
              <w:rPr>
                <w:sz w:val="20"/>
              </w:rPr>
              <w:t>December 2024</w:t>
            </w:r>
          </w:p>
        </w:tc>
        <w:tc>
          <w:tcPr>
            <w:tcW w:type="dxa" w:w="2160"/>
          </w:tcPr>
          <w:p>
            <w:pPr/>
            <w:r>
              <w:rPr>
                <w:sz w:val="20"/>
              </w:rPr>
              <w:t>Dr. Elena Rodriguez</w:t>
            </w:r>
          </w:p>
        </w:tc>
        <w:tc>
          <w:tcPr>
            <w:tcW w:type="dxa" w:w="4320"/>
          </w:tcPr>
          <w:p>
            <w:pPr/>
            <w:r>
              <w:rPr>
                <w:sz w:val="20"/>
              </w:rPr>
              <w:t>Updated with Phase III CARDIAC-SHIELD results</w:t>
            </w:r>
          </w:p>
        </w:tc>
      </w:tr>
      <w:tr>
        <w:tc>
          <w:tcPr>
            <w:tcW w:type="dxa" w:w="1152"/>
          </w:tcPr>
          <w:p>
            <w:pPr/>
            <w:r>
              <w:rPr>
                <w:sz w:val="20"/>
              </w:rPr>
              <w:t>3.1</w:t>
            </w:r>
          </w:p>
        </w:tc>
        <w:tc>
          <w:tcPr>
            <w:tcW w:type="dxa" w:w="1728"/>
          </w:tcPr>
          <w:p>
            <w:pPr/>
            <w:r>
              <w:rPr>
                <w:sz w:val="20"/>
              </w:rPr>
              <w:t>March 2025</w:t>
            </w:r>
          </w:p>
        </w:tc>
        <w:tc>
          <w:tcPr>
            <w:tcW w:type="dxa" w:w="2160"/>
          </w:tcPr>
          <w:p>
            <w:pPr/>
            <w:r>
              <w:rPr>
                <w:sz w:val="20"/>
              </w:rPr>
              <w:t>Dr. Sarah Mitchell</w:t>
            </w:r>
          </w:p>
        </w:tc>
        <w:tc>
          <w:tcPr>
            <w:tcW w:type="dxa" w:w="4320"/>
          </w:tcPr>
          <w:p>
            <w:pPr/>
            <w:r>
              <w:rPr>
                <w:sz w:val="20"/>
              </w:rPr>
              <w:t>Revised pharmacokinetic tables per FDA request</w:t>
            </w:r>
          </w:p>
        </w:tc>
      </w:tr>
      <w:tr>
        <w:tc>
          <w:tcPr>
            <w:tcW w:type="dxa" w:w="1152"/>
          </w:tcPr>
          <w:p>
            <w:pPr/>
            <w:r>
              <w:rPr>
                <w:sz w:val="20"/>
              </w:rPr>
              <w:t>4.0</w:t>
            </w:r>
          </w:p>
        </w:tc>
        <w:tc>
          <w:tcPr>
            <w:tcW w:type="dxa" w:w="1728"/>
          </w:tcPr>
          <w:p>
            <w:pPr/>
            <w:r>
              <w:rPr>
                <w:sz w:val="20"/>
              </w:rPr>
              <w:t>October 2025</w:t>
            </w:r>
          </w:p>
        </w:tc>
        <w:tc>
          <w:tcPr>
            <w:tcW w:type="dxa" w:w="2160"/>
          </w:tcPr>
          <w:p>
            <w:pPr/>
            <w:r>
              <w:rPr>
                <w:sz w:val="20"/>
              </w:rPr>
              <w:t>Dr. James Thompson</w:t>
            </w:r>
          </w:p>
        </w:tc>
        <w:tc>
          <w:tcPr>
            <w:tcW w:type="dxa" w:w="4320"/>
          </w:tcPr>
          <w:p>
            <w:pPr/>
            <w:r>
              <w:rPr>
                <w:sz w:val="20"/>
              </w:rPr>
              <w:t>FDA-approved final prescribing information</w:t>
            </w:r>
          </w:p>
        </w:tc>
      </w:tr>
      <w:tr>
        <w:tc>
          <w:tcPr>
            <w:tcW w:type="dxa" w:w="1152"/>
          </w:tcPr>
          <w:p>
            <w:pPr/>
            <w:r>
              <w:rPr>
                <w:sz w:val="20"/>
              </w:rPr>
              <w:t>4.1</w:t>
            </w:r>
          </w:p>
        </w:tc>
        <w:tc>
          <w:tcPr>
            <w:tcW w:type="dxa" w:w="1728"/>
          </w:tcPr>
          <w:p>
            <w:pPr/>
            <w:r>
              <w:rPr>
                <w:sz w:val="20"/>
              </w:rPr>
              <w:t>January 2026</w:t>
            </w:r>
          </w:p>
        </w:tc>
        <w:tc>
          <w:tcPr>
            <w:tcW w:type="dxa" w:w="2160"/>
          </w:tcPr>
          <w:p>
            <w:pPr/>
            <w:r>
              <w:rPr>
                <w:sz w:val="20"/>
              </w:rPr>
              <w:t>Dr. Elena Rodriguez</w:t>
            </w:r>
          </w:p>
        </w:tc>
        <w:tc>
          <w:tcPr>
            <w:tcW w:type="dxa" w:w="4320"/>
          </w:tcPr>
          <w:p>
            <w:pPr/>
            <w:r>
              <w:rPr>
                <w:sz w:val="20"/>
              </w:rPr>
              <w:t>Added EMA and MHRA approval details</w:t>
            </w:r>
          </w:p>
        </w:tc>
      </w:tr>
      <w:tr>
        <w:tc>
          <w:tcPr>
            <w:tcW w:type="dxa" w:w="1152"/>
          </w:tcPr>
          <w:p>
            <w:pPr/>
            <w:r>
              <w:rPr>
                <w:sz w:val="20"/>
              </w:rPr>
              <w:t>4.2</w:t>
            </w:r>
          </w:p>
        </w:tc>
        <w:tc>
          <w:tcPr>
            <w:tcW w:type="dxa" w:w="1728"/>
          </w:tcPr>
          <w:p>
            <w:pPr/>
            <w:r>
              <w:rPr>
                <w:sz w:val="20"/>
              </w:rPr>
              <w:t>March 2026</w:t>
            </w:r>
          </w:p>
        </w:tc>
        <w:tc>
          <w:tcPr>
            <w:tcW w:type="dxa" w:w="2160"/>
          </w:tcPr>
          <w:p>
            <w:pPr/>
            <w:r>
              <w:rPr>
                <w:sz w:val="20"/>
              </w:rPr>
              <w:t>Dr. Sarah Mitchell</w:t>
            </w:r>
          </w:p>
        </w:tc>
        <w:tc>
          <w:tcPr>
            <w:tcW w:type="dxa" w:w="4320"/>
          </w:tcPr>
          <w:p>
            <w:pPr/>
            <w:r>
              <w:rPr>
                <w:sz w:val="20"/>
              </w:rPr>
              <w:t>Updated safety database and regulatory table</w:t>
            </w:r>
          </w:p>
        </w:tc>
      </w:tr>
    </w:tbl>
    <w:p/>
    <w:p/>
    <w:p>
      <w:pPr>
        <w:jc w:val="center"/>
      </w:pPr>
      <w:r>
        <w:rPr>
          <w:b/>
          <w:color w:val="003366"/>
          <w:sz w:val="28"/>
        </w:rPr>
        <w:t>— END OF DOCUMENT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Pharmacore Therapeutics, Inc.  |  Cardivex® Comprehensive Prescribing Information v4.2  |  March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808080"/>
        <w:sz w:val="16"/>
      </w:rPr>
      <w:t>CARDIVEX® (Metopravil Succinate) — Prescribing Information  |  NDA 215-847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