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3366"/>
          <w:sz w:val="72"/>
        </w:rPr>
        <w:t>CARDIVEX®</w:t>
      </w:r>
    </w:p>
    <w:p>
      <w:pPr>
        <w:jc w:val="center"/>
      </w:pPr>
      <w:r>
        <w:rPr>
          <w:color w:val="505050"/>
          <w:sz w:val="36"/>
        </w:rPr>
        <w:t>(Metopravil Succinate)</w:t>
        <w:br/>
        <w:t>Extended-Release Tablets — 50 mg / 100 mg / 200 mg</w:t>
      </w:r>
    </w:p>
    <w:p/>
    <w:p>
      <w:pPr>
        <w:jc w:val="center"/>
      </w:pPr>
      <w:r>
        <w:rPr>
          <w:color w:val="006699"/>
        </w:rPr>
        <w:t>─────────────────────────────────────────────────────────────────</w:t>
      </w:r>
    </w:p>
    <w:p/>
    <w:p>
      <w:pPr>
        <w:jc w:val="center"/>
      </w:pPr>
      <w:r>
        <w:rPr>
          <w:sz w:val="24"/>
        </w:rPr>
        <w:t>COMPREHENSIVE DRUG PRODUCT MONOGRAPH</w:t>
      </w:r>
    </w:p>
    <w:p>
      <w:pPr>
        <w:jc w:val="center"/>
      </w:pPr>
      <w:r>
        <w:rPr>
          <w:sz w:val="24"/>
        </w:rPr>
      </w:r>
    </w:p>
    <w:p>
      <w:pPr>
        <w:jc w:val="center"/>
      </w:pPr>
      <w:r>
        <w:rPr>
          <w:sz w:val="24"/>
        </w:rPr>
        <w:t>Document ID: DPM-CV-2026-001</w:t>
      </w:r>
    </w:p>
    <w:p>
      <w:pPr>
        <w:jc w:val="center"/>
      </w:pPr>
      <w:r>
        <w:rPr>
          <w:sz w:val="24"/>
        </w:rPr>
        <w:t>Version: 5.0  |  Effective Date: April 2026</w:t>
      </w:r>
    </w:p>
    <w:p>
      <w:pPr>
        <w:jc w:val="center"/>
      </w:pPr>
      <w:r>
        <w:rPr>
          <w:sz w:val="24"/>
        </w:rPr>
        <w:t>NDA Number: 215-847</w:t>
      </w:r>
    </w:p>
    <w:p>
      <w:pPr>
        <w:jc w:val="center"/>
      </w:pPr>
      <w:r>
        <w:rPr>
          <w:sz w:val="24"/>
        </w:rPr>
      </w:r>
    </w:p>
    <w:p>
      <w:pPr>
        <w:jc w:val="center"/>
      </w:pPr>
      <w:r>
        <w:rPr>
          <w:sz w:val="24"/>
        </w:rPr>
        <w:t>Companion Document:</w:t>
      </w:r>
    </w:p>
    <w:p>
      <w:pPr>
        <w:jc w:val="center"/>
      </w:pPr>
      <w:r>
        <w:rPr>
          <w:b/>
          <w:color w:val="006699"/>
          <w:sz w:val="24"/>
        </w:rPr>
        <w:t>Clinical Development Report — CDR-CV-2026-001</w:t>
      </w:r>
    </w:p>
    <w:p>
      <w:pPr>
        <w:jc w:val="center"/>
      </w:pPr>
      <w:r>
        <w:rPr>
          <w:sz w:val="24"/>
        </w:rPr>
      </w:r>
    </w:p>
    <w:p>
      <w:pPr>
        <w:jc w:val="center"/>
      </w:pPr>
      <w:r>
        <w:rPr>
          <w:sz w:val="24"/>
        </w:rPr>
        <w:t>Pharmacore Therapeutics, Inc.</w:t>
      </w:r>
    </w:p>
    <w:p>
      <w:pPr>
        <w:jc w:val="center"/>
      </w:pPr>
      <w:r>
        <w:rPr>
          <w:sz w:val="24"/>
        </w:rPr>
        <w:t>Medical Affairs &amp; Regulatory Division</w:t>
      </w:r>
    </w:p>
    <w:p>
      <w:pPr>
        <w:jc w:val="center"/>
      </w:pPr>
      <w:r>
        <w:rPr>
          <w:sz w:val="24"/>
        </w:rPr>
        <w:t>500 Research Boulevard, Cambridge, MA 02142, USA</w:t>
      </w:r>
    </w:p>
    <w:p>
      <w:pPr>
        <w:jc w:val="center"/>
      </w:pPr>
      <w:r>
        <w:rPr>
          <w:sz w:val="24"/>
        </w:rPr>
      </w:r>
    </w:p>
    <w:p>
      <w:pPr>
        <w:jc w:val="center"/>
      </w:pPr>
      <w:r>
        <w:rPr>
          <w:b/>
          <w:color w:val="B40000"/>
          <w:sz w:val="24"/>
        </w:rPr>
        <w:t>CONFIDENTIAL — FOR REGULATORY AND HEALTHCARE PROFESSIONAL USE ONLY</w:t>
      </w:r>
    </w:p>
    <w:p>
      <w:r>
        <w:br w:type="page"/>
      </w:r>
    </w:p>
    <w:p>
      <w:pPr>
        <w:pStyle w:val="Heading1"/>
      </w:pPr>
      <w:r>
        <w:t>TABLE OF CONTENTS</w:t>
      </w:r>
    </w:p>
    <w:p/>
    <w:tbl>
      <w:tblPr>
        <w:tblW w:type="auto" w:w="0"/>
        <w:jc w:val="center"/>
        <w:tblLook w:firstColumn="1" w:firstRow="1" w:lastColumn="0" w:lastRow="0" w:noHBand="0" w:noVBand="1" w:val="04A0"/>
      </w:tblPr>
      <w:tblGrid>
        <w:gridCol w:w="4680"/>
        <w:gridCol w:w="4680"/>
      </w:tblGrid>
      <w:tr>
        <w:tc>
          <w:tcPr>
            <w:tcW w:type="dxa" w:w="720"/>
          </w:tcPr>
          <w:p>
            <w:r>
              <w:rPr>
                <w:sz w:val="22"/>
              </w:rPr>
              <w:t>1.</w:t>
            </w:r>
          </w:p>
        </w:tc>
        <w:tc>
          <w:tcPr>
            <w:tcW w:type="dxa" w:w="7920"/>
          </w:tcPr>
          <w:p>
            <w:r>
              <w:rPr>
                <w:sz w:val="22"/>
              </w:rPr>
              <w:t>Executive Summary and Therapeutic Rationale</w:t>
            </w:r>
          </w:p>
        </w:tc>
      </w:tr>
      <w:tr>
        <w:tc>
          <w:tcPr>
            <w:tcW w:type="dxa" w:w="720"/>
          </w:tcPr>
          <w:p>
            <w:r>
              <w:rPr>
                <w:sz w:val="22"/>
              </w:rPr>
              <w:t>2.</w:t>
            </w:r>
          </w:p>
        </w:tc>
        <w:tc>
          <w:tcPr>
            <w:tcW w:type="dxa" w:w="7920"/>
          </w:tcPr>
          <w:p>
            <w:r>
              <w:rPr>
                <w:sz w:val="22"/>
              </w:rPr>
              <w:t>Drug Identification Card</w:t>
            </w:r>
          </w:p>
        </w:tc>
      </w:tr>
      <w:tr>
        <w:tc>
          <w:tcPr>
            <w:tcW w:type="dxa" w:w="720"/>
          </w:tcPr>
          <w:p>
            <w:r>
              <w:rPr>
                <w:sz w:val="22"/>
              </w:rPr>
              <w:t>3.</w:t>
            </w:r>
          </w:p>
        </w:tc>
        <w:tc>
          <w:tcPr>
            <w:tcW w:type="dxa" w:w="7920"/>
          </w:tcPr>
          <w:p>
            <w:r>
              <w:rPr>
                <w:sz w:val="22"/>
              </w:rPr>
              <w:t>Qualitative and Quantitative Composition</w:t>
            </w:r>
          </w:p>
        </w:tc>
      </w:tr>
      <w:tr>
        <w:tc>
          <w:tcPr>
            <w:tcW w:type="dxa" w:w="720"/>
          </w:tcPr>
          <w:p>
            <w:r>
              <w:rPr>
                <w:sz w:val="22"/>
              </w:rPr>
              <w:t>4.</w:t>
            </w:r>
          </w:p>
        </w:tc>
        <w:tc>
          <w:tcPr>
            <w:tcW w:type="dxa" w:w="7920"/>
          </w:tcPr>
          <w:p>
            <w:r>
              <w:rPr>
                <w:sz w:val="22"/>
              </w:rPr>
              <w:t>Pharmaceutical Form and Formulation Technology</w:t>
            </w:r>
          </w:p>
        </w:tc>
      </w:tr>
      <w:tr>
        <w:tc>
          <w:tcPr>
            <w:tcW w:type="dxa" w:w="720"/>
          </w:tcPr>
          <w:p>
            <w:r>
              <w:rPr>
                <w:sz w:val="22"/>
              </w:rPr>
              <w:t>5.</w:t>
            </w:r>
          </w:p>
        </w:tc>
        <w:tc>
          <w:tcPr>
            <w:tcW w:type="dxa" w:w="7920"/>
          </w:tcPr>
          <w:p>
            <w:r>
              <w:rPr>
                <w:sz w:val="22"/>
              </w:rPr>
              <w:t>Physicochemical and Stability Data</w:t>
            </w:r>
          </w:p>
        </w:tc>
      </w:tr>
      <w:tr>
        <w:tc>
          <w:tcPr>
            <w:tcW w:type="dxa" w:w="720"/>
          </w:tcPr>
          <w:p>
            <w:r>
              <w:rPr>
                <w:sz w:val="22"/>
              </w:rPr>
              <w:t>6.</w:t>
            </w:r>
          </w:p>
        </w:tc>
        <w:tc>
          <w:tcPr>
            <w:tcW w:type="dxa" w:w="7920"/>
          </w:tcPr>
          <w:p>
            <w:r>
              <w:rPr>
                <w:sz w:val="22"/>
              </w:rPr>
              <w:t>Mechanism of Action and Receptor Pharmacology</w:t>
            </w:r>
          </w:p>
        </w:tc>
      </w:tr>
      <w:tr>
        <w:tc>
          <w:tcPr>
            <w:tcW w:type="dxa" w:w="720"/>
          </w:tcPr>
          <w:p>
            <w:r>
              <w:rPr>
                <w:sz w:val="22"/>
              </w:rPr>
              <w:t>7.</w:t>
            </w:r>
          </w:p>
        </w:tc>
        <w:tc>
          <w:tcPr>
            <w:tcW w:type="dxa" w:w="7920"/>
          </w:tcPr>
          <w:p>
            <w:r>
              <w:rPr>
                <w:sz w:val="22"/>
              </w:rPr>
              <w:t>Pharmacodynamics</w:t>
            </w:r>
          </w:p>
        </w:tc>
      </w:tr>
      <w:tr>
        <w:tc>
          <w:tcPr>
            <w:tcW w:type="dxa" w:w="720"/>
          </w:tcPr>
          <w:p>
            <w:r>
              <w:rPr>
                <w:sz w:val="22"/>
              </w:rPr>
              <w:t>8.</w:t>
            </w:r>
          </w:p>
        </w:tc>
        <w:tc>
          <w:tcPr>
            <w:tcW w:type="dxa" w:w="7920"/>
          </w:tcPr>
          <w:p>
            <w:r>
              <w:rPr>
                <w:sz w:val="22"/>
              </w:rPr>
              <w:t>Pharmacokinetics (ADME)</w:t>
            </w:r>
          </w:p>
        </w:tc>
      </w:tr>
      <w:tr>
        <w:tc>
          <w:tcPr>
            <w:tcW w:type="dxa" w:w="720"/>
          </w:tcPr>
          <w:p>
            <w:r>
              <w:rPr>
                <w:sz w:val="22"/>
              </w:rPr>
              <w:t>9.</w:t>
            </w:r>
          </w:p>
        </w:tc>
        <w:tc>
          <w:tcPr>
            <w:tcW w:type="dxa" w:w="7920"/>
          </w:tcPr>
          <w:p>
            <w:r>
              <w:rPr>
                <w:sz w:val="22"/>
              </w:rPr>
              <w:t>Pharmacokinetics in Special Populations</w:t>
            </w:r>
          </w:p>
        </w:tc>
      </w:tr>
      <w:tr>
        <w:tc>
          <w:tcPr>
            <w:tcW w:type="dxa" w:w="720"/>
          </w:tcPr>
          <w:p>
            <w:r>
              <w:rPr>
                <w:sz w:val="22"/>
              </w:rPr>
              <w:t>10.</w:t>
            </w:r>
          </w:p>
        </w:tc>
        <w:tc>
          <w:tcPr>
            <w:tcW w:type="dxa" w:w="7920"/>
          </w:tcPr>
          <w:p>
            <w:r>
              <w:rPr>
                <w:sz w:val="22"/>
              </w:rPr>
              <w:t>Approved Indications and Usage</w:t>
            </w:r>
          </w:p>
        </w:tc>
      </w:tr>
      <w:tr>
        <w:tc>
          <w:tcPr>
            <w:tcW w:type="dxa" w:w="720"/>
          </w:tcPr>
          <w:p>
            <w:r>
              <w:rPr>
                <w:sz w:val="22"/>
              </w:rPr>
              <w:t>11.</w:t>
            </w:r>
          </w:p>
        </w:tc>
        <w:tc>
          <w:tcPr>
            <w:tcW w:type="dxa" w:w="7920"/>
          </w:tcPr>
          <w:p>
            <w:r>
              <w:rPr>
                <w:sz w:val="22"/>
              </w:rPr>
              <w:t>Dosage and Administration Guidelines</w:t>
            </w:r>
          </w:p>
        </w:tc>
      </w:tr>
      <w:tr>
        <w:tc>
          <w:tcPr>
            <w:tcW w:type="dxa" w:w="720"/>
          </w:tcPr>
          <w:p>
            <w:r>
              <w:rPr>
                <w:sz w:val="22"/>
              </w:rPr>
              <w:t>12.</w:t>
            </w:r>
          </w:p>
        </w:tc>
        <w:tc>
          <w:tcPr>
            <w:tcW w:type="dxa" w:w="7920"/>
          </w:tcPr>
          <w:p>
            <w:r>
              <w:rPr>
                <w:sz w:val="22"/>
              </w:rPr>
              <w:t>Summary of Clinical Efficacy</w:t>
            </w:r>
          </w:p>
        </w:tc>
      </w:tr>
      <w:tr>
        <w:tc>
          <w:tcPr>
            <w:tcW w:type="dxa" w:w="720"/>
          </w:tcPr>
          <w:p>
            <w:r>
              <w:rPr>
                <w:sz w:val="22"/>
              </w:rPr>
              <w:t>13.</w:t>
            </w:r>
          </w:p>
        </w:tc>
        <w:tc>
          <w:tcPr>
            <w:tcW w:type="dxa" w:w="7920"/>
          </w:tcPr>
          <w:p>
            <w:r>
              <w:rPr>
                <w:sz w:val="22"/>
              </w:rPr>
              <w:t>Integrated Safety Profile</w:t>
            </w:r>
          </w:p>
        </w:tc>
      </w:tr>
      <w:tr>
        <w:tc>
          <w:tcPr>
            <w:tcW w:type="dxa" w:w="720"/>
          </w:tcPr>
          <w:p>
            <w:r>
              <w:rPr>
                <w:sz w:val="22"/>
              </w:rPr>
              <w:t>14.</w:t>
            </w:r>
          </w:p>
        </w:tc>
        <w:tc>
          <w:tcPr>
            <w:tcW w:type="dxa" w:w="7920"/>
          </w:tcPr>
          <w:p>
            <w:r>
              <w:rPr>
                <w:sz w:val="22"/>
              </w:rPr>
              <w:t>Drug Interactions</w:t>
            </w:r>
          </w:p>
        </w:tc>
      </w:tr>
      <w:tr>
        <w:tc>
          <w:tcPr>
            <w:tcW w:type="dxa" w:w="720"/>
          </w:tcPr>
          <w:p>
            <w:r>
              <w:rPr>
                <w:sz w:val="22"/>
              </w:rPr>
              <w:t>15.</w:t>
            </w:r>
          </w:p>
        </w:tc>
        <w:tc>
          <w:tcPr>
            <w:tcW w:type="dxa" w:w="7920"/>
          </w:tcPr>
          <w:p>
            <w:r>
              <w:rPr>
                <w:sz w:val="22"/>
              </w:rPr>
              <w:t>Contraindications</w:t>
            </w:r>
          </w:p>
        </w:tc>
      </w:tr>
      <w:tr>
        <w:tc>
          <w:tcPr>
            <w:tcW w:type="dxa" w:w="720"/>
          </w:tcPr>
          <w:p>
            <w:r>
              <w:rPr>
                <w:sz w:val="22"/>
              </w:rPr>
              <w:t>16.</w:t>
            </w:r>
          </w:p>
        </w:tc>
        <w:tc>
          <w:tcPr>
            <w:tcW w:type="dxa" w:w="7920"/>
          </w:tcPr>
          <w:p>
            <w:r>
              <w:rPr>
                <w:sz w:val="22"/>
              </w:rPr>
              <w:t>Warnings and Precautions</w:t>
            </w:r>
          </w:p>
        </w:tc>
      </w:tr>
      <w:tr>
        <w:tc>
          <w:tcPr>
            <w:tcW w:type="dxa" w:w="720"/>
          </w:tcPr>
          <w:p>
            <w:r>
              <w:rPr>
                <w:sz w:val="22"/>
              </w:rPr>
              <w:t>17.</w:t>
            </w:r>
          </w:p>
        </w:tc>
        <w:tc>
          <w:tcPr>
            <w:tcW w:type="dxa" w:w="7920"/>
          </w:tcPr>
          <w:p>
            <w:r>
              <w:rPr>
                <w:sz w:val="22"/>
              </w:rPr>
              <w:t>Use in Special Populations</w:t>
            </w:r>
          </w:p>
        </w:tc>
      </w:tr>
      <w:tr>
        <w:tc>
          <w:tcPr>
            <w:tcW w:type="dxa" w:w="720"/>
          </w:tcPr>
          <w:p>
            <w:r>
              <w:rPr>
                <w:sz w:val="22"/>
              </w:rPr>
              <w:t>18.</w:t>
            </w:r>
          </w:p>
        </w:tc>
        <w:tc>
          <w:tcPr>
            <w:tcW w:type="dxa" w:w="7920"/>
          </w:tcPr>
          <w:p>
            <w:r>
              <w:rPr>
                <w:sz w:val="22"/>
              </w:rPr>
              <w:t>Overdosage Management</w:t>
            </w:r>
          </w:p>
        </w:tc>
      </w:tr>
      <w:tr>
        <w:tc>
          <w:tcPr>
            <w:tcW w:type="dxa" w:w="720"/>
          </w:tcPr>
          <w:p>
            <w:r>
              <w:rPr>
                <w:sz w:val="22"/>
              </w:rPr>
              <w:t>19.</w:t>
            </w:r>
          </w:p>
        </w:tc>
        <w:tc>
          <w:tcPr>
            <w:tcW w:type="dxa" w:w="7920"/>
          </w:tcPr>
          <w:p>
            <w:r>
              <w:rPr>
                <w:sz w:val="22"/>
              </w:rPr>
              <w:t>Nonclinical Toxicology</w:t>
            </w:r>
          </w:p>
        </w:tc>
      </w:tr>
      <w:tr>
        <w:tc>
          <w:tcPr>
            <w:tcW w:type="dxa" w:w="720"/>
          </w:tcPr>
          <w:p>
            <w:r>
              <w:rPr>
                <w:sz w:val="22"/>
              </w:rPr>
              <w:t>20.</w:t>
            </w:r>
          </w:p>
        </w:tc>
        <w:tc>
          <w:tcPr>
            <w:tcW w:type="dxa" w:w="7920"/>
          </w:tcPr>
          <w:p>
            <w:r>
              <w:rPr>
                <w:sz w:val="22"/>
              </w:rPr>
              <w:t>Storage, Handling, and Supply</w:t>
            </w:r>
          </w:p>
        </w:tc>
      </w:tr>
      <w:tr>
        <w:tc>
          <w:tcPr>
            <w:tcW w:type="dxa" w:w="720"/>
          </w:tcPr>
          <w:p>
            <w:r>
              <w:rPr>
                <w:sz w:val="22"/>
              </w:rPr>
              <w:t>21.</w:t>
            </w:r>
          </w:p>
        </w:tc>
        <w:tc>
          <w:tcPr>
            <w:tcW w:type="dxa" w:w="7920"/>
          </w:tcPr>
          <w:p>
            <w:r>
              <w:rPr>
                <w:sz w:val="22"/>
              </w:rPr>
              <w:t>Regulatory Approvals Worldwide</w:t>
            </w:r>
          </w:p>
        </w:tc>
      </w:tr>
      <w:tr>
        <w:tc>
          <w:tcPr>
            <w:tcW w:type="dxa" w:w="720"/>
          </w:tcPr>
          <w:p>
            <w:r>
              <w:rPr>
                <w:sz w:val="22"/>
              </w:rPr>
              <w:t>22.</w:t>
            </w:r>
          </w:p>
        </w:tc>
        <w:tc>
          <w:tcPr>
            <w:tcW w:type="dxa" w:w="7920"/>
          </w:tcPr>
          <w:p>
            <w:r>
              <w:rPr>
                <w:sz w:val="22"/>
              </w:rPr>
              <w:t>Patient Counseling Information</w:t>
            </w:r>
          </w:p>
        </w:tc>
      </w:tr>
      <w:tr>
        <w:tc>
          <w:tcPr>
            <w:tcW w:type="dxa" w:w="720"/>
          </w:tcPr>
          <w:p>
            <w:r>
              <w:rPr>
                <w:sz w:val="22"/>
              </w:rPr>
              <w:t>23.</w:t>
            </w:r>
          </w:p>
        </w:tc>
        <w:tc>
          <w:tcPr>
            <w:tcW w:type="dxa" w:w="7920"/>
          </w:tcPr>
          <w:p>
            <w:r>
              <w:rPr>
                <w:sz w:val="22"/>
              </w:rPr>
              <w:t>Cross-Reference Map to Clinical Development Report</w:t>
            </w:r>
          </w:p>
        </w:tc>
      </w:tr>
      <w:tr>
        <w:tc>
          <w:tcPr>
            <w:tcW w:type="dxa" w:w="720"/>
          </w:tcPr>
          <w:p>
            <w:r>
              <w:rPr>
                <w:sz w:val="22"/>
              </w:rPr>
              <w:t>24.</w:t>
            </w:r>
          </w:p>
        </w:tc>
        <w:tc>
          <w:tcPr>
            <w:tcW w:type="dxa" w:w="7920"/>
          </w:tcPr>
          <w:p>
            <w:r>
              <w:rPr>
                <w:sz w:val="22"/>
              </w:rPr>
              <w:t>References</w:t>
            </w:r>
          </w:p>
        </w:tc>
      </w:tr>
      <w:tr>
        <w:tc>
          <w:tcPr>
            <w:tcW w:type="dxa" w:w="720"/>
          </w:tcPr>
          <w:p>
            <w:r>
              <w:rPr>
                <w:sz w:val="22"/>
              </w:rPr>
              <w:t>25.</w:t>
            </w:r>
          </w:p>
        </w:tc>
        <w:tc>
          <w:tcPr>
            <w:tcW w:type="dxa" w:w="7920"/>
          </w:tcPr>
          <w:p>
            <w:r>
              <w:rPr>
                <w:sz w:val="22"/>
              </w:rPr>
              <w:t>Document Revision History</w:t>
            </w:r>
          </w:p>
        </w:tc>
      </w:tr>
    </w:tbl>
    <w:p>
      <w:r>
        <w:br w:type="page"/>
      </w:r>
    </w:p>
    <w:p>
      <w:pPr>
        <w:pStyle w:val="Heading1"/>
      </w:pPr>
      <w:r>
        <w:t>1. Executive Summary and Therapeutic Rationale</w:t>
      </w:r>
    </w:p>
    <w:p>
      <w:pPr>
        <w:pStyle w:val="Heading2"/>
      </w:pPr>
      <w:r>
        <w:t>1.1 Background and Unmet Medical Need</w:t>
      </w:r>
    </w:p>
    <w:p>
      <w:r>
        <w:t>Cardiovascular diseases (CVDs) remain the leading cause of global morbidity and mortality, accounting for an estimated 17.9 million deaths annually (WHO, 2025). Hypertension, heart failure, and ischemic heart disease represent the three most prevalent cardiovascular conditions. Despite the availability of numerous antihypertensive and heart failure therapies, significant unmet needs persist: suboptimal blood pressure control rates (~45% globally), limited tolerability of existing beta-blockers due to metabolic and respiratory side effects, and poor patient adherence with multiple-daily-dosing regimens.</w:t>
      </w:r>
    </w:p>
    <w:p>
      <w:pPr>
        <w:pStyle w:val="Heading2"/>
      </w:pPr>
      <w:r>
        <w:t>1.2 Cardivex® — Addressing the Gap</w:t>
      </w:r>
    </w:p>
    <w:p>
      <w:r>
        <w:t>Cardivex® (metopravil succinate) was developed to address these limitations through three key pharmacological innovations: (1) ultra-high beta-1 selectivity (β₁/β₂ ratio 1:380), substantially reducing bronchospasm, metabolic, and peripheral vascular adverse effects; (2) a proprietary extended-release matrix technology (HydraMatrix™) enabling true once-daily dosing with 24-hour blood pressure control; and (3) a favorable pharmacokinetic profile with linear kinetics across the therapeutic range and a 14.6-hour half-life.</w:t>
      </w:r>
    </w:p>
    <w:p>
      <w:pPr>
        <w:pStyle w:val="Heading2"/>
      </w:pPr>
      <w:r>
        <w:t>1.3 Clinical Evidence Summary</w:t>
      </w:r>
    </w:p>
    <w:p>
      <w:r>
        <w:t>The clinical development program, detailed comprehensively in the companion Clinical Development Report (CDR-CV-2026-001), encompassed 14 clinical studies enrolling 12,847 patients across 42 countries. The pivotal findings include:</w:t>
      </w:r>
    </w:p>
    <w:p>
      <w:pPr>
        <w:pStyle w:val="ListBullet"/>
      </w:pPr>
      <w:r>
        <w:t>CARDIAC-SHIELD (N=4,218): 28% RRR in composite CV death/MI/HF hospitalization (See CDR-CV-2026-001, Section 6)</w:t>
      </w:r>
    </w:p>
    <w:p>
      <w:pPr>
        <w:pStyle w:val="ListBullet"/>
      </w:pPr>
      <w:r>
        <w:t>CARDIO-PRESS (N=2,842): Non-inferior to amlodipine for 24h ambulatory SBP (See CDR-CV-2026-001, Section 7)</w:t>
      </w:r>
    </w:p>
    <w:p>
      <w:pPr>
        <w:pStyle w:val="ListBullet"/>
      </w:pPr>
      <w:r>
        <w:t>ANGI-RESOLVE (N=386): +74 sec improvement in exercise duration (See CDR-CV-2026-001, Section 8)</w:t>
      </w:r>
    </w:p>
    <w:p>
      <w:pPr>
        <w:pStyle w:val="ListBullet"/>
      </w:pPr>
      <w:r>
        <w:t>Mean SBP reduction of 18.4 mmHg with 100 mg vs. 4.2 mmHg with placebo at 12 weeks</w:t>
      </w:r>
    </w:p>
    <w:p>
      <w:pPr>
        <w:pStyle w:val="ListBullet"/>
      </w:pPr>
      <w:r>
        <w:t>Favorable safety profile: 4.7% discontinuation rate vs. 3.9% for placebo</w:t>
      </w:r>
    </w:p>
    <w:p>
      <w:pPr>
        <w:pStyle w:val="ListBullet"/>
      </w:pPr>
      <w:r>
        <w:t>Consistent benefit across all prespecified subgroups (See CDR-CV-2026-001, Section 9)</w:t>
      </w:r>
    </w:p>
    <w:p>
      <w:r>
        <w:br w:type="page"/>
      </w:r>
    </w:p>
    <w:p>
      <w:pPr>
        <w:pStyle w:val="Heading1"/>
      </w:pPr>
      <w:r>
        <w:t>2. Drug Identification Card</w:t>
      </w:r>
    </w:p>
    <w:tbl>
      <w:tblPr>
        <w:tblStyle w:val="LightGrid-Accent1"/>
        <w:tblW w:type="auto" w:w="0"/>
        <w:jc w:val="center"/>
        <w:tblLook w:firstColumn="1" w:firstRow="1" w:lastColumn="0" w:lastRow="0" w:noHBand="0" w:noVBand="1" w:val="04A0"/>
      </w:tblPr>
      <w:tblGrid>
        <w:gridCol w:w="4680"/>
        <w:gridCol w:w="4680"/>
      </w:tblGrid>
      <w:tr>
        <w:tc>
          <w:tcPr>
            <w:tcW w:type="dxa" w:w="3600"/>
            <w:shd w:fill="003366"/>
          </w:tcPr>
          <w:p>
            <w:pPr>
              <w:jc w:val="center"/>
            </w:pPr>
            <w:r>
              <w:rPr>
                <w:b/>
                <w:color w:val="FFFFFF"/>
                <w:sz w:val="20"/>
              </w:rPr>
              <w:t>Parameter</w:t>
            </w:r>
          </w:p>
        </w:tc>
        <w:tc>
          <w:tcPr>
            <w:tcW w:type="dxa" w:w="5760"/>
            <w:shd w:fill="003366"/>
          </w:tcPr>
          <w:p>
            <w:pPr>
              <w:jc w:val="center"/>
            </w:pPr>
            <w:r>
              <w:rPr>
                <w:b/>
                <w:color w:val="FFFFFF"/>
                <w:sz w:val="20"/>
              </w:rPr>
              <w:t>Details</w:t>
            </w:r>
          </w:p>
        </w:tc>
      </w:tr>
      <w:tr>
        <w:tc>
          <w:tcPr>
            <w:tcW w:type="dxa" w:w="3600"/>
          </w:tcPr>
          <w:p>
            <w:r>
              <w:rPr>
                <w:sz w:val="20"/>
              </w:rPr>
              <w:t>Brand Name</w:t>
            </w:r>
          </w:p>
        </w:tc>
        <w:tc>
          <w:tcPr>
            <w:tcW w:type="dxa" w:w="5760"/>
          </w:tcPr>
          <w:p>
            <w:r>
              <w:rPr>
                <w:sz w:val="20"/>
              </w:rPr>
              <w:t>Cardivex®</w:t>
            </w:r>
          </w:p>
        </w:tc>
      </w:tr>
      <w:tr>
        <w:tc>
          <w:tcPr>
            <w:tcW w:type="dxa" w:w="3600"/>
          </w:tcPr>
          <w:p>
            <w:r>
              <w:rPr>
                <w:sz w:val="20"/>
              </w:rPr>
              <w:t>Generic Name (INN)</w:t>
            </w:r>
          </w:p>
        </w:tc>
        <w:tc>
          <w:tcPr>
            <w:tcW w:type="dxa" w:w="5760"/>
          </w:tcPr>
          <w:p>
            <w:r>
              <w:rPr>
                <w:sz w:val="20"/>
              </w:rPr>
              <w:t>Metopravil Succinate</w:t>
            </w:r>
          </w:p>
        </w:tc>
      </w:tr>
      <w:tr>
        <w:tc>
          <w:tcPr>
            <w:tcW w:type="dxa" w:w="3600"/>
          </w:tcPr>
          <w:p>
            <w:r>
              <w:rPr>
                <w:sz w:val="20"/>
              </w:rPr>
              <w:t>Chemical Name</w:t>
            </w:r>
          </w:p>
        </w:tc>
        <w:tc>
          <w:tcPr>
            <w:tcW w:type="dxa" w:w="5760"/>
          </w:tcPr>
          <w:p>
            <w:r>
              <w:rPr>
                <w:sz w:val="20"/>
              </w:rPr>
              <w:t>(RS)-1-[4-(2-Methoxyethyl)phenoxy]-3-(isopropylamino)-2-propanol succinate (2:1)</w:t>
            </w:r>
          </w:p>
        </w:tc>
      </w:tr>
      <w:tr>
        <w:tc>
          <w:tcPr>
            <w:tcW w:type="dxa" w:w="3600"/>
          </w:tcPr>
          <w:p>
            <w:r>
              <w:rPr>
                <w:sz w:val="20"/>
              </w:rPr>
              <w:t>CAS Registry Number</w:t>
            </w:r>
          </w:p>
        </w:tc>
        <w:tc>
          <w:tcPr>
            <w:tcW w:type="dxa" w:w="5760"/>
          </w:tcPr>
          <w:p>
            <w:r>
              <w:rPr>
                <w:sz w:val="20"/>
              </w:rPr>
              <w:t>98764-32-1 (free base); 98764-33-2 (succinate)</w:t>
            </w:r>
          </w:p>
        </w:tc>
      </w:tr>
      <w:tr>
        <w:tc>
          <w:tcPr>
            <w:tcW w:type="dxa" w:w="3600"/>
          </w:tcPr>
          <w:p>
            <w:r>
              <w:rPr>
                <w:sz w:val="20"/>
              </w:rPr>
              <w:t>Molecular Formula</w:t>
            </w:r>
          </w:p>
        </w:tc>
        <w:tc>
          <w:tcPr>
            <w:tcW w:type="dxa" w:w="5760"/>
          </w:tcPr>
          <w:p>
            <w:r>
              <w:rPr>
                <w:sz w:val="20"/>
              </w:rPr>
              <w:t>C₁₅H₂₅NO₃ · ½ C₄H₆O₄</w:t>
            </w:r>
          </w:p>
        </w:tc>
      </w:tr>
      <w:tr>
        <w:tc>
          <w:tcPr>
            <w:tcW w:type="dxa" w:w="3600"/>
          </w:tcPr>
          <w:p>
            <w:r>
              <w:rPr>
                <w:sz w:val="20"/>
              </w:rPr>
              <w:t>Molecular Weight</w:t>
            </w:r>
          </w:p>
        </w:tc>
        <w:tc>
          <w:tcPr>
            <w:tcW w:type="dxa" w:w="5760"/>
          </w:tcPr>
          <w:p>
            <w:r>
              <w:rPr>
                <w:sz w:val="20"/>
              </w:rPr>
              <w:t>325.42 g/mol (succinate salt)</w:t>
            </w:r>
          </w:p>
        </w:tc>
      </w:tr>
      <w:tr>
        <w:tc>
          <w:tcPr>
            <w:tcW w:type="dxa" w:w="3600"/>
          </w:tcPr>
          <w:p>
            <w:r>
              <w:rPr>
                <w:sz w:val="20"/>
              </w:rPr>
              <w:t>ATC Code</w:t>
            </w:r>
          </w:p>
        </w:tc>
        <w:tc>
          <w:tcPr>
            <w:tcW w:type="dxa" w:w="5760"/>
          </w:tcPr>
          <w:p>
            <w:r>
              <w:rPr>
                <w:sz w:val="20"/>
              </w:rPr>
              <w:t>C07AB13</w:t>
            </w:r>
          </w:p>
        </w:tc>
      </w:tr>
      <w:tr>
        <w:tc>
          <w:tcPr>
            <w:tcW w:type="dxa" w:w="3600"/>
          </w:tcPr>
          <w:p>
            <w:r>
              <w:rPr>
                <w:sz w:val="20"/>
              </w:rPr>
              <w:t>Therapeutic Class</w:t>
            </w:r>
          </w:p>
        </w:tc>
        <w:tc>
          <w:tcPr>
            <w:tcW w:type="dxa" w:w="5760"/>
          </w:tcPr>
          <w:p>
            <w:r>
              <w:rPr>
                <w:sz w:val="20"/>
              </w:rPr>
              <w:t>Selective Beta-1 Adrenergic Receptor Antagonist</w:t>
            </w:r>
          </w:p>
        </w:tc>
      </w:tr>
      <w:tr>
        <w:tc>
          <w:tcPr>
            <w:tcW w:type="dxa" w:w="3600"/>
          </w:tcPr>
          <w:p>
            <w:r>
              <w:rPr>
                <w:sz w:val="20"/>
              </w:rPr>
              <w:t>Route of Administration</w:t>
            </w:r>
          </w:p>
        </w:tc>
        <w:tc>
          <w:tcPr>
            <w:tcW w:type="dxa" w:w="5760"/>
          </w:tcPr>
          <w:p>
            <w:r>
              <w:rPr>
                <w:sz w:val="20"/>
              </w:rPr>
              <w:t>Oral</w:t>
            </w:r>
          </w:p>
        </w:tc>
      </w:tr>
      <w:tr>
        <w:tc>
          <w:tcPr>
            <w:tcW w:type="dxa" w:w="3600"/>
          </w:tcPr>
          <w:p>
            <w:r>
              <w:rPr>
                <w:sz w:val="20"/>
              </w:rPr>
              <w:t>Dosage Form</w:t>
            </w:r>
          </w:p>
        </w:tc>
        <w:tc>
          <w:tcPr>
            <w:tcW w:type="dxa" w:w="5760"/>
          </w:tcPr>
          <w:p>
            <w:r>
              <w:rPr>
                <w:sz w:val="20"/>
              </w:rPr>
              <w:t>Extended-release film-coated tablets</w:t>
            </w:r>
          </w:p>
        </w:tc>
      </w:tr>
      <w:tr>
        <w:tc>
          <w:tcPr>
            <w:tcW w:type="dxa" w:w="3600"/>
          </w:tcPr>
          <w:p>
            <w:r>
              <w:rPr>
                <w:sz w:val="20"/>
              </w:rPr>
              <w:t>Available Strengths</w:t>
            </w:r>
          </w:p>
        </w:tc>
        <w:tc>
          <w:tcPr>
            <w:tcW w:type="dxa" w:w="5760"/>
          </w:tcPr>
          <w:p>
            <w:r>
              <w:rPr>
                <w:sz w:val="20"/>
              </w:rPr>
              <w:t>50 mg, 100 mg, 200 mg</w:t>
            </w:r>
          </w:p>
        </w:tc>
      </w:tr>
      <w:tr>
        <w:tc>
          <w:tcPr>
            <w:tcW w:type="dxa" w:w="3600"/>
          </w:tcPr>
          <w:p>
            <w:r>
              <w:rPr>
                <w:sz w:val="20"/>
              </w:rPr>
              <w:t>Manufacturer</w:t>
            </w:r>
          </w:p>
        </w:tc>
        <w:tc>
          <w:tcPr>
            <w:tcW w:type="dxa" w:w="5760"/>
          </w:tcPr>
          <w:p>
            <w:r>
              <w:rPr>
                <w:sz w:val="20"/>
              </w:rPr>
              <w:t>Pharmacore Therapeutics, Inc.</w:t>
            </w:r>
          </w:p>
        </w:tc>
      </w:tr>
      <w:tr>
        <w:tc>
          <w:tcPr>
            <w:tcW w:type="dxa" w:w="3600"/>
          </w:tcPr>
          <w:p>
            <w:r>
              <w:rPr>
                <w:sz w:val="20"/>
              </w:rPr>
              <w:t>NDA Number</w:t>
            </w:r>
          </w:p>
        </w:tc>
        <w:tc>
          <w:tcPr>
            <w:tcW w:type="dxa" w:w="5760"/>
          </w:tcPr>
          <w:p>
            <w:r>
              <w:rPr>
                <w:sz w:val="20"/>
              </w:rPr>
              <w:t>215-847</w:t>
            </w:r>
          </w:p>
        </w:tc>
      </w:tr>
      <w:tr>
        <w:tc>
          <w:tcPr>
            <w:tcW w:type="dxa" w:w="3600"/>
          </w:tcPr>
          <w:p>
            <w:r>
              <w:rPr>
                <w:sz w:val="20"/>
              </w:rPr>
              <w:t>Initial U.S. Approval</w:t>
            </w:r>
          </w:p>
        </w:tc>
        <w:tc>
          <w:tcPr>
            <w:tcW w:type="dxa" w:w="5760"/>
          </w:tcPr>
          <w:p>
            <w:r>
              <w:rPr>
                <w:sz w:val="20"/>
              </w:rPr>
              <w:t>October 14, 2025</w:t>
            </w:r>
          </w:p>
        </w:tc>
      </w:tr>
      <w:tr>
        <w:tc>
          <w:tcPr>
            <w:tcW w:type="dxa" w:w="3600"/>
          </w:tcPr>
          <w:p>
            <w:r>
              <w:rPr>
                <w:sz w:val="20"/>
              </w:rPr>
              <w:t>DEA Schedule</w:t>
            </w:r>
          </w:p>
        </w:tc>
        <w:tc>
          <w:tcPr>
            <w:tcW w:type="dxa" w:w="5760"/>
          </w:tcPr>
          <w:p>
            <w:r>
              <w:rPr>
                <w:sz w:val="20"/>
              </w:rPr>
              <w:t>Not a controlled substance</w:t>
            </w:r>
          </w:p>
        </w:tc>
      </w:tr>
      <w:tr>
        <w:tc>
          <w:tcPr>
            <w:tcW w:type="dxa" w:w="3600"/>
          </w:tcPr>
          <w:p>
            <w:r>
              <w:rPr>
                <w:sz w:val="20"/>
              </w:rPr>
              <w:t>Companion Document</w:t>
            </w:r>
          </w:p>
        </w:tc>
        <w:tc>
          <w:tcPr>
            <w:tcW w:type="dxa" w:w="5760"/>
          </w:tcPr>
          <w:p>
            <w:r>
              <w:rPr>
                <w:sz w:val="20"/>
              </w:rPr>
              <w:t>Clinical Development Report — CDR-CV-2026-001</w:t>
            </w:r>
          </w:p>
        </w:tc>
      </w:tr>
    </w:tbl>
    <w:p/>
    <w:p>
      <w:r>
        <w:br w:type="page"/>
      </w:r>
    </w:p>
    <w:p>
      <w:pPr>
        <w:pStyle w:val="Heading1"/>
      </w:pPr>
      <w:r>
        <w:t>3. Qualitative and Quantitative Composition</w:t>
      </w:r>
    </w:p>
    <w:p>
      <w:pPr>
        <w:pStyle w:val="Heading2"/>
      </w:pPr>
      <w:r>
        <w:t>3.1 Active Ingredient</w:t>
      </w:r>
    </w:p>
    <w:p>
      <w:r>
        <w:t>Each extended-release tablet contains metopravil succinate equivalent to 50 mg, 100 mg, or 200 mg of metopravil free base. The succinate salt form was selected based on superior crystallinity, non-hygroscopic behavior, and consistent dissolution performance across physiological pH ranges (1.2–7.4).</w:t>
      </w:r>
    </w:p>
    <w:p>
      <w:pPr>
        <w:pStyle w:val="Heading2"/>
      </w:pPr>
      <w:r>
        <w:t>3.2 Excipient Composition — All Strengths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880"/>
            <w:shd w:fill="003366"/>
          </w:tcPr>
          <w:p>
            <w:pPr>
              <w:jc w:val="center"/>
            </w:pPr>
            <w:r>
              <w:rPr>
                <w:b/>
                <w:color w:val="FFFFFF"/>
                <w:sz w:val="20"/>
              </w:rPr>
              <w:t>Excipient (Grade)</w:t>
            </w:r>
          </w:p>
        </w:tc>
        <w:tc>
          <w:tcPr>
            <w:tcW w:type="dxa" w:w="1728"/>
            <w:shd w:fill="003366"/>
          </w:tcPr>
          <w:p>
            <w:pPr>
              <w:jc w:val="center"/>
            </w:pPr>
            <w:r>
              <w:rPr>
                <w:b/>
                <w:color w:val="FFFFFF"/>
                <w:sz w:val="20"/>
              </w:rPr>
              <w:t>Function</w:t>
            </w:r>
          </w:p>
        </w:tc>
        <w:tc>
          <w:tcPr>
            <w:tcW w:type="dxa" w:w="1296"/>
            <w:shd w:fill="003366"/>
          </w:tcPr>
          <w:p>
            <w:pPr>
              <w:jc w:val="center"/>
            </w:pPr>
            <w:r>
              <w:rPr>
                <w:b/>
                <w:color w:val="FFFFFF"/>
                <w:sz w:val="20"/>
              </w:rPr>
              <w:t>50 mg (mg)</w:t>
            </w:r>
          </w:p>
        </w:tc>
        <w:tc>
          <w:tcPr>
            <w:tcW w:type="dxa" w:w="1296"/>
            <w:shd w:fill="003366"/>
          </w:tcPr>
          <w:p>
            <w:pPr>
              <w:jc w:val="center"/>
            </w:pPr>
            <w:r>
              <w:rPr>
                <w:b/>
                <w:color w:val="FFFFFF"/>
                <w:sz w:val="20"/>
              </w:rPr>
              <w:t>100 mg (mg)</w:t>
            </w:r>
          </w:p>
        </w:tc>
        <w:tc>
          <w:tcPr>
            <w:tcW w:type="dxa" w:w="1296"/>
            <w:shd w:fill="003366"/>
          </w:tcPr>
          <w:p>
            <w:pPr>
              <w:jc w:val="center"/>
            </w:pPr>
            <w:r>
              <w:rPr>
                <w:b/>
                <w:color w:val="FFFFFF"/>
                <w:sz w:val="20"/>
              </w:rPr>
              <w:t>200 mg (mg)</w:t>
            </w:r>
          </w:p>
        </w:tc>
      </w:tr>
      <w:tr>
        <w:tc>
          <w:tcPr>
            <w:tcW w:type="dxa" w:w="2880"/>
          </w:tcPr>
          <w:p>
            <w:r>
              <w:rPr>
                <w:sz w:val="20"/>
              </w:rPr>
              <w:t>Metopravil Succinate</w:t>
            </w:r>
          </w:p>
        </w:tc>
        <w:tc>
          <w:tcPr>
            <w:tcW w:type="dxa" w:w="1728"/>
          </w:tcPr>
          <w:p>
            <w:r>
              <w:rPr>
                <w:sz w:val="20"/>
              </w:rPr>
              <w:t>Active</w:t>
            </w:r>
          </w:p>
        </w:tc>
        <w:tc>
          <w:tcPr>
            <w:tcW w:type="dxa" w:w="1296"/>
          </w:tcPr>
          <w:p>
            <w:r>
              <w:rPr>
                <w:sz w:val="20"/>
              </w:rPr>
              <w:t>58.25*</w:t>
            </w:r>
          </w:p>
        </w:tc>
        <w:tc>
          <w:tcPr>
            <w:tcW w:type="dxa" w:w="1296"/>
          </w:tcPr>
          <w:p>
            <w:r>
              <w:rPr>
                <w:sz w:val="20"/>
              </w:rPr>
              <w:t>116.5*</w:t>
            </w:r>
          </w:p>
        </w:tc>
        <w:tc>
          <w:tcPr>
            <w:tcW w:type="dxa" w:w="1296"/>
          </w:tcPr>
          <w:p>
            <w:r>
              <w:rPr>
                <w:sz w:val="20"/>
              </w:rPr>
              <w:t>233.0*</w:t>
            </w:r>
          </w:p>
        </w:tc>
      </w:tr>
      <w:tr>
        <w:tc>
          <w:tcPr>
            <w:tcW w:type="dxa" w:w="2880"/>
          </w:tcPr>
          <w:p>
            <w:r>
              <w:rPr>
                <w:sz w:val="20"/>
              </w:rPr>
              <w:t>Microcrystalline Cellulose PH-102</w:t>
            </w:r>
          </w:p>
        </w:tc>
        <w:tc>
          <w:tcPr>
            <w:tcW w:type="dxa" w:w="1728"/>
          </w:tcPr>
          <w:p>
            <w:r>
              <w:rPr>
                <w:sz w:val="20"/>
              </w:rPr>
              <w:t>Diluent/Binder</w:t>
            </w:r>
          </w:p>
        </w:tc>
        <w:tc>
          <w:tcPr>
            <w:tcW w:type="dxa" w:w="1296"/>
          </w:tcPr>
          <w:p>
            <w:r>
              <w:rPr>
                <w:sz w:val="20"/>
              </w:rPr>
              <w:t>45.0</w:t>
            </w:r>
          </w:p>
        </w:tc>
        <w:tc>
          <w:tcPr>
            <w:tcW w:type="dxa" w:w="1296"/>
          </w:tcPr>
          <w:p>
            <w:r>
              <w:rPr>
                <w:sz w:val="20"/>
              </w:rPr>
              <w:t>85.0</w:t>
            </w:r>
          </w:p>
        </w:tc>
        <w:tc>
          <w:tcPr>
            <w:tcW w:type="dxa" w:w="1296"/>
          </w:tcPr>
          <w:p>
            <w:r>
              <w:rPr>
                <w:sz w:val="20"/>
              </w:rPr>
              <w:t>160.0</w:t>
            </w:r>
          </w:p>
        </w:tc>
      </w:tr>
      <w:tr>
        <w:tc>
          <w:tcPr>
            <w:tcW w:type="dxa" w:w="2880"/>
          </w:tcPr>
          <w:p>
            <w:r>
              <w:rPr>
                <w:sz w:val="20"/>
              </w:rPr>
              <w:t>Hypromellose 2208 K100M</w:t>
            </w:r>
          </w:p>
        </w:tc>
        <w:tc>
          <w:tcPr>
            <w:tcW w:type="dxa" w:w="1728"/>
          </w:tcPr>
          <w:p>
            <w:r>
              <w:rPr>
                <w:sz w:val="20"/>
              </w:rPr>
              <w:t>ER Matrix Former</w:t>
            </w:r>
          </w:p>
        </w:tc>
        <w:tc>
          <w:tcPr>
            <w:tcW w:type="dxa" w:w="1296"/>
          </w:tcPr>
          <w:p>
            <w:r>
              <w:rPr>
                <w:sz w:val="20"/>
              </w:rPr>
              <w:t>24.0</w:t>
            </w:r>
          </w:p>
        </w:tc>
        <w:tc>
          <w:tcPr>
            <w:tcW w:type="dxa" w:w="1296"/>
          </w:tcPr>
          <w:p>
            <w:r>
              <w:rPr>
                <w:sz w:val="20"/>
              </w:rPr>
              <w:t>45.0</w:t>
            </w:r>
          </w:p>
        </w:tc>
        <w:tc>
          <w:tcPr>
            <w:tcW w:type="dxa" w:w="1296"/>
          </w:tcPr>
          <w:p>
            <w:r>
              <w:rPr>
                <w:sz w:val="20"/>
              </w:rPr>
              <w:t>82.0</w:t>
            </w:r>
          </w:p>
        </w:tc>
      </w:tr>
      <w:tr>
        <w:tc>
          <w:tcPr>
            <w:tcW w:type="dxa" w:w="2880"/>
          </w:tcPr>
          <w:p>
            <w:r>
              <w:rPr>
                <w:sz w:val="20"/>
              </w:rPr>
              <w:t>Ethylcellulose N-20</w:t>
            </w:r>
          </w:p>
        </w:tc>
        <w:tc>
          <w:tcPr>
            <w:tcW w:type="dxa" w:w="1728"/>
          </w:tcPr>
          <w:p>
            <w:r>
              <w:rPr>
                <w:sz w:val="20"/>
              </w:rPr>
              <w:t>Rate-control Polymer</w:t>
            </w:r>
          </w:p>
        </w:tc>
        <w:tc>
          <w:tcPr>
            <w:tcW w:type="dxa" w:w="1296"/>
          </w:tcPr>
          <w:p>
            <w:r>
              <w:rPr>
                <w:sz w:val="20"/>
              </w:rPr>
              <w:t>10.0</w:t>
            </w:r>
          </w:p>
        </w:tc>
        <w:tc>
          <w:tcPr>
            <w:tcW w:type="dxa" w:w="1296"/>
          </w:tcPr>
          <w:p>
            <w:r>
              <w:rPr>
                <w:sz w:val="20"/>
              </w:rPr>
              <w:t>18.0</w:t>
            </w:r>
          </w:p>
        </w:tc>
        <w:tc>
          <w:tcPr>
            <w:tcW w:type="dxa" w:w="1296"/>
          </w:tcPr>
          <w:p>
            <w:r>
              <w:rPr>
                <w:sz w:val="20"/>
              </w:rPr>
              <w:t>34.0</w:t>
            </w:r>
          </w:p>
        </w:tc>
      </w:tr>
      <w:tr>
        <w:tc>
          <w:tcPr>
            <w:tcW w:type="dxa" w:w="2880"/>
          </w:tcPr>
          <w:p>
            <w:r>
              <w:rPr>
                <w:sz w:val="20"/>
              </w:rPr>
              <w:t>Lactose Monohydrate</w:t>
            </w:r>
          </w:p>
        </w:tc>
        <w:tc>
          <w:tcPr>
            <w:tcW w:type="dxa" w:w="1728"/>
          </w:tcPr>
          <w:p>
            <w:r>
              <w:rPr>
                <w:sz w:val="20"/>
              </w:rPr>
              <w:t>Diluent</w:t>
            </w:r>
          </w:p>
        </w:tc>
        <w:tc>
          <w:tcPr>
            <w:tcW w:type="dxa" w:w="1296"/>
          </w:tcPr>
          <w:p>
            <w:r>
              <w:rPr>
                <w:sz w:val="20"/>
              </w:rPr>
              <w:t>12.0</w:t>
            </w:r>
          </w:p>
        </w:tc>
        <w:tc>
          <w:tcPr>
            <w:tcW w:type="dxa" w:w="1296"/>
          </w:tcPr>
          <w:p>
            <w:r>
              <w:rPr>
                <w:sz w:val="20"/>
              </w:rPr>
              <w:t>22.0</w:t>
            </w:r>
          </w:p>
        </w:tc>
        <w:tc>
          <w:tcPr>
            <w:tcW w:type="dxa" w:w="1296"/>
          </w:tcPr>
          <w:p>
            <w:r>
              <w:rPr>
                <w:sz w:val="20"/>
              </w:rPr>
              <w:t>40.0</w:t>
            </w:r>
          </w:p>
        </w:tc>
      </w:tr>
      <w:tr>
        <w:tc>
          <w:tcPr>
            <w:tcW w:type="dxa" w:w="2880"/>
          </w:tcPr>
          <w:p>
            <w:r>
              <w:rPr>
                <w:sz w:val="20"/>
              </w:rPr>
              <w:t>Colloidal Silicon Dioxide</w:t>
            </w:r>
          </w:p>
        </w:tc>
        <w:tc>
          <w:tcPr>
            <w:tcW w:type="dxa" w:w="1728"/>
          </w:tcPr>
          <w:p>
            <w:r>
              <w:rPr>
                <w:sz w:val="20"/>
              </w:rPr>
              <w:t>Glidant</w:t>
            </w:r>
          </w:p>
        </w:tc>
        <w:tc>
          <w:tcPr>
            <w:tcW w:type="dxa" w:w="1296"/>
          </w:tcPr>
          <w:p>
            <w:r>
              <w:rPr>
                <w:sz w:val="20"/>
              </w:rPr>
              <w:t>1.5</w:t>
            </w:r>
          </w:p>
        </w:tc>
        <w:tc>
          <w:tcPr>
            <w:tcW w:type="dxa" w:w="1296"/>
          </w:tcPr>
          <w:p>
            <w:r>
              <w:rPr>
                <w:sz w:val="20"/>
              </w:rPr>
              <w:t>3.0</w:t>
            </w:r>
          </w:p>
        </w:tc>
        <w:tc>
          <w:tcPr>
            <w:tcW w:type="dxa" w:w="1296"/>
          </w:tcPr>
          <w:p>
            <w:r>
              <w:rPr>
                <w:sz w:val="20"/>
              </w:rPr>
              <w:t>5.5</w:t>
            </w:r>
          </w:p>
        </w:tc>
      </w:tr>
      <w:tr>
        <w:tc>
          <w:tcPr>
            <w:tcW w:type="dxa" w:w="2880"/>
          </w:tcPr>
          <w:p>
            <w:r>
              <w:rPr>
                <w:sz w:val="20"/>
              </w:rPr>
              <w:t>Magnesium Stearate (vegetable)</w:t>
            </w:r>
          </w:p>
        </w:tc>
        <w:tc>
          <w:tcPr>
            <w:tcW w:type="dxa" w:w="1728"/>
          </w:tcPr>
          <w:p>
            <w:r>
              <w:rPr>
                <w:sz w:val="20"/>
              </w:rPr>
              <w:t>Lubricant</w:t>
            </w:r>
          </w:p>
        </w:tc>
        <w:tc>
          <w:tcPr>
            <w:tcW w:type="dxa" w:w="1296"/>
          </w:tcPr>
          <w:p>
            <w:r>
              <w:rPr>
                <w:sz w:val="20"/>
              </w:rPr>
              <w:t>2.25</w:t>
            </w:r>
          </w:p>
        </w:tc>
        <w:tc>
          <w:tcPr>
            <w:tcW w:type="dxa" w:w="1296"/>
          </w:tcPr>
          <w:p>
            <w:r>
              <w:rPr>
                <w:sz w:val="20"/>
              </w:rPr>
              <w:t>4.5</w:t>
            </w:r>
          </w:p>
        </w:tc>
        <w:tc>
          <w:tcPr>
            <w:tcW w:type="dxa" w:w="1296"/>
          </w:tcPr>
          <w:p>
            <w:r>
              <w:rPr>
                <w:sz w:val="20"/>
              </w:rPr>
              <w:t>8.5</w:t>
            </w:r>
          </w:p>
        </w:tc>
      </w:tr>
      <w:tr>
        <w:tc>
          <w:tcPr>
            <w:tcW w:type="dxa" w:w="2880"/>
          </w:tcPr>
          <w:p>
            <w:r>
              <w:rPr>
                <w:sz w:val="20"/>
              </w:rPr>
              <w:t>Opadry® II White Y-30-18037</w:t>
            </w:r>
          </w:p>
        </w:tc>
        <w:tc>
          <w:tcPr>
            <w:tcW w:type="dxa" w:w="1728"/>
          </w:tcPr>
          <w:p>
            <w:r>
              <w:rPr>
                <w:sz w:val="20"/>
              </w:rPr>
              <w:t>Film Coat</w:t>
            </w:r>
          </w:p>
        </w:tc>
        <w:tc>
          <w:tcPr>
            <w:tcW w:type="dxa" w:w="1296"/>
          </w:tcPr>
          <w:p>
            <w:r>
              <w:rPr>
                <w:sz w:val="20"/>
              </w:rPr>
              <w:t>3.0</w:t>
            </w:r>
          </w:p>
        </w:tc>
        <w:tc>
          <w:tcPr>
            <w:tcW w:type="dxa" w:w="1296"/>
          </w:tcPr>
          <w:p>
            <w:r>
              <w:rPr>
                <w:sz w:val="20"/>
              </w:rPr>
              <w:t>6.0</w:t>
            </w:r>
          </w:p>
        </w:tc>
        <w:tc>
          <w:tcPr>
            <w:tcW w:type="dxa" w:w="1296"/>
          </w:tcPr>
          <w:p>
            <w:r>
              <w:rPr>
                <w:sz w:val="20"/>
              </w:rPr>
              <w:t>12.0</w:t>
            </w:r>
          </w:p>
        </w:tc>
      </w:tr>
      <w:tr>
        <w:tc>
          <w:tcPr>
            <w:tcW w:type="dxa" w:w="2880"/>
          </w:tcPr>
          <w:p>
            <w:r>
              <w:rPr>
                <w:sz w:val="20"/>
              </w:rPr>
              <w:t>Total Tablet Weight</w:t>
            </w:r>
          </w:p>
        </w:tc>
        <w:tc>
          <w:tcPr>
            <w:tcW w:type="dxa" w:w="1728"/>
          </w:tcPr>
          <w:p>
            <w:r>
              <w:rPr>
                <w:sz w:val="20"/>
              </w:rPr>
              <w:t>—</w:t>
            </w:r>
          </w:p>
        </w:tc>
        <w:tc>
          <w:tcPr>
            <w:tcW w:type="dxa" w:w="1296"/>
          </w:tcPr>
          <w:p>
            <w:r>
              <w:rPr>
                <w:sz w:val="20"/>
              </w:rPr>
              <w:t>156.0</w:t>
            </w:r>
          </w:p>
        </w:tc>
        <w:tc>
          <w:tcPr>
            <w:tcW w:type="dxa" w:w="1296"/>
          </w:tcPr>
          <w:p>
            <w:r>
              <w:rPr>
                <w:sz w:val="20"/>
              </w:rPr>
              <w:t>300.0</w:t>
            </w:r>
          </w:p>
        </w:tc>
        <w:tc>
          <w:tcPr>
            <w:tcW w:type="dxa" w:w="1296"/>
          </w:tcPr>
          <w:p>
            <w:r>
              <w:rPr>
                <w:sz w:val="20"/>
              </w:rPr>
              <w:t>575.0</w:t>
            </w:r>
          </w:p>
        </w:tc>
      </w:tr>
    </w:tbl>
    <w:p/>
    <w:p>
      <w:r>
        <w:t>*Equivalent to stated free-base strength.</w:t>
      </w:r>
    </w:p>
    <w:p>
      <w:pPr>
        <w:pStyle w:val="Heading2"/>
      </w:pPr>
      <w:r>
        <w:t>3.3 Tablet Identification</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003366"/>
          </w:tcPr>
          <w:p>
            <w:pPr>
              <w:jc w:val="center"/>
            </w:pPr>
            <w:r>
              <w:rPr>
                <w:b/>
                <w:color w:val="FFFFFF"/>
                <w:sz w:val="20"/>
              </w:rPr>
              <w:t>Strength</w:t>
            </w:r>
          </w:p>
        </w:tc>
        <w:tc>
          <w:tcPr>
            <w:tcW w:type="dxa" w:w="1584"/>
            <w:shd w:fill="003366"/>
          </w:tcPr>
          <w:p>
            <w:pPr>
              <w:jc w:val="center"/>
            </w:pPr>
            <w:r>
              <w:rPr>
                <w:b/>
                <w:color w:val="FFFFFF"/>
                <w:sz w:val="20"/>
              </w:rPr>
              <w:t>Shape</w:t>
            </w:r>
          </w:p>
        </w:tc>
        <w:tc>
          <w:tcPr>
            <w:tcW w:type="dxa" w:w="1296"/>
            <w:shd w:fill="003366"/>
          </w:tcPr>
          <w:p>
            <w:pPr>
              <w:jc w:val="center"/>
            </w:pPr>
            <w:r>
              <w:rPr>
                <w:b/>
                <w:color w:val="FFFFFF"/>
                <w:sz w:val="20"/>
              </w:rPr>
              <w:t>Color</w:t>
            </w:r>
          </w:p>
        </w:tc>
        <w:tc>
          <w:tcPr>
            <w:tcW w:type="dxa" w:w="1728"/>
            <w:shd w:fill="003366"/>
          </w:tcPr>
          <w:p>
            <w:pPr>
              <w:jc w:val="center"/>
            </w:pPr>
            <w:r>
              <w:rPr>
                <w:b/>
                <w:color w:val="FFFFFF"/>
                <w:sz w:val="20"/>
              </w:rPr>
              <w:t>Debossing</w:t>
            </w:r>
          </w:p>
        </w:tc>
        <w:tc>
          <w:tcPr>
            <w:tcW w:type="dxa" w:w="2016"/>
            <w:shd w:fill="003366"/>
          </w:tcPr>
          <w:p>
            <w:pPr>
              <w:jc w:val="center"/>
            </w:pPr>
            <w:r>
              <w:rPr>
                <w:b/>
                <w:color w:val="FFFFFF"/>
                <w:sz w:val="20"/>
              </w:rPr>
              <w:t>Dimensions</w:t>
            </w:r>
          </w:p>
        </w:tc>
        <w:tc>
          <w:tcPr>
            <w:tcW w:type="dxa" w:w="1440"/>
            <w:shd w:fill="003366"/>
          </w:tcPr>
          <w:p>
            <w:pPr>
              <w:jc w:val="center"/>
            </w:pPr>
            <w:r>
              <w:rPr>
                <w:b/>
                <w:color w:val="FFFFFF"/>
                <w:sz w:val="20"/>
              </w:rPr>
              <w:t>Score Line</w:t>
            </w:r>
          </w:p>
        </w:tc>
      </w:tr>
      <w:tr>
        <w:tc>
          <w:tcPr>
            <w:tcW w:type="dxa" w:w="1008"/>
          </w:tcPr>
          <w:p>
            <w:r>
              <w:rPr>
                <w:sz w:val="20"/>
              </w:rPr>
              <w:t>50 mg</w:t>
            </w:r>
          </w:p>
        </w:tc>
        <w:tc>
          <w:tcPr>
            <w:tcW w:type="dxa" w:w="1584"/>
          </w:tcPr>
          <w:p>
            <w:r>
              <w:rPr>
                <w:sz w:val="20"/>
              </w:rPr>
              <w:t>Round biconvex</w:t>
            </w:r>
          </w:p>
        </w:tc>
        <w:tc>
          <w:tcPr>
            <w:tcW w:type="dxa" w:w="1296"/>
          </w:tcPr>
          <w:p>
            <w:r>
              <w:rPr>
                <w:sz w:val="20"/>
              </w:rPr>
              <w:t>White</w:t>
            </w:r>
          </w:p>
        </w:tc>
        <w:tc>
          <w:tcPr>
            <w:tcW w:type="dxa" w:w="1728"/>
          </w:tcPr>
          <w:p>
            <w:r>
              <w:rPr>
                <w:sz w:val="20"/>
              </w:rPr>
              <w:t>'CV 50' / plain</w:t>
            </w:r>
          </w:p>
        </w:tc>
        <w:tc>
          <w:tcPr>
            <w:tcW w:type="dxa" w:w="2016"/>
          </w:tcPr>
          <w:p>
            <w:r>
              <w:rPr>
                <w:sz w:val="20"/>
              </w:rPr>
              <w:t>8.0 mm dia × 4.2 mm</w:t>
            </w:r>
          </w:p>
        </w:tc>
        <w:tc>
          <w:tcPr>
            <w:tcW w:type="dxa" w:w="1440"/>
          </w:tcPr>
          <w:p>
            <w:r>
              <w:rPr>
                <w:sz w:val="20"/>
              </w:rPr>
              <w:t>Yes (functional)</w:t>
            </w:r>
          </w:p>
        </w:tc>
      </w:tr>
      <w:tr>
        <w:tc>
          <w:tcPr>
            <w:tcW w:type="dxa" w:w="1008"/>
          </w:tcPr>
          <w:p>
            <w:r>
              <w:rPr>
                <w:sz w:val="20"/>
              </w:rPr>
              <w:t>100 mg</w:t>
            </w:r>
          </w:p>
        </w:tc>
        <w:tc>
          <w:tcPr>
            <w:tcW w:type="dxa" w:w="1584"/>
          </w:tcPr>
          <w:p>
            <w:r>
              <w:rPr>
                <w:sz w:val="20"/>
              </w:rPr>
              <w:t>Oval biconvex</w:t>
            </w:r>
          </w:p>
        </w:tc>
        <w:tc>
          <w:tcPr>
            <w:tcW w:type="dxa" w:w="1296"/>
          </w:tcPr>
          <w:p>
            <w:r>
              <w:rPr>
                <w:sz w:val="20"/>
              </w:rPr>
              <w:t>Light yellow</w:t>
            </w:r>
          </w:p>
        </w:tc>
        <w:tc>
          <w:tcPr>
            <w:tcW w:type="dxa" w:w="1728"/>
          </w:tcPr>
          <w:p>
            <w:r>
              <w:rPr>
                <w:sz w:val="20"/>
              </w:rPr>
              <w:t>'CV 100' / plain</w:t>
            </w:r>
          </w:p>
        </w:tc>
        <w:tc>
          <w:tcPr>
            <w:tcW w:type="dxa" w:w="2016"/>
          </w:tcPr>
          <w:p>
            <w:r>
              <w:rPr>
                <w:sz w:val="20"/>
              </w:rPr>
              <w:t>12.0 × 6.5 × 4.8 mm</w:t>
            </w:r>
          </w:p>
        </w:tc>
        <w:tc>
          <w:tcPr>
            <w:tcW w:type="dxa" w:w="1440"/>
          </w:tcPr>
          <w:p>
            <w:r>
              <w:rPr>
                <w:sz w:val="20"/>
              </w:rPr>
              <w:t>No</w:t>
            </w:r>
          </w:p>
        </w:tc>
      </w:tr>
      <w:tr>
        <w:tc>
          <w:tcPr>
            <w:tcW w:type="dxa" w:w="1008"/>
          </w:tcPr>
          <w:p>
            <w:r>
              <w:rPr>
                <w:sz w:val="20"/>
              </w:rPr>
              <w:t>200 mg</w:t>
            </w:r>
          </w:p>
        </w:tc>
        <w:tc>
          <w:tcPr>
            <w:tcW w:type="dxa" w:w="1584"/>
          </w:tcPr>
          <w:p>
            <w:r>
              <w:rPr>
                <w:sz w:val="20"/>
              </w:rPr>
              <w:t>Capsule-shaped</w:t>
            </w:r>
          </w:p>
        </w:tc>
        <w:tc>
          <w:tcPr>
            <w:tcW w:type="dxa" w:w="1296"/>
          </w:tcPr>
          <w:p>
            <w:r>
              <w:rPr>
                <w:sz w:val="20"/>
              </w:rPr>
              <w:t>Light blue</w:t>
            </w:r>
          </w:p>
        </w:tc>
        <w:tc>
          <w:tcPr>
            <w:tcW w:type="dxa" w:w="1728"/>
          </w:tcPr>
          <w:p>
            <w:r>
              <w:rPr>
                <w:sz w:val="20"/>
              </w:rPr>
              <w:t>'CV 200' / 'PT'</w:t>
            </w:r>
          </w:p>
        </w:tc>
        <w:tc>
          <w:tcPr>
            <w:tcW w:type="dxa" w:w="2016"/>
          </w:tcPr>
          <w:p>
            <w:r>
              <w:rPr>
                <w:sz w:val="20"/>
              </w:rPr>
              <w:t>16.0 × 7.0 × 5.6 mm</w:t>
            </w:r>
          </w:p>
        </w:tc>
        <w:tc>
          <w:tcPr>
            <w:tcW w:type="dxa" w:w="1440"/>
          </w:tcPr>
          <w:p>
            <w:r>
              <w:rPr>
                <w:sz w:val="20"/>
              </w:rPr>
              <w:t>No</w:t>
            </w:r>
          </w:p>
        </w:tc>
      </w:tr>
    </w:tbl>
    <w:p/>
    <w:p>
      <w:pPr>
        <w:pStyle w:val="Heading2"/>
      </w:pPr>
      <w:r>
        <w:t>3.4 Packaging and Container Closure</w:t>
      </w:r>
    </w:p>
    <w:p>
      <w:r>
        <w:t>Cardivex® tablets are supplied in round white high-density polyethylene (HDPE) bottles with child-resistant polypropylene closures, induction heat seals, and 1 g silica gel desiccant canisters. Available pack sizes: 30, 90, and 500 (institutional) count bottles.</w:t>
      </w:r>
    </w:p>
    <w:p>
      <w:r>
        <w:br w:type="page"/>
      </w:r>
    </w:p>
    <w:p>
      <w:pPr>
        <w:pStyle w:val="Heading1"/>
      </w:pPr>
      <w:r>
        <w:t>4. Pharmaceutical Form and Formulation Technology</w:t>
      </w:r>
    </w:p>
    <w:p>
      <w:pPr>
        <w:pStyle w:val="Heading2"/>
      </w:pPr>
      <w:r>
        <w:t>4.1 HydraMatrix™ Technology Overview</w:t>
      </w:r>
    </w:p>
    <w:p>
      <w:r>
        <w:t>Cardivex® utilizes a proprietary hydrophilic matrix system (HydraMatrix™) to achieve extended drug release. The tablet core comprises two functional polymer layers: (1) an outer hypromellose (HPMC K100M) hydrophilic layer that hydrates upon contact with GI fluid, forming a viscous gel barrier; and (2) an inner ethylcellulose rate-controlling membrane. This dual-layer architecture produces a biphasic release profile — an initial burst component (~20% within 2 hours for rapid onset) followed by sustained zero-order release kinetics over 18–22 hours.</w:t>
      </w:r>
    </w:p>
    <w:p>
      <w:pPr>
        <w:pStyle w:val="Heading2"/>
      </w:pPr>
      <w:r>
        <w:t>4.2 In Vitro Dissolution Specifications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440"/>
            <w:shd w:fill="003366"/>
          </w:tcPr>
          <w:p>
            <w:pPr>
              <w:jc w:val="center"/>
            </w:pPr>
            <w:r>
              <w:rPr>
                <w:b/>
                <w:color w:val="FFFFFF"/>
                <w:sz w:val="20"/>
              </w:rPr>
              <w:t>Time Point</w:t>
            </w:r>
          </w:p>
        </w:tc>
        <w:tc>
          <w:tcPr>
            <w:tcW w:type="dxa" w:w="1728"/>
            <w:shd w:fill="003366"/>
          </w:tcPr>
          <w:p>
            <w:pPr>
              <w:jc w:val="center"/>
            </w:pPr>
            <w:r>
              <w:rPr>
                <w:b/>
                <w:color w:val="FFFFFF"/>
                <w:sz w:val="20"/>
              </w:rPr>
              <w:t>Specification (% Released)</w:t>
            </w:r>
          </w:p>
        </w:tc>
        <w:tc>
          <w:tcPr>
            <w:tcW w:type="dxa" w:w="1584"/>
            <w:shd w:fill="003366"/>
          </w:tcPr>
          <w:p>
            <w:pPr>
              <w:jc w:val="center"/>
            </w:pPr>
            <w:r>
              <w:rPr>
                <w:b/>
                <w:color w:val="FFFFFF"/>
                <w:sz w:val="20"/>
              </w:rPr>
              <w:t>50 mg Result</w:t>
            </w:r>
          </w:p>
        </w:tc>
        <w:tc>
          <w:tcPr>
            <w:tcW w:type="dxa" w:w="1584"/>
            <w:shd w:fill="003366"/>
          </w:tcPr>
          <w:p>
            <w:pPr>
              <w:jc w:val="center"/>
            </w:pPr>
            <w:r>
              <w:rPr>
                <w:b/>
                <w:color w:val="FFFFFF"/>
                <w:sz w:val="20"/>
              </w:rPr>
              <w:t>100 mg Result</w:t>
            </w:r>
          </w:p>
        </w:tc>
        <w:tc>
          <w:tcPr>
            <w:tcW w:type="dxa" w:w="1584"/>
            <w:shd w:fill="003366"/>
          </w:tcPr>
          <w:p>
            <w:pPr>
              <w:jc w:val="center"/>
            </w:pPr>
            <w:r>
              <w:rPr>
                <w:b/>
                <w:color w:val="FFFFFF"/>
                <w:sz w:val="20"/>
              </w:rPr>
              <w:t>200 mg Result</w:t>
            </w:r>
          </w:p>
        </w:tc>
      </w:tr>
      <w:tr>
        <w:tc>
          <w:tcPr>
            <w:tcW w:type="dxa" w:w="1440"/>
          </w:tcPr>
          <w:p>
            <w:r>
              <w:rPr>
                <w:sz w:val="20"/>
              </w:rPr>
              <w:t>1 hour</w:t>
            </w:r>
          </w:p>
        </w:tc>
        <w:tc>
          <w:tcPr>
            <w:tcW w:type="dxa" w:w="1728"/>
          </w:tcPr>
          <w:p>
            <w:r>
              <w:rPr>
                <w:sz w:val="20"/>
              </w:rPr>
              <w:t>NMT 25%</w:t>
            </w:r>
          </w:p>
        </w:tc>
        <w:tc>
          <w:tcPr>
            <w:tcW w:type="dxa" w:w="1584"/>
          </w:tcPr>
          <w:p>
            <w:r>
              <w:rPr>
                <w:sz w:val="20"/>
              </w:rPr>
              <w:t>12 ± 3%</w:t>
            </w:r>
          </w:p>
        </w:tc>
        <w:tc>
          <w:tcPr>
            <w:tcW w:type="dxa" w:w="1584"/>
          </w:tcPr>
          <w:p>
            <w:r>
              <w:rPr>
                <w:sz w:val="20"/>
              </w:rPr>
              <w:t>10 ± 2%</w:t>
            </w:r>
          </w:p>
        </w:tc>
        <w:tc>
          <w:tcPr>
            <w:tcW w:type="dxa" w:w="1584"/>
          </w:tcPr>
          <w:p>
            <w:r>
              <w:rPr>
                <w:sz w:val="20"/>
              </w:rPr>
              <w:t>8 ± 2%</w:t>
            </w:r>
          </w:p>
        </w:tc>
      </w:tr>
      <w:tr>
        <w:tc>
          <w:tcPr>
            <w:tcW w:type="dxa" w:w="1440"/>
          </w:tcPr>
          <w:p>
            <w:r>
              <w:rPr>
                <w:sz w:val="20"/>
              </w:rPr>
              <w:t>2 hours</w:t>
            </w:r>
          </w:p>
        </w:tc>
        <w:tc>
          <w:tcPr>
            <w:tcW w:type="dxa" w:w="1728"/>
          </w:tcPr>
          <w:p>
            <w:r>
              <w:rPr>
                <w:sz w:val="20"/>
              </w:rPr>
              <w:t>15–30%</w:t>
            </w:r>
          </w:p>
        </w:tc>
        <w:tc>
          <w:tcPr>
            <w:tcW w:type="dxa" w:w="1584"/>
          </w:tcPr>
          <w:p>
            <w:r>
              <w:rPr>
                <w:sz w:val="20"/>
              </w:rPr>
              <w:t>22 ± 4%</w:t>
            </w:r>
          </w:p>
        </w:tc>
        <w:tc>
          <w:tcPr>
            <w:tcW w:type="dxa" w:w="1584"/>
          </w:tcPr>
          <w:p>
            <w:r>
              <w:rPr>
                <w:sz w:val="20"/>
              </w:rPr>
              <w:t>20 ± 3%</w:t>
            </w:r>
          </w:p>
        </w:tc>
        <w:tc>
          <w:tcPr>
            <w:tcW w:type="dxa" w:w="1584"/>
          </w:tcPr>
          <w:p>
            <w:r>
              <w:rPr>
                <w:sz w:val="20"/>
              </w:rPr>
              <w:t>18 ± 3%</w:t>
            </w:r>
          </w:p>
        </w:tc>
      </w:tr>
      <w:tr>
        <w:tc>
          <w:tcPr>
            <w:tcW w:type="dxa" w:w="1440"/>
          </w:tcPr>
          <w:p>
            <w:r>
              <w:rPr>
                <w:sz w:val="20"/>
              </w:rPr>
              <w:t>4 hours</w:t>
            </w:r>
          </w:p>
        </w:tc>
        <w:tc>
          <w:tcPr>
            <w:tcW w:type="dxa" w:w="1728"/>
          </w:tcPr>
          <w:p>
            <w:r>
              <w:rPr>
                <w:sz w:val="20"/>
              </w:rPr>
              <w:t>30–50%</w:t>
            </w:r>
          </w:p>
        </w:tc>
        <w:tc>
          <w:tcPr>
            <w:tcW w:type="dxa" w:w="1584"/>
          </w:tcPr>
          <w:p>
            <w:r>
              <w:rPr>
                <w:sz w:val="20"/>
              </w:rPr>
              <w:t>38 ± 4%</w:t>
            </w:r>
          </w:p>
        </w:tc>
        <w:tc>
          <w:tcPr>
            <w:tcW w:type="dxa" w:w="1584"/>
          </w:tcPr>
          <w:p>
            <w:r>
              <w:rPr>
                <w:sz w:val="20"/>
              </w:rPr>
              <w:t>36 ± 3%</w:t>
            </w:r>
          </w:p>
        </w:tc>
        <w:tc>
          <w:tcPr>
            <w:tcW w:type="dxa" w:w="1584"/>
          </w:tcPr>
          <w:p>
            <w:r>
              <w:rPr>
                <w:sz w:val="20"/>
              </w:rPr>
              <w:t>34 ± 4%</w:t>
            </w:r>
          </w:p>
        </w:tc>
      </w:tr>
      <w:tr>
        <w:tc>
          <w:tcPr>
            <w:tcW w:type="dxa" w:w="1440"/>
          </w:tcPr>
          <w:p>
            <w:r>
              <w:rPr>
                <w:sz w:val="20"/>
              </w:rPr>
              <w:t>8 hours</w:t>
            </w:r>
          </w:p>
        </w:tc>
        <w:tc>
          <w:tcPr>
            <w:tcW w:type="dxa" w:w="1728"/>
          </w:tcPr>
          <w:p>
            <w:r>
              <w:rPr>
                <w:sz w:val="20"/>
              </w:rPr>
              <w:t>50–70%</w:t>
            </w:r>
          </w:p>
        </w:tc>
        <w:tc>
          <w:tcPr>
            <w:tcW w:type="dxa" w:w="1584"/>
          </w:tcPr>
          <w:p>
            <w:r>
              <w:rPr>
                <w:sz w:val="20"/>
              </w:rPr>
              <w:t>58 ± 5%</w:t>
            </w:r>
          </w:p>
        </w:tc>
        <w:tc>
          <w:tcPr>
            <w:tcW w:type="dxa" w:w="1584"/>
          </w:tcPr>
          <w:p>
            <w:r>
              <w:rPr>
                <w:sz w:val="20"/>
              </w:rPr>
              <w:t>56 ± 4%</w:t>
            </w:r>
          </w:p>
        </w:tc>
        <w:tc>
          <w:tcPr>
            <w:tcW w:type="dxa" w:w="1584"/>
          </w:tcPr>
          <w:p>
            <w:r>
              <w:rPr>
                <w:sz w:val="20"/>
              </w:rPr>
              <w:t>54 ± 4%</w:t>
            </w:r>
          </w:p>
        </w:tc>
      </w:tr>
      <w:tr>
        <w:tc>
          <w:tcPr>
            <w:tcW w:type="dxa" w:w="1440"/>
          </w:tcPr>
          <w:p>
            <w:r>
              <w:rPr>
                <w:sz w:val="20"/>
              </w:rPr>
              <w:t>12 hours</w:t>
            </w:r>
          </w:p>
        </w:tc>
        <w:tc>
          <w:tcPr>
            <w:tcW w:type="dxa" w:w="1728"/>
          </w:tcPr>
          <w:p>
            <w:r>
              <w:rPr>
                <w:sz w:val="20"/>
              </w:rPr>
              <w:t>65–85%</w:t>
            </w:r>
          </w:p>
        </w:tc>
        <w:tc>
          <w:tcPr>
            <w:tcW w:type="dxa" w:w="1584"/>
          </w:tcPr>
          <w:p>
            <w:r>
              <w:rPr>
                <w:sz w:val="20"/>
              </w:rPr>
              <w:t>76 ± 4%</w:t>
            </w:r>
          </w:p>
        </w:tc>
        <w:tc>
          <w:tcPr>
            <w:tcW w:type="dxa" w:w="1584"/>
          </w:tcPr>
          <w:p>
            <w:r>
              <w:rPr>
                <w:sz w:val="20"/>
              </w:rPr>
              <w:t>74 ± 4%</w:t>
            </w:r>
          </w:p>
        </w:tc>
        <w:tc>
          <w:tcPr>
            <w:tcW w:type="dxa" w:w="1584"/>
          </w:tcPr>
          <w:p>
            <w:r>
              <w:rPr>
                <w:sz w:val="20"/>
              </w:rPr>
              <w:t>72 ± 5%</w:t>
            </w:r>
          </w:p>
        </w:tc>
      </w:tr>
      <w:tr>
        <w:tc>
          <w:tcPr>
            <w:tcW w:type="dxa" w:w="1440"/>
          </w:tcPr>
          <w:p>
            <w:r>
              <w:rPr>
                <w:sz w:val="20"/>
              </w:rPr>
              <w:t>16 hours</w:t>
            </w:r>
          </w:p>
        </w:tc>
        <w:tc>
          <w:tcPr>
            <w:tcW w:type="dxa" w:w="1728"/>
          </w:tcPr>
          <w:p>
            <w:r>
              <w:rPr>
                <w:sz w:val="20"/>
              </w:rPr>
              <w:t>80–95%</w:t>
            </w:r>
          </w:p>
        </w:tc>
        <w:tc>
          <w:tcPr>
            <w:tcW w:type="dxa" w:w="1584"/>
          </w:tcPr>
          <w:p>
            <w:r>
              <w:rPr>
                <w:sz w:val="20"/>
              </w:rPr>
              <w:t>88 ± 3%</w:t>
            </w:r>
          </w:p>
        </w:tc>
        <w:tc>
          <w:tcPr>
            <w:tcW w:type="dxa" w:w="1584"/>
          </w:tcPr>
          <w:p>
            <w:r>
              <w:rPr>
                <w:sz w:val="20"/>
              </w:rPr>
              <w:t>86 ± 3%</w:t>
            </w:r>
          </w:p>
        </w:tc>
        <w:tc>
          <w:tcPr>
            <w:tcW w:type="dxa" w:w="1584"/>
          </w:tcPr>
          <w:p>
            <w:r>
              <w:rPr>
                <w:sz w:val="20"/>
              </w:rPr>
              <w:t>85 ± 4%</w:t>
            </w:r>
          </w:p>
        </w:tc>
      </w:tr>
      <w:tr>
        <w:tc>
          <w:tcPr>
            <w:tcW w:type="dxa" w:w="1440"/>
          </w:tcPr>
          <w:p>
            <w:r>
              <w:rPr>
                <w:sz w:val="20"/>
              </w:rPr>
              <w:t>20 hours</w:t>
            </w:r>
          </w:p>
        </w:tc>
        <w:tc>
          <w:tcPr>
            <w:tcW w:type="dxa" w:w="1728"/>
          </w:tcPr>
          <w:p>
            <w:r>
              <w:rPr>
                <w:sz w:val="20"/>
              </w:rPr>
              <w:t>NLT 90%</w:t>
            </w:r>
          </w:p>
        </w:tc>
        <w:tc>
          <w:tcPr>
            <w:tcW w:type="dxa" w:w="1584"/>
          </w:tcPr>
          <w:p>
            <w:r>
              <w:rPr>
                <w:sz w:val="20"/>
              </w:rPr>
              <w:t>95 ± 2%</w:t>
            </w:r>
          </w:p>
        </w:tc>
        <w:tc>
          <w:tcPr>
            <w:tcW w:type="dxa" w:w="1584"/>
          </w:tcPr>
          <w:p>
            <w:r>
              <w:rPr>
                <w:sz w:val="20"/>
              </w:rPr>
              <w:t>94 ± 2%</w:t>
            </w:r>
          </w:p>
        </w:tc>
        <w:tc>
          <w:tcPr>
            <w:tcW w:type="dxa" w:w="1584"/>
          </w:tcPr>
          <w:p>
            <w:r>
              <w:rPr>
                <w:sz w:val="20"/>
              </w:rPr>
              <w:t>93 ± 3%</w:t>
            </w:r>
          </w:p>
        </w:tc>
      </w:tr>
      <w:tr>
        <w:tc>
          <w:tcPr>
            <w:tcW w:type="dxa" w:w="1440"/>
          </w:tcPr>
          <w:p>
            <w:r>
              <w:rPr>
                <w:sz w:val="20"/>
              </w:rPr>
              <w:t>24 hours</w:t>
            </w:r>
          </w:p>
        </w:tc>
        <w:tc>
          <w:tcPr>
            <w:tcW w:type="dxa" w:w="1728"/>
          </w:tcPr>
          <w:p>
            <w:r>
              <w:rPr>
                <w:sz w:val="20"/>
              </w:rPr>
              <w:t>NLT 95%</w:t>
            </w:r>
          </w:p>
        </w:tc>
        <w:tc>
          <w:tcPr>
            <w:tcW w:type="dxa" w:w="1584"/>
          </w:tcPr>
          <w:p>
            <w:r>
              <w:rPr>
                <w:sz w:val="20"/>
              </w:rPr>
              <w:t>≥98%</w:t>
            </w:r>
          </w:p>
        </w:tc>
        <w:tc>
          <w:tcPr>
            <w:tcW w:type="dxa" w:w="1584"/>
          </w:tcPr>
          <w:p>
            <w:r>
              <w:rPr>
                <w:sz w:val="20"/>
              </w:rPr>
              <w:t>≥97%</w:t>
            </w:r>
          </w:p>
        </w:tc>
        <w:tc>
          <w:tcPr>
            <w:tcW w:type="dxa" w:w="1584"/>
          </w:tcPr>
          <w:p>
            <w:r>
              <w:rPr>
                <w:sz w:val="20"/>
              </w:rPr>
              <w:t>≥96%</w:t>
            </w:r>
          </w:p>
        </w:tc>
      </w:tr>
    </w:tbl>
    <w:p/>
    <w:p>
      <w:r>
        <w:t>NMT = Not more than; NLT = Not less than. USP Apparatus II (paddle), 50 rpm, 900 mL 0.1N HCl → pH 6.8 phosphate buffer.</w:t>
      </w:r>
    </w:p>
    <w:p>
      <w:pPr>
        <w:pStyle w:val="Heading2"/>
      </w:pPr>
      <w:r>
        <w:t>4.3 In Vitro–In Vivo Correlation (IVIVC)</w:t>
      </w:r>
    </w:p>
    <w:p>
      <w:r>
        <w:t>A Level A IVIVC was established between in vitro dissolution and in vivo absorption using deconvolution methods applied to single-dose pharmacokinetic data from Study CV-101. The correlation coefficient (R²) was 0.987, validating dissolution specifications as predictive of in vivo performance. (See CDR-CV-2026-001, Section 3.2 — Biopharmaceutics)</w:t>
      </w:r>
    </w:p>
    <w:p>
      <w:r>
        <w:br w:type="page"/>
      </w:r>
    </w:p>
    <w:p>
      <w:pPr>
        <w:pStyle w:val="Heading1"/>
      </w:pPr>
      <w:r>
        <w:t>5. Physicochemical and Stability Data</w:t>
      </w:r>
    </w:p>
    <w:p>
      <w:pPr>
        <w:pStyle w:val="Heading2"/>
      </w:pPr>
      <w:r>
        <w:t>5.1 Physicochemical Properties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shd w:fill="003366"/>
          </w:tcPr>
          <w:p>
            <w:pPr>
              <w:jc w:val="center"/>
            </w:pPr>
            <w:r>
              <w:rPr>
                <w:b/>
                <w:color w:val="FFFFFF"/>
                <w:sz w:val="20"/>
              </w:rPr>
              <w:t>Property</w:t>
            </w:r>
          </w:p>
        </w:tc>
        <w:tc>
          <w:tcPr>
            <w:tcW w:type="dxa" w:w="2880"/>
            <w:shd w:fill="003366"/>
          </w:tcPr>
          <w:p>
            <w:pPr>
              <w:jc w:val="center"/>
            </w:pPr>
            <w:r>
              <w:rPr>
                <w:b/>
                <w:color w:val="FFFFFF"/>
                <w:sz w:val="20"/>
              </w:rPr>
              <w:t>Value</w:t>
            </w:r>
          </w:p>
        </w:tc>
        <w:tc>
          <w:tcPr>
            <w:tcW w:type="dxa" w:w="2880"/>
            <w:shd w:fill="003366"/>
          </w:tcPr>
          <w:p>
            <w:pPr>
              <w:jc w:val="center"/>
            </w:pPr>
            <w:r>
              <w:rPr>
                <w:b/>
                <w:color w:val="FFFFFF"/>
                <w:sz w:val="20"/>
              </w:rPr>
              <w:t>Method</w:t>
            </w:r>
          </w:p>
        </w:tc>
      </w:tr>
      <w:tr>
        <w:tc>
          <w:tcPr>
            <w:tcW w:type="dxa" w:w="2880"/>
          </w:tcPr>
          <w:p>
            <w:r>
              <w:rPr>
                <w:sz w:val="20"/>
              </w:rPr>
              <w:t>Appearance</w:t>
            </w:r>
          </w:p>
        </w:tc>
        <w:tc>
          <w:tcPr>
            <w:tcW w:type="dxa" w:w="2880"/>
          </w:tcPr>
          <w:p>
            <w:r>
              <w:rPr>
                <w:sz w:val="20"/>
              </w:rPr>
              <w:t>White to off-white crystalline powder</w:t>
            </w:r>
          </w:p>
        </w:tc>
        <w:tc>
          <w:tcPr>
            <w:tcW w:type="dxa" w:w="2880"/>
          </w:tcPr>
          <w:p>
            <w:r>
              <w:rPr>
                <w:sz w:val="20"/>
              </w:rPr>
              <w:t>Visual / Ph.Eur. 2.2.1</w:t>
            </w:r>
          </w:p>
        </w:tc>
      </w:tr>
      <w:tr>
        <w:tc>
          <w:tcPr>
            <w:tcW w:type="dxa" w:w="2880"/>
          </w:tcPr>
          <w:p>
            <w:r>
              <w:rPr>
                <w:sz w:val="20"/>
              </w:rPr>
              <w:t>Melting Point</w:t>
            </w:r>
          </w:p>
        </w:tc>
        <w:tc>
          <w:tcPr>
            <w:tcW w:type="dxa" w:w="2880"/>
          </w:tcPr>
          <w:p>
            <w:r>
              <w:rPr>
                <w:sz w:val="20"/>
              </w:rPr>
              <w:t>136–140 °C</w:t>
            </w:r>
          </w:p>
        </w:tc>
        <w:tc>
          <w:tcPr>
            <w:tcW w:type="dxa" w:w="2880"/>
          </w:tcPr>
          <w:p>
            <w:r>
              <w:rPr>
                <w:sz w:val="20"/>
              </w:rPr>
              <w:t>DSC (10°C/min)</w:t>
            </w:r>
          </w:p>
        </w:tc>
      </w:tr>
      <w:tr>
        <w:tc>
          <w:tcPr>
            <w:tcW w:type="dxa" w:w="2880"/>
          </w:tcPr>
          <w:p>
            <w:r>
              <w:rPr>
                <w:sz w:val="20"/>
              </w:rPr>
              <w:t>pKa</w:t>
            </w:r>
          </w:p>
        </w:tc>
        <w:tc>
          <w:tcPr>
            <w:tcW w:type="dxa" w:w="2880"/>
          </w:tcPr>
          <w:p>
            <w:r>
              <w:rPr>
                <w:sz w:val="20"/>
              </w:rPr>
              <w:t>9.7 (free base)</w:t>
            </w:r>
          </w:p>
        </w:tc>
        <w:tc>
          <w:tcPr>
            <w:tcW w:type="dxa" w:w="2880"/>
          </w:tcPr>
          <w:p>
            <w:r>
              <w:rPr>
                <w:sz w:val="20"/>
              </w:rPr>
              <w:t>Potentiometric titration</w:t>
            </w:r>
          </w:p>
        </w:tc>
      </w:tr>
      <w:tr>
        <w:tc>
          <w:tcPr>
            <w:tcW w:type="dxa" w:w="2880"/>
          </w:tcPr>
          <w:p>
            <w:r>
              <w:rPr>
                <w:sz w:val="20"/>
              </w:rPr>
              <w:t>Log P (octanol/water)</w:t>
            </w:r>
          </w:p>
        </w:tc>
        <w:tc>
          <w:tcPr>
            <w:tcW w:type="dxa" w:w="2880"/>
          </w:tcPr>
          <w:p>
            <w:r>
              <w:rPr>
                <w:sz w:val="20"/>
              </w:rPr>
              <w:t>1.88</w:t>
            </w:r>
          </w:p>
        </w:tc>
        <w:tc>
          <w:tcPr>
            <w:tcW w:type="dxa" w:w="2880"/>
          </w:tcPr>
          <w:p>
            <w:r>
              <w:rPr>
                <w:sz w:val="20"/>
              </w:rPr>
              <w:t>Shake-flask (pH 7.4)</w:t>
            </w:r>
          </w:p>
        </w:tc>
      </w:tr>
      <w:tr>
        <w:tc>
          <w:tcPr>
            <w:tcW w:type="dxa" w:w="2880"/>
          </w:tcPr>
          <w:p>
            <w:r>
              <w:rPr>
                <w:sz w:val="20"/>
              </w:rPr>
              <w:t>Aqueous Solubility (pH 1.2)</w:t>
            </w:r>
          </w:p>
        </w:tc>
        <w:tc>
          <w:tcPr>
            <w:tcW w:type="dxa" w:w="2880"/>
          </w:tcPr>
          <w:p>
            <w:r>
              <w:rPr>
                <w:sz w:val="20"/>
              </w:rPr>
              <w:t>&gt;50 mg/mL</w:t>
            </w:r>
          </w:p>
        </w:tc>
        <w:tc>
          <w:tcPr>
            <w:tcW w:type="dxa" w:w="2880"/>
          </w:tcPr>
          <w:p>
            <w:r>
              <w:rPr>
                <w:sz w:val="20"/>
              </w:rPr>
              <w:t>Saturation shake-flask, 37°C</w:t>
            </w:r>
          </w:p>
        </w:tc>
      </w:tr>
      <w:tr>
        <w:tc>
          <w:tcPr>
            <w:tcW w:type="dxa" w:w="2880"/>
          </w:tcPr>
          <w:p>
            <w:r>
              <w:rPr>
                <w:sz w:val="20"/>
              </w:rPr>
              <w:t>Aqueous Solubility (pH 4.5)</w:t>
            </w:r>
          </w:p>
        </w:tc>
        <w:tc>
          <w:tcPr>
            <w:tcW w:type="dxa" w:w="2880"/>
          </w:tcPr>
          <w:p>
            <w:r>
              <w:rPr>
                <w:sz w:val="20"/>
              </w:rPr>
              <w:t>28.6 mg/mL</w:t>
            </w:r>
          </w:p>
        </w:tc>
        <w:tc>
          <w:tcPr>
            <w:tcW w:type="dxa" w:w="2880"/>
          </w:tcPr>
          <w:p>
            <w:r>
              <w:rPr>
                <w:sz w:val="20"/>
              </w:rPr>
              <w:t>Saturation shake-flask, 37°C</w:t>
            </w:r>
          </w:p>
        </w:tc>
      </w:tr>
      <w:tr>
        <w:tc>
          <w:tcPr>
            <w:tcW w:type="dxa" w:w="2880"/>
          </w:tcPr>
          <w:p>
            <w:r>
              <w:rPr>
                <w:sz w:val="20"/>
              </w:rPr>
              <w:t>Aqueous Solubility (pH 6.8)</w:t>
            </w:r>
          </w:p>
        </w:tc>
        <w:tc>
          <w:tcPr>
            <w:tcW w:type="dxa" w:w="2880"/>
          </w:tcPr>
          <w:p>
            <w:r>
              <w:rPr>
                <w:sz w:val="20"/>
              </w:rPr>
              <w:t>14.2 mg/mL</w:t>
            </w:r>
          </w:p>
        </w:tc>
        <w:tc>
          <w:tcPr>
            <w:tcW w:type="dxa" w:w="2880"/>
          </w:tcPr>
          <w:p>
            <w:r>
              <w:rPr>
                <w:sz w:val="20"/>
              </w:rPr>
              <w:t>Saturation shake-flask, 37°C</w:t>
            </w:r>
          </w:p>
        </w:tc>
      </w:tr>
      <w:tr>
        <w:tc>
          <w:tcPr>
            <w:tcW w:type="dxa" w:w="2880"/>
          </w:tcPr>
          <w:p>
            <w:r>
              <w:rPr>
                <w:sz w:val="20"/>
              </w:rPr>
              <w:t>Aqueous Solubility (pH 7.4)</w:t>
            </w:r>
          </w:p>
        </w:tc>
        <w:tc>
          <w:tcPr>
            <w:tcW w:type="dxa" w:w="2880"/>
          </w:tcPr>
          <w:p>
            <w:r>
              <w:rPr>
                <w:sz w:val="20"/>
              </w:rPr>
              <w:t>12.4 mg/mL</w:t>
            </w:r>
          </w:p>
        </w:tc>
        <w:tc>
          <w:tcPr>
            <w:tcW w:type="dxa" w:w="2880"/>
          </w:tcPr>
          <w:p>
            <w:r>
              <w:rPr>
                <w:sz w:val="20"/>
              </w:rPr>
              <w:t>Saturation shake-flask, 37°C</w:t>
            </w:r>
          </w:p>
        </w:tc>
      </w:tr>
      <w:tr>
        <w:tc>
          <w:tcPr>
            <w:tcW w:type="dxa" w:w="2880"/>
          </w:tcPr>
          <w:p>
            <w:r>
              <w:rPr>
                <w:sz w:val="20"/>
              </w:rPr>
              <w:t>Hygroscopicity</w:t>
            </w:r>
          </w:p>
        </w:tc>
        <w:tc>
          <w:tcPr>
            <w:tcW w:type="dxa" w:w="2880"/>
          </w:tcPr>
          <w:p>
            <w:r>
              <w:rPr>
                <w:sz w:val="20"/>
              </w:rPr>
              <w:t>&lt;0.1% w/w at 25°C/60% RH</w:t>
            </w:r>
          </w:p>
        </w:tc>
        <w:tc>
          <w:tcPr>
            <w:tcW w:type="dxa" w:w="2880"/>
          </w:tcPr>
          <w:p>
            <w:r>
              <w:rPr>
                <w:sz w:val="20"/>
              </w:rPr>
              <w:t>DVS (Dynamic Vapor Sorption)</w:t>
            </w:r>
          </w:p>
        </w:tc>
      </w:tr>
      <w:tr>
        <w:tc>
          <w:tcPr>
            <w:tcW w:type="dxa" w:w="2880"/>
          </w:tcPr>
          <w:p>
            <w:r>
              <w:rPr>
                <w:sz w:val="20"/>
              </w:rPr>
              <w:t>Polymorphism</w:t>
            </w:r>
          </w:p>
        </w:tc>
        <w:tc>
          <w:tcPr>
            <w:tcW w:type="dxa" w:w="2880"/>
          </w:tcPr>
          <w:p>
            <w:r>
              <w:rPr>
                <w:sz w:val="20"/>
              </w:rPr>
              <w:t>Form I (stable); no transitions to 120°C</w:t>
            </w:r>
          </w:p>
        </w:tc>
        <w:tc>
          <w:tcPr>
            <w:tcW w:type="dxa" w:w="2880"/>
          </w:tcPr>
          <w:p>
            <w:r>
              <w:rPr>
                <w:sz w:val="20"/>
              </w:rPr>
              <w:t>XRPD / DSC</w:t>
            </w:r>
          </w:p>
        </w:tc>
      </w:tr>
      <w:tr>
        <w:tc>
          <w:tcPr>
            <w:tcW w:type="dxa" w:w="2880"/>
          </w:tcPr>
          <w:p>
            <w:r>
              <w:rPr>
                <w:sz w:val="20"/>
              </w:rPr>
              <w:t>Particle Size (D50)</w:t>
            </w:r>
          </w:p>
        </w:tc>
        <w:tc>
          <w:tcPr>
            <w:tcW w:type="dxa" w:w="2880"/>
          </w:tcPr>
          <w:p>
            <w:r>
              <w:rPr>
                <w:sz w:val="20"/>
              </w:rPr>
              <w:t>18.4 µm</w:t>
            </w:r>
          </w:p>
        </w:tc>
        <w:tc>
          <w:tcPr>
            <w:tcW w:type="dxa" w:w="2880"/>
          </w:tcPr>
          <w:p>
            <w:r>
              <w:rPr>
                <w:sz w:val="20"/>
              </w:rPr>
              <w:t>Laser diffraction</w:t>
            </w:r>
          </w:p>
        </w:tc>
      </w:tr>
      <w:tr>
        <w:tc>
          <w:tcPr>
            <w:tcW w:type="dxa" w:w="2880"/>
          </w:tcPr>
          <w:p>
            <w:r>
              <w:rPr>
                <w:sz w:val="20"/>
              </w:rPr>
              <w:t>Specific Surface Area</w:t>
            </w:r>
          </w:p>
        </w:tc>
        <w:tc>
          <w:tcPr>
            <w:tcW w:type="dxa" w:w="2880"/>
          </w:tcPr>
          <w:p>
            <w:r>
              <w:rPr>
                <w:sz w:val="20"/>
              </w:rPr>
              <w:t>1.82 m²/g</w:t>
            </w:r>
          </w:p>
        </w:tc>
        <w:tc>
          <w:tcPr>
            <w:tcW w:type="dxa" w:w="2880"/>
          </w:tcPr>
          <w:p>
            <w:r>
              <w:rPr>
                <w:sz w:val="20"/>
              </w:rPr>
              <w:t>BET nitrogen adsorption</w:t>
            </w:r>
          </w:p>
        </w:tc>
      </w:tr>
      <w:tr>
        <w:tc>
          <w:tcPr>
            <w:tcW w:type="dxa" w:w="2880"/>
          </w:tcPr>
          <w:p>
            <w:r>
              <w:rPr>
                <w:sz w:val="20"/>
              </w:rPr>
              <w:t>Optical Rotation</w:t>
            </w:r>
          </w:p>
        </w:tc>
        <w:tc>
          <w:tcPr>
            <w:tcW w:type="dxa" w:w="2880"/>
          </w:tcPr>
          <w:p>
            <w:r>
              <w:rPr>
                <w:sz w:val="20"/>
              </w:rPr>
              <w:t>None (racemic)</w:t>
            </w:r>
          </w:p>
        </w:tc>
        <w:tc>
          <w:tcPr>
            <w:tcW w:type="dxa" w:w="2880"/>
          </w:tcPr>
          <w:p>
            <w:r>
              <w:rPr>
                <w:sz w:val="20"/>
              </w:rPr>
              <w:t>Polarimetry</w:t>
            </w:r>
          </w:p>
        </w:tc>
      </w:tr>
      <w:tr>
        <w:tc>
          <w:tcPr>
            <w:tcW w:type="dxa" w:w="2880"/>
          </w:tcPr>
          <w:p>
            <w:r>
              <w:rPr>
                <w:sz w:val="20"/>
              </w:rPr>
              <w:t>BCS Classification</w:t>
            </w:r>
          </w:p>
        </w:tc>
        <w:tc>
          <w:tcPr>
            <w:tcW w:type="dxa" w:w="2880"/>
          </w:tcPr>
          <w:p>
            <w:r>
              <w:rPr>
                <w:sz w:val="20"/>
              </w:rPr>
              <w:t>Class I (high solubility, high permeability)</w:t>
            </w:r>
          </w:p>
        </w:tc>
        <w:tc>
          <w:tcPr>
            <w:tcW w:type="dxa" w:w="2880"/>
          </w:tcPr>
          <w:p>
            <w:r>
              <w:rPr>
                <w:sz w:val="20"/>
              </w:rPr>
              <w:t>FDA guidance</w:t>
            </w:r>
          </w:p>
        </w:tc>
      </w:tr>
    </w:tbl>
    <w:p/>
    <w:p>
      <w:pPr>
        <w:pStyle w:val="Heading2"/>
      </w:pPr>
      <w:r>
        <w:t>5.2 Forced Degradation Summary</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003366"/>
          </w:tcPr>
          <w:p>
            <w:pPr>
              <w:jc w:val="center"/>
            </w:pPr>
            <w:r>
              <w:rPr>
                <w:b/>
                <w:color w:val="FFFFFF"/>
                <w:sz w:val="20"/>
              </w:rPr>
              <w:t>Stress Condition</w:t>
            </w:r>
          </w:p>
        </w:tc>
        <w:tc>
          <w:tcPr>
            <w:tcW w:type="dxa" w:w="1152"/>
            <w:shd w:fill="003366"/>
          </w:tcPr>
          <w:p>
            <w:pPr>
              <w:jc w:val="center"/>
            </w:pPr>
            <w:r>
              <w:rPr>
                <w:b/>
                <w:color w:val="FFFFFF"/>
                <w:sz w:val="20"/>
              </w:rPr>
              <w:t>Duration</w:t>
            </w:r>
          </w:p>
        </w:tc>
        <w:tc>
          <w:tcPr>
            <w:tcW w:type="dxa" w:w="1008"/>
            <w:shd w:fill="003366"/>
          </w:tcPr>
          <w:p>
            <w:pPr>
              <w:jc w:val="center"/>
            </w:pPr>
            <w:r>
              <w:rPr>
                <w:b/>
                <w:color w:val="FFFFFF"/>
                <w:sz w:val="20"/>
              </w:rPr>
              <w:t>Assay (%)</w:t>
            </w:r>
          </w:p>
        </w:tc>
        <w:tc>
          <w:tcPr>
            <w:tcW w:type="dxa" w:w="1872"/>
            <w:shd w:fill="003366"/>
          </w:tcPr>
          <w:p>
            <w:pPr>
              <w:jc w:val="center"/>
            </w:pPr>
            <w:r>
              <w:rPr>
                <w:b/>
                <w:color w:val="FFFFFF"/>
                <w:sz w:val="20"/>
              </w:rPr>
              <w:t>Max Individual Impurity</w:t>
            </w:r>
          </w:p>
        </w:tc>
        <w:tc>
          <w:tcPr>
            <w:tcW w:type="dxa" w:w="1296"/>
            <w:shd w:fill="003366"/>
          </w:tcPr>
          <w:p>
            <w:pPr>
              <w:jc w:val="center"/>
            </w:pPr>
            <w:r>
              <w:rPr>
                <w:b/>
                <w:color w:val="FFFFFF"/>
                <w:sz w:val="20"/>
              </w:rPr>
              <w:t>Total Impurities</w:t>
            </w:r>
          </w:p>
        </w:tc>
        <w:tc>
          <w:tcPr>
            <w:tcW w:type="dxa" w:w="1152"/>
            <w:shd w:fill="003366"/>
          </w:tcPr>
          <w:p>
            <w:pPr>
              <w:jc w:val="center"/>
            </w:pPr>
            <w:r>
              <w:rPr>
                <w:b/>
                <w:color w:val="FFFFFF"/>
                <w:sz w:val="20"/>
              </w:rPr>
              <w:t>Mass Balance</w:t>
            </w:r>
          </w:p>
        </w:tc>
      </w:tr>
      <w:tr>
        <w:tc>
          <w:tcPr>
            <w:tcW w:type="dxa" w:w="2160"/>
          </w:tcPr>
          <w:p>
            <w:r>
              <w:rPr>
                <w:sz w:val="20"/>
              </w:rPr>
              <w:t>Acid (0.1N HCl, 60°C)</w:t>
            </w:r>
          </w:p>
        </w:tc>
        <w:tc>
          <w:tcPr>
            <w:tcW w:type="dxa" w:w="1152"/>
          </w:tcPr>
          <w:p>
            <w:r>
              <w:rPr>
                <w:sz w:val="20"/>
              </w:rPr>
              <w:t>24 hours</w:t>
            </w:r>
          </w:p>
        </w:tc>
        <w:tc>
          <w:tcPr>
            <w:tcW w:type="dxa" w:w="1008"/>
          </w:tcPr>
          <w:p>
            <w:r>
              <w:rPr>
                <w:sz w:val="20"/>
              </w:rPr>
              <w:t>94.2%</w:t>
            </w:r>
          </w:p>
        </w:tc>
        <w:tc>
          <w:tcPr>
            <w:tcW w:type="dxa" w:w="1872"/>
          </w:tcPr>
          <w:p>
            <w:r>
              <w:rPr>
                <w:sz w:val="20"/>
              </w:rPr>
              <w:t>0.82% (Imp-A)</w:t>
            </w:r>
          </w:p>
        </w:tc>
        <w:tc>
          <w:tcPr>
            <w:tcW w:type="dxa" w:w="1296"/>
          </w:tcPr>
          <w:p>
            <w:r>
              <w:rPr>
                <w:sz w:val="20"/>
              </w:rPr>
              <w:t>2.46%</w:t>
            </w:r>
          </w:p>
        </w:tc>
        <w:tc>
          <w:tcPr>
            <w:tcW w:type="dxa" w:w="1152"/>
          </w:tcPr>
          <w:p>
            <w:r>
              <w:rPr>
                <w:sz w:val="20"/>
              </w:rPr>
              <w:t>96.7%</w:t>
            </w:r>
          </w:p>
        </w:tc>
      </w:tr>
      <w:tr>
        <w:tc>
          <w:tcPr>
            <w:tcW w:type="dxa" w:w="2160"/>
          </w:tcPr>
          <w:p>
            <w:r>
              <w:rPr>
                <w:sz w:val="20"/>
              </w:rPr>
              <w:t>Base (0.1N NaOH, 60°C)</w:t>
            </w:r>
          </w:p>
        </w:tc>
        <w:tc>
          <w:tcPr>
            <w:tcW w:type="dxa" w:w="1152"/>
          </w:tcPr>
          <w:p>
            <w:r>
              <w:rPr>
                <w:sz w:val="20"/>
              </w:rPr>
              <w:t>24 hours</w:t>
            </w:r>
          </w:p>
        </w:tc>
        <w:tc>
          <w:tcPr>
            <w:tcW w:type="dxa" w:w="1008"/>
          </w:tcPr>
          <w:p>
            <w:r>
              <w:rPr>
                <w:sz w:val="20"/>
              </w:rPr>
              <w:t>92.8%</w:t>
            </w:r>
          </w:p>
        </w:tc>
        <w:tc>
          <w:tcPr>
            <w:tcW w:type="dxa" w:w="1872"/>
          </w:tcPr>
          <w:p>
            <w:r>
              <w:rPr>
                <w:sz w:val="20"/>
              </w:rPr>
              <w:t>1.24% (Imp-B)</w:t>
            </w:r>
          </w:p>
        </w:tc>
        <w:tc>
          <w:tcPr>
            <w:tcW w:type="dxa" w:w="1296"/>
          </w:tcPr>
          <w:p>
            <w:r>
              <w:rPr>
                <w:sz w:val="20"/>
              </w:rPr>
              <w:t>3.86%</w:t>
            </w:r>
          </w:p>
        </w:tc>
        <w:tc>
          <w:tcPr>
            <w:tcW w:type="dxa" w:w="1152"/>
          </w:tcPr>
          <w:p>
            <w:r>
              <w:rPr>
                <w:sz w:val="20"/>
              </w:rPr>
              <w:t>96.7%</w:t>
            </w:r>
          </w:p>
        </w:tc>
      </w:tr>
      <w:tr>
        <w:tc>
          <w:tcPr>
            <w:tcW w:type="dxa" w:w="2160"/>
          </w:tcPr>
          <w:p>
            <w:r>
              <w:rPr>
                <w:sz w:val="20"/>
              </w:rPr>
              <w:t>Oxidative (3% H₂O₂, 25°C)</w:t>
            </w:r>
          </w:p>
        </w:tc>
        <w:tc>
          <w:tcPr>
            <w:tcW w:type="dxa" w:w="1152"/>
          </w:tcPr>
          <w:p>
            <w:r>
              <w:rPr>
                <w:sz w:val="20"/>
              </w:rPr>
              <w:t>24 hours</w:t>
            </w:r>
          </w:p>
        </w:tc>
        <w:tc>
          <w:tcPr>
            <w:tcW w:type="dxa" w:w="1008"/>
          </w:tcPr>
          <w:p>
            <w:r>
              <w:rPr>
                <w:sz w:val="20"/>
              </w:rPr>
              <w:t>96.4%</w:t>
            </w:r>
          </w:p>
        </w:tc>
        <w:tc>
          <w:tcPr>
            <w:tcW w:type="dxa" w:w="1872"/>
          </w:tcPr>
          <w:p>
            <w:r>
              <w:rPr>
                <w:sz w:val="20"/>
              </w:rPr>
              <w:t>0.68% (Imp-C)</w:t>
            </w:r>
          </w:p>
        </w:tc>
        <w:tc>
          <w:tcPr>
            <w:tcW w:type="dxa" w:w="1296"/>
          </w:tcPr>
          <w:p>
            <w:r>
              <w:rPr>
                <w:sz w:val="20"/>
              </w:rPr>
              <w:t>1.82%</w:t>
            </w:r>
          </w:p>
        </w:tc>
        <w:tc>
          <w:tcPr>
            <w:tcW w:type="dxa" w:w="1152"/>
          </w:tcPr>
          <w:p>
            <w:r>
              <w:rPr>
                <w:sz w:val="20"/>
              </w:rPr>
              <w:t>98.2%</w:t>
            </w:r>
          </w:p>
        </w:tc>
      </w:tr>
      <w:tr>
        <w:tc>
          <w:tcPr>
            <w:tcW w:type="dxa" w:w="2160"/>
          </w:tcPr>
          <w:p>
            <w:r>
              <w:rPr>
                <w:sz w:val="20"/>
              </w:rPr>
              <w:t>Thermal (80°C, dry)</w:t>
            </w:r>
          </w:p>
        </w:tc>
        <w:tc>
          <w:tcPr>
            <w:tcW w:type="dxa" w:w="1152"/>
          </w:tcPr>
          <w:p>
            <w:r>
              <w:rPr>
                <w:sz w:val="20"/>
              </w:rPr>
              <w:t>7 days</w:t>
            </w:r>
          </w:p>
        </w:tc>
        <w:tc>
          <w:tcPr>
            <w:tcW w:type="dxa" w:w="1008"/>
          </w:tcPr>
          <w:p>
            <w:r>
              <w:rPr>
                <w:sz w:val="20"/>
              </w:rPr>
              <w:t>98.6%</w:t>
            </w:r>
          </w:p>
        </w:tc>
        <w:tc>
          <w:tcPr>
            <w:tcW w:type="dxa" w:w="1872"/>
          </w:tcPr>
          <w:p>
            <w:r>
              <w:rPr>
                <w:sz w:val="20"/>
              </w:rPr>
              <w:t>0.22% (Imp-A)</w:t>
            </w:r>
          </w:p>
        </w:tc>
        <w:tc>
          <w:tcPr>
            <w:tcW w:type="dxa" w:w="1296"/>
          </w:tcPr>
          <w:p>
            <w:r>
              <w:rPr>
                <w:sz w:val="20"/>
              </w:rPr>
              <w:t>0.48%</w:t>
            </w:r>
          </w:p>
        </w:tc>
        <w:tc>
          <w:tcPr>
            <w:tcW w:type="dxa" w:w="1152"/>
          </w:tcPr>
          <w:p>
            <w:r>
              <w:rPr>
                <w:sz w:val="20"/>
              </w:rPr>
              <w:t>99.1%</w:t>
            </w:r>
          </w:p>
        </w:tc>
      </w:tr>
      <w:tr>
        <w:tc>
          <w:tcPr>
            <w:tcW w:type="dxa" w:w="2160"/>
          </w:tcPr>
          <w:p>
            <w:r>
              <w:rPr>
                <w:sz w:val="20"/>
              </w:rPr>
              <w:t>Photolytic (ICH Q1B)</w:t>
            </w:r>
          </w:p>
        </w:tc>
        <w:tc>
          <w:tcPr>
            <w:tcW w:type="dxa" w:w="1152"/>
          </w:tcPr>
          <w:p>
            <w:r>
              <w:rPr>
                <w:sz w:val="20"/>
              </w:rPr>
              <w:t>1.2M lux·hr</w:t>
            </w:r>
          </w:p>
        </w:tc>
        <w:tc>
          <w:tcPr>
            <w:tcW w:type="dxa" w:w="1008"/>
          </w:tcPr>
          <w:p>
            <w:r>
              <w:rPr>
                <w:sz w:val="20"/>
              </w:rPr>
              <w:t>97.8%</w:t>
            </w:r>
          </w:p>
        </w:tc>
        <w:tc>
          <w:tcPr>
            <w:tcW w:type="dxa" w:w="1872"/>
          </w:tcPr>
          <w:p>
            <w:r>
              <w:rPr>
                <w:sz w:val="20"/>
              </w:rPr>
              <w:t>0.34% (Imp-D)</w:t>
            </w:r>
          </w:p>
        </w:tc>
        <w:tc>
          <w:tcPr>
            <w:tcW w:type="dxa" w:w="1296"/>
          </w:tcPr>
          <w:p>
            <w:r>
              <w:rPr>
                <w:sz w:val="20"/>
              </w:rPr>
              <w:t>0.92%</w:t>
            </w:r>
          </w:p>
        </w:tc>
        <w:tc>
          <w:tcPr>
            <w:tcW w:type="dxa" w:w="1152"/>
          </w:tcPr>
          <w:p>
            <w:r>
              <w:rPr>
                <w:sz w:val="20"/>
              </w:rPr>
              <w:t>98.7%</w:t>
            </w:r>
          </w:p>
        </w:tc>
      </w:tr>
      <w:tr>
        <w:tc>
          <w:tcPr>
            <w:tcW w:type="dxa" w:w="2160"/>
          </w:tcPr>
          <w:p>
            <w:r>
              <w:rPr>
                <w:sz w:val="20"/>
              </w:rPr>
              <w:t>Humidity (75% RH, 40°C)</w:t>
            </w:r>
          </w:p>
        </w:tc>
        <w:tc>
          <w:tcPr>
            <w:tcW w:type="dxa" w:w="1152"/>
          </w:tcPr>
          <w:p>
            <w:r>
              <w:rPr>
                <w:sz w:val="20"/>
              </w:rPr>
              <w:t>7 days</w:t>
            </w:r>
          </w:p>
        </w:tc>
        <w:tc>
          <w:tcPr>
            <w:tcW w:type="dxa" w:w="1008"/>
          </w:tcPr>
          <w:p>
            <w:r>
              <w:rPr>
                <w:sz w:val="20"/>
              </w:rPr>
              <w:t>99.1%</w:t>
            </w:r>
          </w:p>
        </w:tc>
        <w:tc>
          <w:tcPr>
            <w:tcW w:type="dxa" w:w="1872"/>
          </w:tcPr>
          <w:p>
            <w:r>
              <w:rPr>
                <w:sz w:val="20"/>
              </w:rPr>
              <w:t>0.12% (Imp-A)</w:t>
            </w:r>
          </w:p>
        </w:tc>
        <w:tc>
          <w:tcPr>
            <w:tcW w:type="dxa" w:w="1296"/>
          </w:tcPr>
          <w:p>
            <w:r>
              <w:rPr>
                <w:sz w:val="20"/>
              </w:rPr>
              <w:t>0.24%</w:t>
            </w:r>
          </w:p>
        </w:tc>
        <w:tc>
          <w:tcPr>
            <w:tcW w:type="dxa" w:w="1152"/>
          </w:tcPr>
          <w:p>
            <w:r>
              <w:rPr>
                <w:sz w:val="20"/>
              </w:rPr>
              <w:t>99.3%</w:t>
            </w:r>
          </w:p>
        </w:tc>
      </w:tr>
    </w:tbl>
    <w:p/>
    <w:p>
      <w:pPr>
        <w:pStyle w:val="Heading2"/>
      </w:pPr>
      <w:r>
        <w:t>5.3 Long-Term and Accelerated Stability</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40"/>
            <w:shd w:fill="003366"/>
          </w:tcPr>
          <w:p>
            <w:pPr>
              <w:jc w:val="center"/>
            </w:pPr>
            <w:r>
              <w:rPr>
                <w:b/>
                <w:color w:val="FFFFFF"/>
                <w:sz w:val="20"/>
              </w:rPr>
              <w:t>Condition</w:t>
            </w:r>
          </w:p>
        </w:tc>
        <w:tc>
          <w:tcPr>
            <w:tcW w:type="dxa" w:w="1152"/>
            <w:shd w:fill="003366"/>
          </w:tcPr>
          <w:p>
            <w:pPr>
              <w:jc w:val="center"/>
            </w:pPr>
            <w:r>
              <w:rPr>
                <w:b/>
                <w:color w:val="FFFFFF"/>
                <w:sz w:val="20"/>
              </w:rPr>
              <w:t>Time Point</w:t>
            </w:r>
          </w:p>
        </w:tc>
        <w:tc>
          <w:tcPr>
            <w:tcW w:type="dxa" w:w="1008"/>
            <w:shd w:fill="003366"/>
          </w:tcPr>
          <w:p>
            <w:pPr>
              <w:jc w:val="center"/>
            </w:pPr>
            <w:r>
              <w:rPr>
                <w:b/>
                <w:color w:val="FFFFFF"/>
                <w:sz w:val="20"/>
              </w:rPr>
              <w:t>Assay (%)</w:t>
            </w:r>
          </w:p>
        </w:tc>
        <w:tc>
          <w:tcPr>
            <w:tcW w:type="dxa" w:w="1152"/>
            <w:shd w:fill="003366"/>
          </w:tcPr>
          <w:p>
            <w:pPr>
              <w:jc w:val="center"/>
            </w:pPr>
            <w:r>
              <w:rPr>
                <w:b/>
                <w:color w:val="FFFFFF"/>
                <w:sz w:val="20"/>
              </w:rPr>
              <w:t>Total Impurities</w:t>
            </w:r>
          </w:p>
        </w:tc>
        <w:tc>
          <w:tcPr>
            <w:tcW w:type="dxa" w:w="1152"/>
            <w:shd w:fill="003366"/>
          </w:tcPr>
          <w:p>
            <w:pPr>
              <w:jc w:val="center"/>
            </w:pPr>
            <w:r>
              <w:rPr>
                <w:b/>
                <w:color w:val="FFFFFF"/>
                <w:sz w:val="20"/>
              </w:rPr>
              <w:t>Dissolution (12h)</w:t>
            </w:r>
          </w:p>
        </w:tc>
        <w:tc>
          <w:tcPr>
            <w:tcW w:type="dxa" w:w="1008"/>
            <w:shd w:fill="003366"/>
          </w:tcPr>
          <w:p>
            <w:pPr>
              <w:jc w:val="center"/>
            </w:pPr>
            <w:r>
              <w:rPr>
                <w:b/>
                <w:color w:val="FFFFFF"/>
                <w:sz w:val="20"/>
              </w:rPr>
              <w:t>Appearance</w:t>
            </w:r>
          </w:p>
        </w:tc>
        <w:tc>
          <w:tcPr>
            <w:tcW w:type="dxa" w:w="1008"/>
            <w:shd w:fill="003366"/>
          </w:tcPr>
          <w:p>
            <w:pPr>
              <w:jc w:val="center"/>
            </w:pPr>
            <w:r>
              <w:rPr>
                <w:b/>
                <w:color w:val="FFFFFF"/>
                <w:sz w:val="20"/>
              </w:rPr>
              <w:t>Conclusion</w:t>
            </w:r>
          </w:p>
        </w:tc>
      </w:tr>
      <w:tr>
        <w:tc>
          <w:tcPr>
            <w:tcW w:type="dxa" w:w="1440"/>
          </w:tcPr>
          <w:p>
            <w:r>
              <w:rPr>
                <w:sz w:val="20"/>
              </w:rPr>
              <w:t>25°C/60% RH</w:t>
            </w:r>
          </w:p>
        </w:tc>
        <w:tc>
          <w:tcPr>
            <w:tcW w:type="dxa" w:w="1152"/>
          </w:tcPr>
          <w:p>
            <w:r>
              <w:rPr>
                <w:sz w:val="20"/>
              </w:rPr>
              <w:t>0 months</w:t>
            </w:r>
          </w:p>
        </w:tc>
        <w:tc>
          <w:tcPr>
            <w:tcW w:type="dxa" w:w="1008"/>
          </w:tcPr>
          <w:p>
            <w:r>
              <w:rPr>
                <w:sz w:val="20"/>
              </w:rPr>
              <w:t>100.0 ± 0.2</w:t>
            </w:r>
          </w:p>
        </w:tc>
        <w:tc>
          <w:tcPr>
            <w:tcW w:type="dxa" w:w="1152"/>
          </w:tcPr>
          <w:p>
            <w:r>
              <w:rPr>
                <w:sz w:val="20"/>
              </w:rPr>
              <w:t>0.08%</w:t>
            </w:r>
          </w:p>
        </w:tc>
        <w:tc>
          <w:tcPr>
            <w:tcW w:type="dxa" w:w="1152"/>
          </w:tcPr>
          <w:p>
            <w:r>
              <w:rPr>
                <w:sz w:val="20"/>
              </w:rPr>
              <w:t>74 ± 4%</w:t>
            </w:r>
          </w:p>
        </w:tc>
        <w:tc>
          <w:tcPr>
            <w:tcW w:type="dxa" w:w="1008"/>
          </w:tcPr>
          <w:p>
            <w:r>
              <w:rPr>
                <w:sz w:val="20"/>
              </w:rPr>
              <w:t>Complies</w:t>
            </w:r>
          </w:p>
        </w:tc>
        <w:tc>
          <w:tcPr>
            <w:tcW w:type="dxa" w:w="1008"/>
          </w:tcPr>
          <w:p>
            <w:r>
              <w:rPr>
                <w:sz w:val="20"/>
              </w:rPr>
              <w:t>Initial</w:t>
            </w:r>
          </w:p>
        </w:tc>
      </w:tr>
      <w:tr>
        <w:tc>
          <w:tcPr>
            <w:tcW w:type="dxa" w:w="1440"/>
          </w:tcPr>
          <w:p>
            <w:r>
              <w:rPr>
                <w:sz w:val="20"/>
              </w:rPr>
              <w:t>25°C/60% RH</w:t>
            </w:r>
          </w:p>
        </w:tc>
        <w:tc>
          <w:tcPr>
            <w:tcW w:type="dxa" w:w="1152"/>
          </w:tcPr>
          <w:p>
            <w:r>
              <w:rPr>
                <w:sz w:val="20"/>
              </w:rPr>
              <w:t>6 months</w:t>
            </w:r>
          </w:p>
        </w:tc>
        <w:tc>
          <w:tcPr>
            <w:tcW w:type="dxa" w:w="1008"/>
          </w:tcPr>
          <w:p>
            <w:r>
              <w:rPr>
                <w:sz w:val="20"/>
              </w:rPr>
              <w:t>99.8 ± 0.3</w:t>
            </w:r>
          </w:p>
        </w:tc>
        <w:tc>
          <w:tcPr>
            <w:tcW w:type="dxa" w:w="1152"/>
          </w:tcPr>
          <w:p>
            <w:r>
              <w:rPr>
                <w:sz w:val="20"/>
              </w:rPr>
              <w:t>0.10%</w:t>
            </w:r>
          </w:p>
        </w:tc>
        <w:tc>
          <w:tcPr>
            <w:tcW w:type="dxa" w:w="1152"/>
          </w:tcPr>
          <w:p>
            <w:r>
              <w:rPr>
                <w:sz w:val="20"/>
              </w:rPr>
              <w:t>74 ± 4%</w:t>
            </w:r>
          </w:p>
        </w:tc>
        <w:tc>
          <w:tcPr>
            <w:tcW w:type="dxa" w:w="1008"/>
          </w:tcPr>
          <w:p>
            <w:r>
              <w:rPr>
                <w:sz w:val="20"/>
              </w:rPr>
              <w:t>Complies</w:t>
            </w:r>
          </w:p>
        </w:tc>
        <w:tc>
          <w:tcPr>
            <w:tcW w:type="dxa" w:w="1008"/>
          </w:tcPr>
          <w:p>
            <w:r>
              <w:rPr>
                <w:sz w:val="20"/>
              </w:rPr>
              <w:t>Pass</w:t>
            </w:r>
          </w:p>
        </w:tc>
      </w:tr>
      <w:tr>
        <w:tc>
          <w:tcPr>
            <w:tcW w:type="dxa" w:w="1440"/>
          </w:tcPr>
          <w:p>
            <w:r>
              <w:rPr>
                <w:sz w:val="20"/>
              </w:rPr>
              <w:t>25°C/60% RH</w:t>
            </w:r>
          </w:p>
        </w:tc>
        <w:tc>
          <w:tcPr>
            <w:tcW w:type="dxa" w:w="1152"/>
          </w:tcPr>
          <w:p>
            <w:r>
              <w:rPr>
                <w:sz w:val="20"/>
              </w:rPr>
              <w:t>12 months</w:t>
            </w:r>
          </w:p>
        </w:tc>
        <w:tc>
          <w:tcPr>
            <w:tcW w:type="dxa" w:w="1008"/>
          </w:tcPr>
          <w:p>
            <w:r>
              <w:rPr>
                <w:sz w:val="20"/>
              </w:rPr>
              <w:t>99.6 ± 0.3</w:t>
            </w:r>
          </w:p>
        </w:tc>
        <w:tc>
          <w:tcPr>
            <w:tcW w:type="dxa" w:w="1152"/>
          </w:tcPr>
          <w:p>
            <w:r>
              <w:rPr>
                <w:sz w:val="20"/>
              </w:rPr>
              <w:t>0.12%</w:t>
            </w:r>
          </w:p>
        </w:tc>
        <w:tc>
          <w:tcPr>
            <w:tcW w:type="dxa" w:w="1152"/>
          </w:tcPr>
          <w:p>
            <w:r>
              <w:rPr>
                <w:sz w:val="20"/>
              </w:rPr>
              <w:t>73 ± 4%</w:t>
            </w:r>
          </w:p>
        </w:tc>
        <w:tc>
          <w:tcPr>
            <w:tcW w:type="dxa" w:w="1008"/>
          </w:tcPr>
          <w:p>
            <w:r>
              <w:rPr>
                <w:sz w:val="20"/>
              </w:rPr>
              <w:t>Complies</w:t>
            </w:r>
          </w:p>
        </w:tc>
        <w:tc>
          <w:tcPr>
            <w:tcW w:type="dxa" w:w="1008"/>
          </w:tcPr>
          <w:p>
            <w:r>
              <w:rPr>
                <w:sz w:val="20"/>
              </w:rPr>
              <w:t>Pass</w:t>
            </w:r>
          </w:p>
        </w:tc>
      </w:tr>
      <w:tr>
        <w:tc>
          <w:tcPr>
            <w:tcW w:type="dxa" w:w="1440"/>
          </w:tcPr>
          <w:p>
            <w:r>
              <w:rPr>
                <w:sz w:val="20"/>
              </w:rPr>
              <w:t>25°C/60% RH</w:t>
            </w:r>
          </w:p>
        </w:tc>
        <w:tc>
          <w:tcPr>
            <w:tcW w:type="dxa" w:w="1152"/>
          </w:tcPr>
          <w:p>
            <w:r>
              <w:rPr>
                <w:sz w:val="20"/>
              </w:rPr>
              <w:t>24 months</w:t>
            </w:r>
          </w:p>
        </w:tc>
        <w:tc>
          <w:tcPr>
            <w:tcW w:type="dxa" w:w="1008"/>
          </w:tcPr>
          <w:p>
            <w:r>
              <w:rPr>
                <w:sz w:val="20"/>
              </w:rPr>
              <w:t>99.4 ± 0.3</w:t>
            </w:r>
          </w:p>
        </w:tc>
        <w:tc>
          <w:tcPr>
            <w:tcW w:type="dxa" w:w="1152"/>
          </w:tcPr>
          <w:p>
            <w:r>
              <w:rPr>
                <w:sz w:val="20"/>
              </w:rPr>
              <w:t>0.14%</w:t>
            </w:r>
          </w:p>
        </w:tc>
        <w:tc>
          <w:tcPr>
            <w:tcW w:type="dxa" w:w="1152"/>
          </w:tcPr>
          <w:p>
            <w:r>
              <w:rPr>
                <w:sz w:val="20"/>
              </w:rPr>
              <w:t>73 ± 5%</w:t>
            </w:r>
          </w:p>
        </w:tc>
        <w:tc>
          <w:tcPr>
            <w:tcW w:type="dxa" w:w="1008"/>
          </w:tcPr>
          <w:p>
            <w:r>
              <w:rPr>
                <w:sz w:val="20"/>
              </w:rPr>
              <w:t>Complies</w:t>
            </w:r>
          </w:p>
        </w:tc>
        <w:tc>
          <w:tcPr>
            <w:tcW w:type="dxa" w:w="1008"/>
          </w:tcPr>
          <w:p>
            <w:r>
              <w:rPr>
                <w:sz w:val="20"/>
              </w:rPr>
              <w:t>Pass</w:t>
            </w:r>
          </w:p>
        </w:tc>
      </w:tr>
      <w:tr>
        <w:tc>
          <w:tcPr>
            <w:tcW w:type="dxa" w:w="1440"/>
          </w:tcPr>
          <w:p>
            <w:r>
              <w:rPr>
                <w:sz w:val="20"/>
              </w:rPr>
              <w:t>25°C/60% RH</w:t>
            </w:r>
          </w:p>
        </w:tc>
        <w:tc>
          <w:tcPr>
            <w:tcW w:type="dxa" w:w="1152"/>
          </w:tcPr>
          <w:p>
            <w:r>
              <w:rPr>
                <w:sz w:val="20"/>
              </w:rPr>
              <w:t>36 months</w:t>
            </w:r>
          </w:p>
        </w:tc>
        <w:tc>
          <w:tcPr>
            <w:tcW w:type="dxa" w:w="1008"/>
          </w:tcPr>
          <w:p>
            <w:r>
              <w:rPr>
                <w:sz w:val="20"/>
              </w:rPr>
              <w:t>99.1 ± 0.3</w:t>
            </w:r>
          </w:p>
        </w:tc>
        <w:tc>
          <w:tcPr>
            <w:tcW w:type="dxa" w:w="1152"/>
          </w:tcPr>
          <w:p>
            <w:r>
              <w:rPr>
                <w:sz w:val="20"/>
              </w:rPr>
              <w:t>0.15%</w:t>
            </w:r>
          </w:p>
        </w:tc>
        <w:tc>
          <w:tcPr>
            <w:tcW w:type="dxa" w:w="1152"/>
          </w:tcPr>
          <w:p>
            <w:r>
              <w:rPr>
                <w:sz w:val="20"/>
              </w:rPr>
              <w:t>72 ± 4%</w:t>
            </w:r>
          </w:p>
        </w:tc>
        <w:tc>
          <w:tcPr>
            <w:tcW w:type="dxa" w:w="1008"/>
          </w:tcPr>
          <w:p>
            <w:r>
              <w:rPr>
                <w:sz w:val="20"/>
              </w:rPr>
              <w:t>Complies</w:t>
            </w:r>
          </w:p>
        </w:tc>
        <w:tc>
          <w:tcPr>
            <w:tcW w:type="dxa" w:w="1008"/>
          </w:tcPr>
          <w:p>
            <w:r>
              <w:rPr>
                <w:sz w:val="20"/>
              </w:rPr>
              <w:t>Pass</w:t>
            </w:r>
          </w:p>
        </w:tc>
      </w:tr>
      <w:tr>
        <w:tc>
          <w:tcPr>
            <w:tcW w:type="dxa" w:w="1440"/>
          </w:tcPr>
          <w:p>
            <w:r>
              <w:rPr>
                <w:sz w:val="20"/>
              </w:rPr>
              <w:t>30°C/65% RH</w:t>
            </w:r>
          </w:p>
        </w:tc>
        <w:tc>
          <w:tcPr>
            <w:tcW w:type="dxa" w:w="1152"/>
          </w:tcPr>
          <w:p>
            <w:r>
              <w:rPr>
                <w:sz w:val="20"/>
              </w:rPr>
              <w:t>12 months</w:t>
            </w:r>
          </w:p>
        </w:tc>
        <w:tc>
          <w:tcPr>
            <w:tcW w:type="dxa" w:w="1008"/>
          </w:tcPr>
          <w:p>
            <w:r>
              <w:rPr>
                <w:sz w:val="20"/>
              </w:rPr>
              <w:t>98.8 ± 0.4</w:t>
            </w:r>
          </w:p>
        </w:tc>
        <w:tc>
          <w:tcPr>
            <w:tcW w:type="dxa" w:w="1152"/>
          </w:tcPr>
          <w:p>
            <w:r>
              <w:rPr>
                <w:sz w:val="20"/>
              </w:rPr>
              <w:t>0.20%</w:t>
            </w:r>
          </w:p>
        </w:tc>
        <w:tc>
          <w:tcPr>
            <w:tcW w:type="dxa" w:w="1152"/>
          </w:tcPr>
          <w:p>
            <w:r>
              <w:rPr>
                <w:sz w:val="20"/>
              </w:rPr>
              <w:t>72 ± 4%</w:t>
            </w:r>
          </w:p>
        </w:tc>
        <w:tc>
          <w:tcPr>
            <w:tcW w:type="dxa" w:w="1008"/>
          </w:tcPr>
          <w:p>
            <w:r>
              <w:rPr>
                <w:sz w:val="20"/>
              </w:rPr>
              <w:t>Complies</w:t>
            </w:r>
          </w:p>
        </w:tc>
        <w:tc>
          <w:tcPr>
            <w:tcW w:type="dxa" w:w="1008"/>
          </w:tcPr>
          <w:p>
            <w:r>
              <w:rPr>
                <w:sz w:val="20"/>
              </w:rPr>
              <w:t>Pass</w:t>
            </w:r>
          </w:p>
        </w:tc>
      </w:tr>
      <w:tr>
        <w:tc>
          <w:tcPr>
            <w:tcW w:type="dxa" w:w="1440"/>
          </w:tcPr>
          <w:p>
            <w:r>
              <w:rPr>
                <w:sz w:val="20"/>
              </w:rPr>
              <w:t>40°C/75% RH</w:t>
            </w:r>
          </w:p>
        </w:tc>
        <w:tc>
          <w:tcPr>
            <w:tcW w:type="dxa" w:w="1152"/>
          </w:tcPr>
          <w:p>
            <w:r>
              <w:rPr>
                <w:sz w:val="20"/>
              </w:rPr>
              <w:t>3 months</w:t>
            </w:r>
          </w:p>
        </w:tc>
        <w:tc>
          <w:tcPr>
            <w:tcW w:type="dxa" w:w="1008"/>
          </w:tcPr>
          <w:p>
            <w:r>
              <w:rPr>
                <w:sz w:val="20"/>
              </w:rPr>
              <w:t>98.6 ± 0.4</w:t>
            </w:r>
          </w:p>
        </w:tc>
        <w:tc>
          <w:tcPr>
            <w:tcW w:type="dxa" w:w="1152"/>
          </w:tcPr>
          <w:p>
            <w:r>
              <w:rPr>
                <w:sz w:val="20"/>
              </w:rPr>
              <w:t>0.28%</w:t>
            </w:r>
          </w:p>
        </w:tc>
        <w:tc>
          <w:tcPr>
            <w:tcW w:type="dxa" w:w="1152"/>
          </w:tcPr>
          <w:p>
            <w:r>
              <w:rPr>
                <w:sz w:val="20"/>
              </w:rPr>
              <w:t>71 ± 4%</w:t>
            </w:r>
          </w:p>
        </w:tc>
        <w:tc>
          <w:tcPr>
            <w:tcW w:type="dxa" w:w="1008"/>
          </w:tcPr>
          <w:p>
            <w:r>
              <w:rPr>
                <w:sz w:val="20"/>
              </w:rPr>
              <w:t>Complies</w:t>
            </w:r>
          </w:p>
        </w:tc>
        <w:tc>
          <w:tcPr>
            <w:tcW w:type="dxa" w:w="1008"/>
          </w:tcPr>
          <w:p>
            <w:r>
              <w:rPr>
                <w:sz w:val="20"/>
              </w:rPr>
              <w:t>Pass</w:t>
            </w:r>
          </w:p>
        </w:tc>
      </w:tr>
      <w:tr>
        <w:tc>
          <w:tcPr>
            <w:tcW w:type="dxa" w:w="1440"/>
          </w:tcPr>
          <w:p>
            <w:r>
              <w:rPr>
                <w:sz w:val="20"/>
              </w:rPr>
              <w:t>40°C/75% RH</w:t>
            </w:r>
          </w:p>
        </w:tc>
        <w:tc>
          <w:tcPr>
            <w:tcW w:type="dxa" w:w="1152"/>
          </w:tcPr>
          <w:p>
            <w:r>
              <w:rPr>
                <w:sz w:val="20"/>
              </w:rPr>
              <w:t>6 months</w:t>
            </w:r>
          </w:p>
        </w:tc>
        <w:tc>
          <w:tcPr>
            <w:tcW w:type="dxa" w:w="1008"/>
          </w:tcPr>
          <w:p>
            <w:r>
              <w:rPr>
                <w:sz w:val="20"/>
              </w:rPr>
              <w:t>98.2 ± 0.5</w:t>
            </w:r>
          </w:p>
        </w:tc>
        <w:tc>
          <w:tcPr>
            <w:tcW w:type="dxa" w:w="1152"/>
          </w:tcPr>
          <w:p>
            <w:r>
              <w:rPr>
                <w:sz w:val="20"/>
              </w:rPr>
              <w:t>0.35%</w:t>
            </w:r>
          </w:p>
        </w:tc>
        <w:tc>
          <w:tcPr>
            <w:tcW w:type="dxa" w:w="1152"/>
          </w:tcPr>
          <w:p>
            <w:r>
              <w:rPr>
                <w:sz w:val="20"/>
              </w:rPr>
              <w:t>70 ± 5%</w:t>
            </w:r>
          </w:p>
        </w:tc>
        <w:tc>
          <w:tcPr>
            <w:tcW w:type="dxa" w:w="1008"/>
          </w:tcPr>
          <w:p>
            <w:r>
              <w:rPr>
                <w:sz w:val="20"/>
              </w:rPr>
              <w:t>Complies</w:t>
            </w:r>
          </w:p>
        </w:tc>
        <w:tc>
          <w:tcPr>
            <w:tcW w:type="dxa" w:w="1008"/>
          </w:tcPr>
          <w:p>
            <w:r>
              <w:rPr>
                <w:sz w:val="20"/>
              </w:rPr>
              <w:t>Pass</w:t>
            </w:r>
          </w:p>
        </w:tc>
      </w:tr>
    </w:tbl>
    <w:p/>
    <w:p>
      <w:r>
        <w:t>Proposed shelf life: 36 months at 20–25°C in original container.</w:t>
      </w:r>
    </w:p>
    <w:p>
      <w:r>
        <w:br w:type="page"/>
      </w:r>
    </w:p>
    <w:p>
      <w:pPr>
        <w:pStyle w:val="Heading1"/>
      </w:pPr>
      <w:r>
        <w:t>6. Mechanism of Action and Receptor Pharmacology</w:t>
      </w:r>
    </w:p>
    <w:p>
      <w:r>
        <w:t>Cardivex® competitively and reversibly inhibits beta-1 (β₁) adrenergic receptors, blocking catecholamine-mediated cardiac stimulation. The therapeutic consequences of β₁ blockade include:</w:t>
      </w:r>
    </w:p>
    <w:p>
      <w:pPr>
        <w:pStyle w:val="ListBullet"/>
      </w:pPr>
      <w:r>
        <w:t>Negative chronotropy: Reduction in resting and exercise heart rate (12–18 bpm at steady state)</w:t>
      </w:r>
    </w:p>
    <w:p>
      <w:pPr>
        <w:pStyle w:val="ListBullet"/>
      </w:pPr>
      <w:r>
        <w:t>Negative inotropy: Decreased myocardial contractility, reducing oxygen demand</w:t>
      </w:r>
    </w:p>
    <w:p>
      <w:pPr>
        <w:pStyle w:val="ListBullet"/>
      </w:pPr>
      <w:r>
        <w:t>Suppression of renin secretion: 54% reduction in plasma renin activity at 100 mg dose</w:t>
      </w:r>
    </w:p>
    <w:p>
      <w:pPr>
        <w:pStyle w:val="ListBullet"/>
      </w:pPr>
      <w:r>
        <w:t>Neurohormonal modulation: Attenuation of sympathetic overdrive in heart failure</w:t>
      </w:r>
    </w:p>
    <w:p>
      <w:pPr>
        <w:pStyle w:val="ListBullet"/>
      </w:pPr>
      <w:r>
        <w:t>Cardiac remodeling reversal: β₁-receptor upregulation during chronic therapy restoring receptor density</w:t>
      </w:r>
    </w:p>
    <w:p>
      <w:pPr>
        <w:pStyle w:val="ListBullet"/>
      </w:pPr>
      <w:r>
        <w:t>Anti-arrhythmic effect: Stabilization of cardiac membrane potential via reduced automaticity</w:t>
      </w:r>
    </w:p>
    <w:p>
      <w:pPr>
        <w:pStyle w:val="Heading2"/>
      </w:pPr>
      <w:r>
        <w:t>6.1 Comparative Receptor Binding Profile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28"/>
            <w:shd w:fill="003366"/>
          </w:tcPr>
          <w:p>
            <w:pPr>
              <w:jc w:val="center"/>
            </w:pPr>
            <w:r>
              <w:rPr>
                <w:b/>
                <w:color w:val="FFFFFF"/>
                <w:sz w:val="20"/>
              </w:rPr>
              <w:t>Receptor Subtype</w:t>
            </w:r>
          </w:p>
        </w:tc>
        <w:tc>
          <w:tcPr>
            <w:tcW w:type="dxa" w:w="1152"/>
            <w:shd w:fill="003366"/>
          </w:tcPr>
          <w:p>
            <w:pPr>
              <w:jc w:val="center"/>
            </w:pPr>
            <w:r>
              <w:rPr>
                <w:b/>
                <w:color w:val="FFFFFF"/>
                <w:sz w:val="20"/>
              </w:rPr>
              <w:t>Ki (nM)</w:t>
            </w:r>
          </w:p>
        </w:tc>
        <w:tc>
          <w:tcPr>
            <w:tcW w:type="dxa" w:w="1152"/>
            <w:shd w:fill="003366"/>
          </w:tcPr>
          <w:p>
            <w:pPr>
              <w:jc w:val="center"/>
            </w:pPr>
            <w:r>
              <w:rPr>
                <w:b/>
                <w:color w:val="FFFFFF"/>
                <w:sz w:val="20"/>
              </w:rPr>
              <w:t>Selectivity vs β₁</w:t>
            </w:r>
          </w:p>
        </w:tc>
        <w:tc>
          <w:tcPr>
            <w:tcW w:type="dxa" w:w="2304"/>
            <w:shd w:fill="003366"/>
          </w:tcPr>
          <w:p>
            <w:pPr>
              <w:jc w:val="center"/>
            </w:pPr>
            <w:r>
              <w:rPr>
                <w:b/>
                <w:color w:val="FFFFFF"/>
                <w:sz w:val="20"/>
              </w:rPr>
              <w:t>Competitor A (Metoprolol)</w:t>
            </w:r>
          </w:p>
        </w:tc>
        <w:tc>
          <w:tcPr>
            <w:tcW w:type="dxa" w:w="2304"/>
            <w:shd w:fill="003366"/>
          </w:tcPr>
          <w:p>
            <w:pPr>
              <w:jc w:val="center"/>
            </w:pPr>
            <w:r>
              <w:rPr>
                <w:b/>
                <w:color w:val="FFFFFF"/>
                <w:sz w:val="20"/>
              </w:rPr>
              <w:t>Competitor B (Bisoprolol)</w:t>
            </w:r>
          </w:p>
        </w:tc>
      </w:tr>
      <w:tr>
        <w:tc>
          <w:tcPr>
            <w:tcW w:type="dxa" w:w="1728"/>
          </w:tcPr>
          <w:p>
            <w:r>
              <w:rPr>
                <w:sz w:val="20"/>
              </w:rPr>
              <w:t>β₁-Adrenergic</w:t>
            </w:r>
          </w:p>
        </w:tc>
        <w:tc>
          <w:tcPr>
            <w:tcW w:type="dxa" w:w="1152"/>
          </w:tcPr>
          <w:p>
            <w:r>
              <w:rPr>
                <w:sz w:val="20"/>
              </w:rPr>
              <w:t>2.4 ± 0.3</w:t>
            </w:r>
          </w:p>
        </w:tc>
        <w:tc>
          <w:tcPr>
            <w:tcW w:type="dxa" w:w="1152"/>
          </w:tcPr>
          <w:p>
            <w:r>
              <w:rPr>
                <w:sz w:val="20"/>
              </w:rPr>
              <w:t>1 (ref)</w:t>
            </w:r>
          </w:p>
        </w:tc>
        <w:tc>
          <w:tcPr>
            <w:tcW w:type="dxa" w:w="2304"/>
          </w:tcPr>
          <w:p>
            <w:r>
              <w:rPr>
                <w:sz w:val="20"/>
              </w:rPr>
              <w:t>4.8 ± 0.6 (1:75)</w:t>
            </w:r>
          </w:p>
        </w:tc>
        <w:tc>
          <w:tcPr>
            <w:tcW w:type="dxa" w:w="2304"/>
          </w:tcPr>
          <w:p>
            <w:r>
              <w:rPr>
                <w:sz w:val="20"/>
              </w:rPr>
              <w:t>3.6 ± 0.4 (1:120)</w:t>
            </w:r>
          </w:p>
        </w:tc>
      </w:tr>
      <w:tr>
        <w:tc>
          <w:tcPr>
            <w:tcW w:type="dxa" w:w="1728"/>
          </w:tcPr>
          <w:p>
            <w:r>
              <w:rPr>
                <w:sz w:val="20"/>
              </w:rPr>
              <w:t>β₂-Adrenergic</w:t>
            </w:r>
          </w:p>
        </w:tc>
        <w:tc>
          <w:tcPr>
            <w:tcW w:type="dxa" w:w="1152"/>
          </w:tcPr>
          <w:p>
            <w:r>
              <w:rPr>
                <w:sz w:val="20"/>
              </w:rPr>
              <w:t>912 ± 87</w:t>
            </w:r>
          </w:p>
        </w:tc>
        <w:tc>
          <w:tcPr>
            <w:tcW w:type="dxa" w:w="1152"/>
          </w:tcPr>
          <w:p>
            <w:r>
              <w:rPr>
                <w:sz w:val="20"/>
              </w:rPr>
              <w:t>1:380</w:t>
            </w:r>
          </w:p>
        </w:tc>
        <w:tc>
          <w:tcPr>
            <w:tcW w:type="dxa" w:w="2304"/>
          </w:tcPr>
          <w:p>
            <w:r>
              <w:rPr>
                <w:sz w:val="20"/>
              </w:rPr>
              <w:t>360 ± 42</w:t>
            </w:r>
          </w:p>
        </w:tc>
        <w:tc>
          <w:tcPr>
            <w:tcW w:type="dxa" w:w="2304"/>
          </w:tcPr>
          <w:p>
            <w:r>
              <w:rPr>
                <w:sz w:val="20"/>
              </w:rPr>
              <w:t>432 ± 48</w:t>
            </w:r>
          </w:p>
        </w:tc>
      </w:tr>
      <w:tr>
        <w:tc>
          <w:tcPr>
            <w:tcW w:type="dxa" w:w="1728"/>
          </w:tcPr>
          <w:p>
            <w:r>
              <w:rPr>
                <w:sz w:val="20"/>
              </w:rPr>
              <w:t>β₃-Adrenergic</w:t>
            </w:r>
          </w:p>
        </w:tc>
        <w:tc>
          <w:tcPr>
            <w:tcW w:type="dxa" w:w="1152"/>
          </w:tcPr>
          <w:p>
            <w:r>
              <w:rPr>
                <w:sz w:val="20"/>
              </w:rPr>
              <w:t>&gt;10,000</w:t>
            </w:r>
          </w:p>
        </w:tc>
        <w:tc>
          <w:tcPr>
            <w:tcW w:type="dxa" w:w="1152"/>
          </w:tcPr>
          <w:p>
            <w:r>
              <w:rPr>
                <w:sz w:val="20"/>
              </w:rPr>
              <w:t>&gt;1:4,000</w:t>
            </w:r>
          </w:p>
        </w:tc>
        <w:tc>
          <w:tcPr>
            <w:tcW w:type="dxa" w:w="2304"/>
          </w:tcPr>
          <w:p>
            <w:r>
              <w:rPr>
                <w:sz w:val="20"/>
              </w:rPr>
              <w:t>&gt;5,000</w:t>
            </w:r>
          </w:p>
        </w:tc>
        <w:tc>
          <w:tcPr>
            <w:tcW w:type="dxa" w:w="2304"/>
          </w:tcPr>
          <w:p>
            <w:r>
              <w:rPr>
                <w:sz w:val="20"/>
              </w:rPr>
              <w:t>&gt;8,000</w:t>
            </w:r>
          </w:p>
        </w:tc>
      </w:tr>
      <w:tr>
        <w:tc>
          <w:tcPr>
            <w:tcW w:type="dxa" w:w="1728"/>
          </w:tcPr>
          <w:p>
            <w:r>
              <w:rPr>
                <w:sz w:val="20"/>
              </w:rPr>
              <w:t>α₁-Adrenergic</w:t>
            </w:r>
          </w:p>
        </w:tc>
        <w:tc>
          <w:tcPr>
            <w:tcW w:type="dxa" w:w="1152"/>
          </w:tcPr>
          <w:p>
            <w:r>
              <w:rPr>
                <w:sz w:val="20"/>
              </w:rPr>
              <w:t>&gt;50,000</w:t>
            </w:r>
          </w:p>
        </w:tc>
        <w:tc>
          <w:tcPr>
            <w:tcW w:type="dxa" w:w="1152"/>
          </w:tcPr>
          <w:p>
            <w:r>
              <w:rPr>
                <w:sz w:val="20"/>
              </w:rPr>
              <w:t>&gt;1:20,000</w:t>
            </w:r>
          </w:p>
        </w:tc>
        <w:tc>
          <w:tcPr>
            <w:tcW w:type="dxa" w:w="2304"/>
          </w:tcPr>
          <w:p>
            <w:r>
              <w:rPr>
                <w:sz w:val="20"/>
              </w:rPr>
              <w:t>&gt;50,000</w:t>
            </w:r>
          </w:p>
        </w:tc>
        <w:tc>
          <w:tcPr>
            <w:tcW w:type="dxa" w:w="2304"/>
          </w:tcPr>
          <w:p>
            <w:r>
              <w:rPr>
                <w:sz w:val="20"/>
              </w:rPr>
              <w:t>&gt;50,000</w:t>
            </w:r>
          </w:p>
        </w:tc>
      </w:tr>
      <w:tr>
        <w:tc>
          <w:tcPr>
            <w:tcW w:type="dxa" w:w="1728"/>
          </w:tcPr>
          <w:p>
            <w:r>
              <w:rPr>
                <w:sz w:val="20"/>
              </w:rPr>
              <w:t>α₂-Adrenergic</w:t>
            </w:r>
          </w:p>
        </w:tc>
        <w:tc>
          <w:tcPr>
            <w:tcW w:type="dxa" w:w="1152"/>
          </w:tcPr>
          <w:p>
            <w:r>
              <w:rPr>
                <w:sz w:val="20"/>
              </w:rPr>
              <w:t>&gt;50,000</w:t>
            </w:r>
          </w:p>
        </w:tc>
        <w:tc>
          <w:tcPr>
            <w:tcW w:type="dxa" w:w="1152"/>
          </w:tcPr>
          <w:p>
            <w:r>
              <w:rPr>
                <w:sz w:val="20"/>
              </w:rPr>
              <w:t>&gt;1:20,000</w:t>
            </w:r>
          </w:p>
        </w:tc>
        <w:tc>
          <w:tcPr>
            <w:tcW w:type="dxa" w:w="2304"/>
          </w:tcPr>
          <w:p>
            <w:r>
              <w:rPr>
                <w:sz w:val="20"/>
              </w:rPr>
              <w:t>&gt;50,000</w:t>
            </w:r>
          </w:p>
        </w:tc>
        <w:tc>
          <w:tcPr>
            <w:tcW w:type="dxa" w:w="2304"/>
          </w:tcPr>
          <w:p>
            <w:r>
              <w:rPr>
                <w:sz w:val="20"/>
              </w:rPr>
              <w:t>&gt;50,000</w:t>
            </w:r>
          </w:p>
        </w:tc>
      </w:tr>
      <w:tr>
        <w:tc>
          <w:tcPr>
            <w:tcW w:type="dxa" w:w="1728"/>
          </w:tcPr>
          <w:p>
            <w:r>
              <w:rPr>
                <w:sz w:val="20"/>
              </w:rPr>
              <w:t>Muscarinic M₂</w:t>
            </w:r>
          </w:p>
        </w:tc>
        <w:tc>
          <w:tcPr>
            <w:tcW w:type="dxa" w:w="1152"/>
          </w:tcPr>
          <w:p>
            <w:r>
              <w:rPr>
                <w:sz w:val="20"/>
              </w:rPr>
              <w:t>&gt;100,000</w:t>
            </w:r>
          </w:p>
        </w:tc>
        <w:tc>
          <w:tcPr>
            <w:tcW w:type="dxa" w:w="1152"/>
          </w:tcPr>
          <w:p>
            <w:r>
              <w:rPr>
                <w:sz w:val="20"/>
              </w:rPr>
              <w:t>&gt;1:40,000</w:t>
            </w:r>
          </w:p>
        </w:tc>
        <w:tc>
          <w:tcPr>
            <w:tcW w:type="dxa" w:w="2304"/>
          </w:tcPr>
          <w:p>
            <w:r>
              <w:rPr>
                <w:sz w:val="20"/>
              </w:rPr>
              <w:t>&gt;100,000</w:t>
            </w:r>
          </w:p>
        </w:tc>
        <w:tc>
          <w:tcPr>
            <w:tcW w:type="dxa" w:w="2304"/>
          </w:tcPr>
          <w:p>
            <w:r>
              <w:rPr>
                <w:sz w:val="20"/>
              </w:rPr>
              <w:t>&gt;100,000</w:t>
            </w:r>
          </w:p>
        </w:tc>
      </w:tr>
      <w:tr>
        <w:tc>
          <w:tcPr>
            <w:tcW w:type="dxa" w:w="1728"/>
          </w:tcPr>
          <w:p>
            <w:r>
              <w:rPr>
                <w:sz w:val="20"/>
              </w:rPr>
              <w:t>5-HT₁A/₂A</w:t>
            </w:r>
          </w:p>
        </w:tc>
        <w:tc>
          <w:tcPr>
            <w:tcW w:type="dxa" w:w="1152"/>
          </w:tcPr>
          <w:p>
            <w:r>
              <w:rPr>
                <w:sz w:val="20"/>
              </w:rPr>
              <w:t>&gt;100,000</w:t>
            </w:r>
          </w:p>
        </w:tc>
        <w:tc>
          <w:tcPr>
            <w:tcW w:type="dxa" w:w="1152"/>
          </w:tcPr>
          <w:p>
            <w:r>
              <w:rPr>
                <w:sz w:val="20"/>
              </w:rPr>
              <w:t>&gt;1:40,000</w:t>
            </w:r>
          </w:p>
        </w:tc>
        <w:tc>
          <w:tcPr>
            <w:tcW w:type="dxa" w:w="2304"/>
          </w:tcPr>
          <w:p>
            <w:r>
              <w:rPr>
                <w:sz w:val="20"/>
              </w:rPr>
              <w:t>&gt;100,000</w:t>
            </w:r>
          </w:p>
        </w:tc>
        <w:tc>
          <w:tcPr>
            <w:tcW w:type="dxa" w:w="2304"/>
          </w:tcPr>
          <w:p>
            <w:r>
              <w:rPr>
                <w:sz w:val="20"/>
              </w:rPr>
              <w:t>&gt;100,000</w:t>
            </w:r>
          </w:p>
        </w:tc>
      </w:tr>
      <w:tr>
        <w:tc>
          <w:tcPr>
            <w:tcW w:type="dxa" w:w="1728"/>
          </w:tcPr>
          <w:p>
            <w:r>
              <w:rPr>
                <w:sz w:val="20"/>
              </w:rPr>
              <w:t>Histamine H₁</w:t>
            </w:r>
          </w:p>
        </w:tc>
        <w:tc>
          <w:tcPr>
            <w:tcW w:type="dxa" w:w="1152"/>
          </w:tcPr>
          <w:p>
            <w:r>
              <w:rPr>
                <w:sz w:val="20"/>
              </w:rPr>
              <w:t>&gt;100,000</w:t>
            </w:r>
          </w:p>
        </w:tc>
        <w:tc>
          <w:tcPr>
            <w:tcW w:type="dxa" w:w="1152"/>
          </w:tcPr>
          <w:p>
            <w:r>
              <w:rPr>
                <w:sz w:val="20"/>
              </w:rPr>
              <w:t>&gt;1:40,000</w:t>
            </w:r>
          </w:p>
        </w:tc>
        <w:tc>
          <w:tcPr>
            <w:tcW w:type="dxa" w:w="2304"/>
          </w:tcPr>
          <w:p>
            <w:r>
              <w:rPr>
                <w:sz w:val="20"/>
              </w:rPr>
              <w:t>&gt;100,000</w:t>
            </w:r>
          </w:p>
        </w:tc>
        <w:tc>
          <w:tcPr>
            <w:tcW w:type="dxa" w:w="2304"/>
          </w:tcPr>
          <w:p>
            <w:r>
              <w:rPr>
                <w:sz w:val="20"/>
              </w:rPr>
              <w:t>&gt;100,000</w:t>
            </w:r>
          </w:p>
        </w:tc>
      </w:tr>
    </w:tbl>
    <w:p/>
    <w:p>
      <w:r>
        <w:t>The β₁/β₂ selectivity ratio of 1:380 is 3–5 fold higher than currently marketed selective beta-blockers, translating to significantly reduced risk of bronchospasm (0.10% vs. 0.4–0.8% reported with conventional agents). (See CDR-CV-2026-001, Section 10.4 — Respiratory Safety Analysis)</w:t>
      </w:r>
    </w:p>
    <w:p>
      <w:r>
        <w:br w:type="page"/>
      </w:r>
    </w:p>
    <w:p>
      <w:pPr>
        <w:pStyle w:val="Heading1"/>
      </w:pPr>
      <w:r>
        <w:t>7. Pharmacodynamics</w:t>
      </w:r>
    </w:p>
    <w:p>
      <w:pPr>
        <w:pStyle w:val="Heading2"/>
      </w:pPr>
      <w:r>
        <w:t>7.1 Cardiac Electrophysiology (TQT Study)</w:t>
      </w:r>
    </w:p>
    <w:p>
      <w:r>
        <w:t>A thorough QT/QTc study (Study CV-105, N=180) confirmed that Cardivex® does not prolong the QTcF interval at therapeutic (100 mg) or supratherapeutic (400 mg) doses. The largest time-matched ΔΔQTcF was +3.2 ms (90% CI: 1.1, 5.3) at 400 mg, well below the 10 ms threshold of concern. Assay sensitivity was confirmed by moxifloxacin (+12.4 ms). (See CDR-CV-2026-001, Section 4.5 — Cardiac Safety Studies)</w:t>
      </w:r>
    </w:p>
    <w:p>
      <w:pPr>
        <w:pStyle w:val="Heading2"/>
      </w:pPr>
      <w:r>
        <w:t>7.2 Dose-Response Hemodynamic Profile</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2016"/>
            <w:shd w:fill="003366"/>
          </w:tcPr>
          <w:p>
            <w:pPr>
              <w:jc w:val="center"/>
            </w:pPr>
            <w:r>
              <w:rPr>
                <w:b/>
                <w:color w:val="FFFFFF"/>
                <w:sz w:val="20"/>
              </w:rPr>
              <w:t>Parameter</w:t>
            </w:r>
          </w:p>
        </w:tc>
        <w:tc>
          <w:tcPr>
            <w:tcW w:type="dxa" w:w="1296"/>
            <w:shd w:fill="003366"/>
          </w:tcPr>
          <w:p>
            <w:pPr>
              <w:jc w:val="center"/>
            </w:pPr>
            <w:r>
              <w:rPr>
                <w:b/>
                <w:color w:val="FFFFFF"/>
                <w:sz w:val="20"/>
              </w:rPr>
              <w:t>Placebo</w:t>
            </w:r>
          </w:p>
        </w:tc>
        <w:tc>
          <w:tcPr>
            <w:tcW w:type="dxa" w:w="1296"/>
            <w:shd w:fill="003366"/>
          </w:tcPr>
          <w:p>
            <w:pPr>
              <w:jc w:val="center"/>
            </w:pPr>
            <w:r>
              <w:rPr>
                <w:b/>
                <w:color w:val="FFFFFF"/>
                <w:sz w:val="20"/>
              </w:rPr>
              <w:t>25 mg</w:t>
            </w:r>
          </w:p>
        </w:tc>
        <w:tc>
          <w:tcPr>
            <w:tcW w:type="dxa" w:w="1296"/>
            <w:shd w:fill="003366"/>
          </w:tcPr>
          <w:p>
            <w:pPr>
              <w:jc w:val="center"/>
            </w:pPr>
            <w:r>
              <w:rPr>
                <w:b/>
                <w:color w:val="FFFFFF"/>
                <w:sz w:val="20"/>
              </w:rPr>
              <w:t>50 mg</w:t>
            </w:r>
          </w:p>
        </w:tc>
        <w:tc>
          <w:tcPr>
            <w:tcW w:type="dxa" w:w="1296"/>
            <w:shd w:fill="003366"/>
          </w:tcPr>
          <w:p>
            <w:pPr>
              <w:jc w:val="center"/>
            </w:pPr>
            <w:r>
              <w:rPr>
                <w:b/>
                <w:color w:val="FFFFFF"/>
                <w:sz w:val="20"/>
              </w:rPr>
              <w:t>100 mg</w:t>
            </w:r>
          </w:p>
        </w:tc>
        <w:tc>
          <w:tcPr>
            <w:tcW w:type="dxa" w:w="1296"/>
            <w:shd w:fill="003366"/>
          </w:tcPr>
          <w:p>
            <w:pPr>
              <w:jc w:val="center"/>
            </w:pPr>
            <w:r>
              <w:rPr>
                <w:b/>
                <w:color w:val="FFFFFF"/>
                <w:sz w:val="20"/>
              </w:rPr>
              <w:t>200 mg</w:t>
            </w:r>
          </w:p>
        </w:tc>
      </w:tr>
      <w:tr>
        <w:tc>
          <w:tcPr>
            <w:tcW w:type="dxa" w:w="2016"/>
          </w:tcPr>
          <w:p>
            <w:r>
              <w:rPr>
                <w:sz w:val="20"/>
              </w:rPr>
              <w:t>ΔSBP (mmHg)</w:t>
            </w:r>
          </w:p>
        </w:tc>
        <w:tc>
          <w:tcPr>
            <w:tcW w:type="dxa" w:w="1296"/>
          </w:tcPr>
          <w:p>
            <w:r>
              <w:rPr>
                <w:sz w:val="20"/>
              </w:rPr>
              <w:t>−4.2±2.1</w:t>
            </w:r>
          </w:p>
        </w:tc>
        <w:tc>
          <w:tcPr>
            <w:tcW w:type="dxa" w:w="1296"/>
          </w:tcPr>
          <w:p>
            <w:r>
              <w:rPr>
                <w:sz w:val="20"/>
              </w:rPr>
              <w:t>−8.6±2.4</w:t>
            </w:r>
          </w:p>
        </w:tc>
        <w:tc>
          <w:tcPr>
            <w:tcW w:type="dxa" w:w="1296"/>
          </w:tcPr>
          <w:p>
            <w:r>
              <w:rPr>
                <w:sz w:val="20"/>
              </w:rPr>
              <w:t>−11.6±2.8</w:t>
            </w:r>
          </w:p>
        </w:tc>
        <w:tc>
          <w:tcPr>
            <w:tcW w:type="dxa" w:w="1296"/>
          </w:tcPr>
          <w:p>
            <w:r>
              <w:rPr>
                <w:sz w:val="20"/>
              </w:rPr>
              <w:t>−18.4±3.2</w:t>
            </w:r>
          </w:p>
        </w:tc>
        <w:tc>
          <w:tcPr>
            <w:tcW w:type="dxa" w:w="1296"/>
          </w:tcPr>
          <w:p>
            <w:r>
              <w:rPr>
                <w:sz w:val="20"/>
              </w:rPr>
              <w:t>−22.1±3.5</w:t>
            </w:r>
          </w:p>
        </w:tc>
      </w:tr>
      <w:tr>
        <w:tc>
          <w:tcPr>
            <w:tcW w:type="dxa" w:w="2016"/>
          </w:tcPr>
          <w:p>
            <w:r>
              <w:rPr>
                <w:sz w:val="20"/>
              </w:rPr>
              <w:t>ΔDBP (mmHg)</w:t>
            </w:r>
          </w:p>
        </w:tc>
        <w:tc>
          <w:tcPr>
            <w:tcW w:type="dxa" w:w="1296"/>
          </w:tcPr>
          <w:p>
            <w:r>
              <w:rPr>
                <w:sz w:val="20"/>
              </w:rPr>
              <w:t>−2.8±1.6</w:t>
            </w:r>
          </w:p>
        </w:tc>
        <w:tc>
          <w:tcPr>
            <w:tcW w:type="dxa" w:w="1296"/>
          </w:tcPr>
          <w:p>
            <w:r>
              <w:rPr>
                <w:sz w:val="20"/>
              </w:rPr>
              <w:t>−5.2±1.8</w:t>
            </w:r>
          </w:p>
        </w:tc>
        <w:tc>
          <w:tcPr>
            <w:tcW w:type="dxa" w:w="1296"/>
          </w:tcPr>
          <w:p>
            <w:r>
              <w:rPr>
                <w:sz w:val="20"/>
              </w:rPr>
              <w:t>−7.4±2.1</w:t>
            </w:r>
          </w:p>
        </w:tc>
        <w:tc>
          <w:tcPr>
            <w:tcW w:type="dxa" w:w="1296"/>
          </w:tcPr>
          <w:p>
            <w:r>
              <w:rPr>
                <w:sz w:val="20"/>
              </w:rPr>
              <w:t>−11.8±2.6</w:t>
            </w:r>
          </w:p>
        </w:tc>
        <w:tc>
          <w:tcPr>
            <w:tcW w:type="dxa" w:w="1296"/>
          </w:tcPr>
          <w:p>
            <w:r>
              <w:rPr>
                <w:sz w:val="20"/>
              </w:rPr>
              <w:t>−14.2±2.9</w:t>
            </w:r>
          </w:p>
        </w:tc>
      </w:tr>
      <w:tr>
        <w:tc>
          <w:tcPr>
            <w:tcW w:type="dxa" w:w="2016"/>
          </w:tcPr>
          <w:p>
            <w:r>
              <w:rPr>
                <w:sz w:val="20"/>
              </w:rPr>
              <w:t>ΔHR (bpm)</w:t>
            </w:r>
          </w:p>
        </w:tc>
        <w:tc>
          <w:tcPr>
            <w:tcW w:type="dxa" w:w="1296"/>
          </w:tcPr>
          <w:p>
            <w:r>
              <w:rPr>
                <w:sz w:val="20"/>
              </w:rPr>
              <w:t>−1.4±1.2</w:t>
            </w:r>
          </w:p>
        </w:tc>
        <w:tc>
          <w:tcPr>
            <w:tcW w:type="dxa" w:w="1296"/>
          </w:tcPr>
          <w:p>
            <w:r>
              <w:rPr>
                <w:sz w:val="20"/>
              </w:rPr>
              <w:t>−5.6±1.8</w:t>
            </w:r>
          </w:p>
        </w:tc>
        <w:tc>
          <w:tcPr>
            <w:tcW w:type="dxa" w:w="1296"/>
          </w:tcPr>
          <w:p>
            <w:r>
              <w:rPr>
                <w:sz w:val="20"/>
              </w:rPr>
              <w:t>−8.2±2.4</w:t>
            </w:r>
          </w:p>
        </w:tc>
        <w:tc>
          <w:tcPr>
            <w:tcW w:type="dxa" w:w="1296"/>
          </w:tcPr>
          <w:p>
            <w:r>
              <w:rPr>
                <w:sz w:val="20"/>
              </w:rPr>
              <w:t>−13.6±2.8</w:t>
            </w:r>
          </w:p>
        </w:tc>
        <w:tc>
          <w:tcPr>
            <w:tcW w:type="dxa" w:w="1296"/>
          </w:tcPr>
          <w:p>
            <w:r>
              <w:rPr>
                <w:sz w:val="20"/>
              </w:rPr>
              <w:t>−16.8±3.1</w:t>
            </w:r>
          </w:p>
        </w:tc>
      </w:tr>
      <w:tr>
        <w:tc>
          <w:tcPr>
            <w:tcW w:type="dxa" w:w="2016"/>
          </w:tcPr>
          <w:p>
            <w:r>
              <w:rPr>
                <w:sz w:val="20"/>
              </w:rPr>
              <w:t>ΔRPP (%)</w:t>
            </w:r>
          </w:p>
        </w:tc>
        <w:tc>
          <w:tcPr>
            <w:tcW w:type="dxa" w:w="1296"/>
          </w:tcPr>
          <w:p>
            <w:r>
              <w:rPr>
                <w:sz w:val="20"/>
              </w:rPr>
              <w:t>−2.1±1.4</w:t>
            </w:r>
          </w:p>
        </w:tc>
        <w:tc>
          <w:tcPr>
            <w:tcW w:type="dxa" w:w="1296"/>
          </w:tcPr>
          <w:p>
            <w:r>
              <w:rPr>
                <w:sz w:val="20"/>
              </w:rPr>
              <w:t>−9.4±2.8</w:t>
            </w:r>
          </w:p>
        </w:tc>
        <w:tc>
          <w:tcPr>
            <w:tcW w:type="dxa" w:w="1296"/>
          </w:tcPr>
          <w:p>
            <w:r>
              <w:rPr>
                <w:sz w:val="20"/>
              </w:rPr>
              <w:t>−14.2±3.6</w:t>
            </w:r>
          </w:p>
        </w:tc>
        <w:tc>
          <w:tcPr>
            <w:tcW w:type="dxa" w:w="1296"/>
          </w:tcPr>
          <w:p>
            <w:r>
              <w:rPr>
                <w:sz w:val="20"/>
              </w:rPr>
              <w:t>−22.8±4.1</w:t>
            </w:r>
          </w:p>
        </w:tc>
        <w:tc>
          <w:tcPr>
            <w:tcW w:type="dxa" w:w="1296"/>
          </w:tcPr>
          <w:p>
            <w:r>
              <w:rPr>
                <w:sz w:val="20"/>
              </w:rPr>
              <w:t>−28.4±4.5</w:t>
            </w:r>
          </w:p>
        </w:tc>
      </w:tr>
      <w:tr>
        <w:tc>
          <w:tcPr>
            <w:tcW w:type="dxa" w:w="2016"/>
          </w:tcPr>
          <w:p>
            <w:r>
              <w:rPr>
                <w:sz w:val="20"/>
              </w:rPr>
              <w:t>ΔCO (%)</w:t>
            </w:r>
          </w:p>
        </w:tc>
        <w:tc>
          <w:tcPr>
            <w:tcW w:type="dxa" w:w="1296"/>
          </w:tcPr>
          <w:p>
            <w:r>
              <w:rPr>
                <w:sz w:val="20"/>
              </w:rPr>
              <w:t>−1.2±0.8</w:t>
            </w:r>
          </w:p>
        </w:tc>
        <w:tc>
          <w:tcPr>
            <w:tcW w:type="dxa" w:w="1296"/>
          </w:tcPr>
          <w:p>
            <w:r>
              <w:rPr>
                <w:sz w:val="20"/>
              </w:rPr>
              <w:t>−3.8±1.4</w:t>
            </w:r>
          </w:p>
        </w:tc>
        <w:tc>
          <w:tcPr>
            <w:tcW w:type="dxa" w:w="1296"/>
          </w:tcPr>
          <w:p>
            <w:r>
              <w:rPr>
                <w:sz w:val="20"/>
              </w:rPr>
              <w:t>−6.4±2.0</w:t>
            </w:r>
          </w:p>
        </w:tc>
        <w:tc>
          <w:tcPr>
            <w:tcW w:type="dxa" w:w="1296"/>
          </w:tcPr>
          <w:p>
            <w:r>
              <w:rPr>
                <w:sz w:val="20"/>
              </w:rPr>
              <w:t>−9.8±2.3</w:t>
            </w:r>
          </w:p>
        </w:tc>
        <w:tc>
          <w:tcPr>
            <w:tcW w:type="dxa" w:w="1296"/>
          </w:tcPr>
          <w:p>
            <w:r>
              <w:rPr>
                <w:sz w:val="20"/>
              </w:rPr>
              <w:t>−12.6±2.7</w:t>
            </w:r>
          </w:p>
        </w:tc>
      </w:tr>
      <w:tr>
        <w:tc>
          <w:tcPr>
            <w:tcW w:type="dxa" w:w="2016"/>
          </w:tcPr>
          <w:p>
            <w:r>
              <w:rPr>
                <w:sz w:val="20"/>
              </w:rPr>
              <w:t>ΔCO = cardiac output; RPP = rate-pressure product</w:t>
            </w:r>
          </w:p>
        </w:tc>
        <w:tc>
          <w:tcPr>
            <w:tcW w:type="dxa" w:w="1296"/>
          </w:tcPr>
          <w:p>
            <w:r>
              <w:rPr>
                <w:sz w:val="20"/>
              </w:rPr>
            </w:r>
          </w:p>
        </w:tc>
        <w:tc>
          <w:tcPr>
            <w:tcW w:type="dxa" w:w="1296"/>
          </w:tcPr>
          <w:p>
            <w:r>
              <w:rPr>
                <w:sz w:val="20"/>
              </w:rPr>
            </w:r>
          </w:p>
        </w:tc>
        <w:tc>
          <w:tcPr>
            <w:tcW w:type="dxa" w:w="1296"/>
          </w:tcPr>
          <w:p>
            <w:r>
              <w:rPr>
                <w:sz w:val="20"/>
              </w:rPr>
            </w:r>
          </w:p>
        </w:tc>
        <w:tc>
          <w:tcPr>
            <w:tcW w:type="dxa" w:w="1296"/>
          </w:tcPr>
          <w:p>
            <w:r>
              <w:rPr>
                <w:sz w:val="20"/>
              </w:rPr>
            </w:r>
          </w:p>
        </w:tc>
        <w:tc>
          <w:tcPr>
            <w:tcW w:type="dxa" w:w="1296"/>
          </w:tcPr>
          <w:p>
            <w:r>
              <w:rPr>
                <w:sz w:val="20"/>
              </w:rPr>
            </w:r>
          </w:p>
        </w:tc>
      </w:tr>
    </w:tbl>
    <w:p/>
    <w:p>
      <w:r>
        <w:t>All active doses p&lt;0.01 vs. placebo for SBP, DBP, and HR at Week 12.</w:t>
      </w:r>
    </w:p>
    <w:p>
      <w:pPr>
        <w:pStyle w:val="Heading2"/>
      </w:pPr>
      <w:r>
        <w:t>7.3 24-Hour Ambulatory Blood Pressure Profile</w:t>
      </w:r>
    </w:p>
    <w:p>
      <w:r>
        <w:t>In a dedicated ABPM substudy of CARDIO-PRESS (N=486), Cardivex® 100 mg demonstrated consistent 24-hour blood pressure control with a trough-to-peak ratio of 0.82 (target &gt;0.50 per FDA/EMA guidelines), confirming true once-daily efficacy. The smoothness index was 1.64, indicating uniform BP reduction throughout the dosing interval without excessive peak effects.</w:t>
      </w:r>
    </w:p>
    <w:p>
      <w:pPr>
        <w:pStyle w:val="Heading2"/>
      </w:pPr>
      <w:r>
        <w:t>7.4 Exercise-Induced Heart Rate Suppression</w:t>
      </w:r>
    </w:p>
    <w:p>
      <w:r>
        <w:t>In a crossover exercise study (N=48), Cardivex® 100 mg reduced peak exercise heart rate by 22 ± 6 bpm compared to placebo (p&lt;0.001). The duration of exercise to 85% maximal predicted heart rate was prolonged by 3.4 ± 1.2 minutes. Heart rate recovery at 1 minute post-exercise was comparable to placebo, indicating appropriate autonomic recovery. (See CDR-CV-2026-001, Section 5 — Phase I Studies)</w:t>
      </w:r>
    </w:p>
    <w:p>
      <w:r>
        <w:br w:type="page"/>
      </w:r>
    </w:p>
    <w:p>
      <w:pPr>
        <w:pStyle w:val="Heading1"/>
      </w:pPr>
      <w:r>
        <w:t>8. Pharmacokinetics (ADME)</w:t>
      </w:r>
    </w:p>
    <w:p>
      <w:pPr>
        <w:pStyle w:val="Heading2"/>
      </w:pPr>
      <w:r>
        <w:t>8.1 Key Pharmacokinetic Parameters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2016"/>
            <w:shd w:fill="003366"/>
          </w:tcPr>
          <w:p>
            <w:pPr>
              <w:jc w:val="center"/>
            </w:pPr>
            <w:r>
              <w:rPr>
                <w:b/>
                <w:color w:val="FFFFFF"/>
                <w:sz w:val="20"/>
              </w:rPr>
              <w:t>Parameter</w:t>
            </w:r>
          </w:p>
        </w:tc>
        <w:tc>
          <w:tcPr>
            <w:tcW w:type="dxa" w:w="1584"/>
            <w:shd w:fill="003366"/>
          </w:tcPr>
          <w:p>
            <w:pPr>
              <w:jc w:val="center"/>
            </w:pPr>
            <w:r>
              <w:rPr>
                <w:b/>
                <w:color w:val="FFFFFF"/>
                <w:sz w:val="20"/>
              </w:rPr>
              <w:t>50 mg (N=24)</w:t>
            </w:r>
          </w:p>
        </w:tc>
        <w:tc>
          <w:tcPr>
            <w:tcW w:type="dxa" w:w="1584"/>
            <w:shd w:fill="003366"/>
          </w:tcPr>
          <w:p>
            <w:pPr>
              <w:jc w:val="center"/>
            </w:pPr>
            <w:r>
              <w:rPr>
                <w:b/>
                <w:color w:val="FFFFFF"/>
                <w:sz w:val="20"/>
              </w:rPr>
              <w:t>100 mg (N=24)</w:t>
            </w:r>
          </w:p>
        </w:tc>
        <w:tc>
          <w:tcPr>
            <w:tcW w:type="dxa" w:w="1584"/>
            <w:shd w:fill="003366"/>
          </w:tcPr>
          <w:p>
            <w:pPr>
              <w:jc w:val="center"/>
            </w:pPr>
            <w:r>
              <w:rPr>
                <w:b/>
                <w:color w:val="FFFFFF"/>
                <w:sz w:val="20"/>
              </w:rPr>
              <w:t>200 mg (N=24)</w:t>
            </w:r>
          </w:p>
        </w:tc>
        <w:tc>
          <w:tcPr>
            <w:tcW w:type="dxa" w:w="1872"/>
            <w:shd w:fill="003366"/>
          </w:tcPr>
          <w:p>
            <w:pPr>
              <w:jc w:val="center"/>
            </w:pPr>
            <w:r>
              <w:rPr>
                <w:b/>
                <w:color w:val="FFFFFF"/>
                <w:sz w:val="20"/>
              </w:rPr>
              <w:t>Dose Linearity</w:t>
            </w:r>
          </w:p>
        </w:tc>
      </w:tr>
      <w:tr>
        <w:tc>
          <w:tcPr>
            <w:tcW w:type="dxa" w:w="2016"/>
          </w:tcPr>
          <w:p>
            <w:r>
              <w:rPr>
                <w:sz w:val="20"/>
              </w:rPr>
              <w:t>Cmax (ng/mL)</w:t>
            </w:r>
          </w:p>
        </w:tc>
        <w:tc>
          <w:tcPr>
            <w:tcW w:type="dxa" w:w="1584"/>
          </w:tcPr>
          <w:p>
            <w:r>
              <w:rPr>
                <w:sz w:val="20"/>
              </w:rPr>
              <w:t>42.6 ± 8.4</w:t>
            </w:r>
          </w:p>
        </w:tc>
        <w:tc>
          <w:tcPr>
            <w:tcW w:type="dxa" w:w="1584"/>
          </w:tcPr>
          <w:p>
            <w:r>
              <w:rPr>
                <w:sz w:val="20"/>
              </w:rPr>
              <w:t>88.3 ± 14.2</w:t>
            </w:r>
          </w:p>
        </w:tc>
        <w:tc>
          <w:tcPr>
            <w:tcW w:type="dxa" w:w="1584"/>
          </w:tcPr>
          <w:p>
            <w:r>
              <w:rPr>
                <w:sz w:val="20"/>
              </w:rPr>
              <w:t>172.5 ± 28.6</w:t>
            </w:r>
          </w:p>
        </w:tc>
        <w:tc>
          <w:tcPr>
            <w:tcW w:type="dxa" w:w="1872"/>
          </w:tcPr>
          <w:p>
            <w:r>
              <w:rPr>
                <w:sz w:val="20"/>
              </w:rPr>
              <w:t>Linear (R²=0.998)</w:t>
            </w:r>
          </w:p>
        </w:tc>
      </w:tr>
      <w:tr>
        <w:tc>
          <w:tcPr>
            <w:tcW w:type="dxa" w:w="2016"/>
          </w:tcPr>
          <w:p>
            <w:r>
              <w:rPr>
                <w:sz w:val="20"/>
              </w:rPr>
              <w:t>Tmax (h)</w:t>
            </w:r>
          </w:p>
        </w:tc>
        <w:tc>
          <w:tcPr>
            <w:tcW w:type="dxa" w:w="1584"/>
          </w:tcPr>
          <w:p>
            <w:r>
              <w:rPr>
                <w:sz w:val="20"/>
              </w:rPr>
              <w:t>4.2 ± 1.1</w:t>
            </w:r>
          </w:p>
        </w:tc>
        <w:tc>
          <w:tcPr>
            <w:tcW w:type="dxa" w:w="1584"/>
          </w:tcPr>
          <w:p>
            <w:r>
              <w:rPr>
                <w:sz w:val="20"/>
              </w:rPr>
              <w:t>4.8 ± 1.3</w:t>
            </w:r>
          </w:p>
        </w:tc>
        <w:tc>
          <w:tcPr>
            <w:tcW w:type="dxa" w:w="1584"/>
          </w:tcPr>
          <w:p>
            <w:r>
              <w:rPr>
                <w:sz w:val="20"/>
              </w:rPr>
              <w:t>5.4 ± 1.2</w:t>
            </w:r>
          </w:p>
        </w:tc>
        <w:tc>
          <w:tcPr>
            <w:tcW w:type="dxa" w:w="1872"/>
          </w:tcPr>
          <w:p>
            <w:r>
              <w:rPr>
                <w:sz w:val="20"/>
              </w:rPr>
              <w:t>Slight increase with dose</w:t>
            </w:r>
          </w:p>
        </w:tc>
      </w:tr>
      <w:tr>
        <w:tc>
          <w:tcPr>
            <w:tcW w:type="dxa" w:w="2016"/>
          </w:tcPr>
          <w:p>
            <w:r>
              <w:rPr>
                <w:sz w:val="20"/>
              </w:rPr>
              <w:t>AUC₀₋₂₄ (ng·h/mL)</w:t>
            </w:r>
          </w:p>
        </w:tc>
        <w:tc>
          <w:tcPr>
            <w:tcW w:type="dxa" w:w="1584"/>
          </w:tcPr>
          <w:p>
            <w:r>
              <w:rPr>
                <w:sz w:val="20"/>
              </w:rPr>
              <w:t>486 ± 72</w:t>
            </w:r>
          </w:p>
        </w:tc>
        <w:tc>
          <w:tcPr>
            <w:tcW w:type="dxa" w:w="1584"/>
          </w:tcPr>
          <w:p>
            <w:r>
              <w:rPr>
                <w:sz w:val="20"/>
              </w:rPr>
              <w:t>1,024 ± 148</w:t>
            </w:r>
          </w:p>
        </w:tc>
        <w:tc>
          <w:tcPr>
            <w:tcW w:type="dxa" w:w="1584"/>
          </w:tcPr>
          <w:p>
            <w:r>
              <w:rPr>
                <w:sz w:val="20"/>
              </w:rPr>
              <w:t>2,086 ± 312</w:t>
            </w:r>
          </w:p>
        </w:tc>
        <w:tc>
          <w:tcPr>
            <w:tcW w:type="dxa" w:w="1872"/>
          </w:tcPr>
          <w:p>
            <w:r>
              <w:rPr>
                <w:sz w:val="20"/>
              </w:rPr>
              <w:t>Linear (R²=0.999)</w:t>
            </w:r>
          </w:p>
        </w:tc>
      </w:tr>
      <w:tr>
        <w:tc>
          <w:tcPr>
            <w:tcW w:type="dxa" w:w="2016"/>
          </w:tcPr>
          <w:p>
            <w:r>
              <w:rPr>
                <w:sz w:val="20"/>
              </w:rPr>
              <w:t>AUC₀₋∞ (ng·h/mL)</w:t>
            </w:r>
          </w:p>
        </w:tc>
        <w:tc>
          <w:tcPr>
            <w:tcW w:type="dxa" w:w="1584"/>
          </w:tcPr>
          <w:p>
            <w:r>
              <w:rPr>
                <w:sz w:val="20"/>
              </w:rPr>
              <w:t>528 ± 84</w:t>
            </w:r>
          </w:p>
        </w:tc>
        <w:tc>
          <w:tcPr>
            <w:tcW w:type="dxa" w:w="1584"/>
          </w:tcPr>
          <w:p>
            <w:r>
              <w:rPr>
                <w:sz w:val="20"/>
              </w:rPr>
              <w:t>1,112 ± 162</w:t>
            </w:r>
          </w:p>
        </w:tc>
        <w:tc>
          <w:tcPr>
            <w:tcW w:type="dxa" w:w="1584"/>
          </w:tcPr>
          <w:p>
            <w:r>
              <w:rPr>
                <w:sz w:val="20"/>
              </w:rPr>
              <w:t>2,248 ± 346</w:t>
            </w:r>
          </w:p>
        </w:tc>
        <w:tc>
          <w:tcPr>
            <w:tcW w:type="dxa" w:w="1872"/>
          </w:tcPr>
          <w:p>
            <w:r>
              <w:rPr>
                <w:sz w:val="20"/>
              </w:rPr>
              <w:t>Linear</w:t>
            </w:r>
          </w:p>
        </w:tc>
      </w:tr>
      <w:tr>
        <w:tc>
          <w:tcPr>
            <w:tcW w:type="dxa" w:w="2016"/>
          </w:tcPr>
          <w:p>
            <w:r>
              <w:rPr>
                <w:sz w:val="20"/>
              </w:rPr>
              <w:t>t½ (h)</w:t>
            </w:r>
          </w:p>
        </w:tc>
        <w:tc>
          <w:tcPr>
            <w:tcW w:type="dxa" w:w="1584"/>
          </w:tcPr>
          <w:p>
            <w:r>
              <w:rPr>
                <w:sz w:val="20"/>
              </w:rPr>
              <w:t>13.8 ± 2.4</w:t>
            </w:r>
          </w:p>
        </w:tc>
        <w:tc>
          <w:tcPr>
            <w:tcW w:type="dxa" w:w="1584"/>
          </w:tcPr>
          <w:p>
            <w:r>
              <w:rPr>
                <w:sz w:val="20"/>
              </w:rPr>
              <w:t>14.6 ± 2.6</w:t>
            </w:r>
          </w:p>
        </w:tc>
        <w:tc>
          <w:tcPr>
            <w:tcW w:type="dxa" w:w="1584"/>
          </w:tcPr>
          <w:p>
            <w:r>
              <w:rPr>
                <w:sz w:val="20"/>
              </w:rPr>
              <w:t>15.2 ± 2.8</w:t>
            </w:r>
          </w:p>
        </w:tc>
        <w:tc>
          <w:tcPr>
            <w:tcW w:type="dxa" w:w="1872"/>
          </w:tcPr>
          <w:p>
            <w:r>
              <w:rPr>
                <w:sz w:val="20"/>
              </w:rPr>
              <w:t>Slight increase</w:t>
            </w:r>
          </w:p>
        </w:tc>
      </w:tr>
      <w:tr>
        <w:tc>
          <w:tcPr>
            <w:tcW w:type="dxa" w:w="2016"/>
          </w:tcPr>
          <w:p>
            <w:r>
              <w:rPr>
                <w:sz w:val="20"/>
              </w:rPr>
              <w:t>CL/F (L/h)</w:t>
            </w:r>
          </w:p>
        </w:tc>
        <w:tc>
          <w:tcPr>
            <w:tcW w:type="dxa" w:w="1584"/>
          </w:tcPr>
          <w:p>
            <w:r>
              <w:rPr>
                <w:sz w:val="20"/>
              </w:rPr>
              <w:t>96.2 ± 18.4</w:t>
            </w:r>
          </w:p>
        </w:tc>
        <w:tc>
          <w:tcPr>
            <w:tcW w:type="dxa" w:w="1584"/>
          </w:tcPr>
          <w:p>
            <w:r>
              <w:rPr>
                <w:sz w:val="20"/>
              </w:rPr>
              <w:t>91.4 ± 16.8</w:t>
            </w:r>
          </w:p>
        </w:tc>
        <w:tc>
          <w:tcPr>
            <w:tcW w:type="dxa" w:w="1584"/>
          </w:tcPr>
          <w:p>
            <w:r>
              <w:rPr>
                <w:sz w:val="20"/>
              </w:rPr>
              <w:t>89.6 ± 14.2</w:t>
            </w:r>
          </w:p>
        </w:tc>
        <w:tc>
          <w:tcPr>
            <w:tcW w:type="dxa" w:w="1872"/>
          </w:tcPr>
          <w:p>
            <w:r>
              <w:rPr>
                <w:sz w:val="20"/>
              </w:rPr>
              <w:t>Consistent</w:t>
            </w:r>
          </w:p>
        </w:tc>
      </w:tr>
      <w:tr>
        <w:tc>
          <w:tcPr>
            <w:tcW w:type="dxa" w:w="2016"/>
          </w:tcPr>
          <w:p>
            <w:r>
              <w:rPr>
                <w:sz w:val="20"/>
              </w:rPr>
              <w:t>Vd/F (L)</w:t>
            </w:r>
          </w:p>
        </w:tc>
        <w:tc>
          <w:tcPr>
            <w:tcW w:type="dxa" w:w="1584"/>
          </w:tcPr>
          <w:p>
            <w:r>
              <w:rPr>
                <w:sz w:val="20"/>
              </w:rPr>
              <w:t>1,920 ± 380</w:t>
            </w:r>
          </w:p>
        </w:tc>
        <w:tc>
          <w:tcPr>
            <w:tcW w:type="dxa" w:w="1584"/>
          </w:tcPr>
          <w:p>
            <w:r>
              <w:rPr>
                <w:sz w:val="20"/>
              </w:rPr>
              <w:t>1,860 ± 340</w:t>
            </w:r>
          </w:p>
        </w:tc>
        <w:tc>
          <w:tcPr>
            <w:tcW w:type="dxa" w:w="1584"/>
          </w:tcPr>
          <w:p>
            <w:r>
              <w:rPr>
                <w:sz w:val="20"/>
              </w:rPr>
              <w:t>1,840 ± 320</w:t>
            </w:r>
          </w:p>
        </w:tc>
        <w:tc>
          <w:tcPr>
            <w:tcW w:type="dxa" w:w="1872"/>
          </w:tcPr>
          <w:p>
            <w:r>
              <w:rPr>
                <w:sz w:val="20"/>
              </w:rPr>
              <w:t>Consistent</w:t>
            </w:r>
          </w:p>
        </w:tc>
      </w:tr>
      <w:tr>
        <w:tc>
          <w:tcPr>
            <w:tcW w:type="dxa" w:w="2016"/>
          </w:tcPr>
          <w:p>
            <w:r>
              <w:rPr>
                <w:sz w:val="20"/>
              </w:rPr>
              <w:t>Foral</w:t>
            </w:r>
          </w:p>
        </w:tc>
        <w:tc>
          <w:tcPr>
            <w:tcW w:type="dxa" w:w="1584"/>
          </w:tcPr>
          <w:p>
            <w:r>
              <w:rPr>
                <w:sz w:val="20"/>
              </w:rPr>
              <w:t>0.48 ± 0.06</w:t>
            </w:r>
          </w:p>
        </w:tc>
        <w:tc>
          <w:tcPr>
            <w:tcW w:type="dxa" w:w="1584"/>
          </w:tcPr>
          <w:p>
            <w:r>
              <w:rPr>
                <w:sz w:val="20"/>
              </w:rPr>
              <w:t>0.50 ± 0.05</w:t>
            </w:r>
          </w:p>
        </w:tc>
        <w:tc>
          <w:tcPr>
            <w:tcW w:type="dxa" w:w="1584"/>
          </w:tcPr>
          <w:p>
            <w:r>
              <w:rPr>
                <w:sz w:val="20"/>
              </w:rPr>
              <w:t>0.51 ± 0.06</w:t>
            </w:r>
          </w:p>
        </w:tc>
        <w:tc>
          <w:tcPr>
            <w:tcW w:type="dxa" w:w="1872"/>
          </w:tcPr>
          <w:p>
            <w:r>
              <w:rPr>
                <w:sz w:val="20"/>
              </w:rPr>
              <w:t>~50%</w:t>
            </w:r>
          </w:p>
        </w:tc>
      </w:tr>
    </w:tbl>
    <w:p/>
    <w:p>
      <w:r>
        <w:t>Data from healthy volunteer study CV-101. (See CDR-CV-2026-001, Section 5.1)</w:t>
      </w:r>
    </w:p>
    <w:p>
      <w:pPr>
        <w:pStyle w:val="Heading2"/>
      </w:pPr>
      <w:r>
        <w:t>8.2 Absorption</w:t>
      </w:r>
    </w:p>
    <w:p>
      <w:r>
        <w:t>Metopravil is rapidly and nearly completely absorbed (&gt;95% recovery in urine as metabolites and parent drug). Absolute oral bioavailability is ~50% due to first-pass hepatic metabolism. The extended-release formulation produces peak plasma concentrations at 4–6 hours post-dose. Food effect: Cmax increased ~15% and AUC ~10% with a high-fat meal; these changes are not clinically significant. Cardivex® may be administered without regard to food.</w:t>
      </w:r>
    </w:p>
    <w:p>
      <w:pPr>
        <w:pStyle w:val="Heading2"/>
      </w:pPr>
      <w:r>
        <w:t>8.3 Distribution</w:t>
      </w:r>
    </w:p>
    <w:p>
      <w:r>
        <w:t>Plasma protein binding: 74 ± 3%, primarily to alpha-1 acid glycoprotein (AAG). Apparent Vd: ~1,900 L, indicating extensive tissue distribution. Blood:plasma ratio: 1.08. Brain:plasma ratio: 0.15 (lower than propranolol 0.42, comparable to atenolol 0.12). Placental transfer: fetal:maternal ratio 0.78.</w:t>
      </w:r>
    </w:p>
    <w:p>
      <w:pPr>
        <w:pStyle w:val="Heading2"/>
      </w:pPr>
      <w:r>
        <w:t>8.4 Metabolism</w:t>
      </w:r>
    </w:p>
    <w:p>
      <w:r>
        <w:t>Metopravil undergoes extensive hepatic first-pass metabolism via CYP450 enzymes: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20"/>
              </w:rPr>
              <w:t>Metabolic Pathway</w:t>
            </w:r>
          </w:p>
        </w:tc>
        <w:tc>
          <w:tcPr>
            <w:tcW w:type="dxa" w:w="1152"/>
            <w:shd w:fill="003366"/>
          </w:tcPr>
          <w:p>
            <w:pPr>
              <w:jc w:val="center"/>
            </w:pPr>
            <w:r>
              <w:rPr>
                <w:b/>
                <w:color w:val="FFFFFF"/>
                <w:sz w:val="20"/>
              </w:rPr>
              <w:t>Primary CYP</w:t>
            </w:r>
          </w:p>
        </w:tc>
        <w:tc>
          <w:tcPr>
            <w:tcW w:type="dxa" w:w="1152"/>
            <w:shd w:fill="003366"/>
          </w:tcPr>
          <w:p>
            <w:pPr>
              <w:jc w:val="center"/>
            </w:pPr>
            <w:r>
              <w:rPr>
                <w:b/>
                <w:color w:val="FFFFFF"/>
                <w:sz w:val="20"/>
              </w:rPr>
              <w:t>Contribution</w:t>
            </w:r>
          </w:p>
        </w:tc>
        <w:tc>
          <w:tcPr>
            <w:tcW w:type="dxa" w:w="2592"/>
            <w:shd w:fill="003366"/>
          </w:tcPr>
          <w:p>
            <w:pPr>
              <w:jc w:val="center"/>
            </w:pPr>
            <w:r>
              <w:rPr>
                <w:b/>
                <w:color w:val="FFFFFF"/>
                <w:sz w:val="20"/>
              </w:rPr>
              <w:t>Metabolite</w:t>
            </w:r>
          </w:p>
        </w:tc>
        <w:tc>
          <w:tcPr>
            <w:tcW w:type="dxa" w:w="1296"/>
            <w:shd w:fill="003366"/>
          </w:tcPr>
          <w:p>
            <w:pPr>
              <w:jc w:val="center"/>
            </w:pPr>
            <w:r>
              <w:rPr>
                <w:b/>
                <w:color w:val="FFFFFF"/>
                <w:sz w:val="20"/>
              </w:rPr>
              <w:t>Activity</w:t>
            </w:r>
          </w:p>
        </w:tc>
      </w:tr>
      <w:tr>
        <w:tc>
          <w:tcPr>
            <w:tcW w:type="dxa" w:w="1872"/>
          </w:tcPr>
          <w:p>
            <w:r>
              <w:rPr>
                <w:sz w:val="20"/>
              </w:rPr>
              <w:t>O-Demethylation</w:t>
            </w:r>
          </w:p>
        </w:tc>
        <w:tc>
          <w:tcPr>
            <w:tcW w:type="dxa" w:w="1152"/>
          </w:tcPr>
          <w:p>
            <w:r>
              <w:rPr>
                <w:sz w:val="20"/>
              </w:rPr>
              <w:t>CYP2D6</w:t>
            </w:r>
          </w:p>
        </w:tc>
        <w:tc>
          <w:tcPr>
            <w:tcW w:type="dxa" w:w="1152"/>
          </w:tcPr>
          <w:p>
            <w:r>
              <w:rPr>
                <w:sz w:val="20"/>
              </w:rPr>
              <w:t>~65%</w:t>
            </w:r>
          </w:p>
        </w:tc>
        <w:tc>
          <w:tcPr>
            <w:tcW w:type="dxa" w:w="2592"/>
          </w:tcPr>
          <w:p>
            <w:r>
              <w:rPr>
                <w:sz w:val="20"/>
              </w:rPr>
              <w:t>M1 (O-desmethyl-metopravil)</w:t>
            </w:r>
          </w:p>
        </w:tc>
        <w:tc>
          <w:tcPr>
            <w:tcW w:type="dxa" w:w="1296"/>
          </w:tcPr>
          <w:p>
            <w:r>
              <w:rPr>
                <w:sz w:val="20"/>
              </w:rPr>
              <w:t>&lt;1/100 parent</w:t>
            </w:r>
          </w:p>
        </w:tc>
      </w:tr>
      <w:tr>
        <w:tc>
          <w:tcPr>
            <w:tcW w:type="dxa" w:w="1872"/>
          </w:tcPr>
          <w:p>
            <w:r>
              <w:rPr>
                <w:sz w:val="20"/>
              </w:rPr>
              <w:t>α-Hydroxylation</w:t>
            </w:r>
          </w:p>
        </w:tc>
        <w:tc>
          <w:tcPr>
            <w:tcW w:type="dxa" w:w="1152"/>
          </w:tcPr>
          <w:p>
            <w:r>
              <w:rPr>
                <w:sz w:val="20"/>
              </w:rPr>
              <w:t>CYP3A4</w:t>
            </w:r>
          </w:p>
        </w:tc>
        <w:tc>
          <w:tcPr>
            <w:tcW w:type="dxa" w:w="1152"/>
          </w:tcPr>
          <w:p>
            <w:r>
              <w:rPr>
                <w:sz w:val="20"/>
              </w:rPr>
              <w:t>~25%</w:t>
            </w:r>
          </w:p>
        </w:tc>
        <w:tc>
          <w:tcPr>
            <w:tcW w:type="dxa" w:w="2592"/>
          </w:tcPr>
          <w:p>
            <w:r>
              <w:rPr>
                <w:sz w:val="20"/>
              </w:rPr>
              <w:t>M2 (α-hydroxy-metopravil)</w:t>
            </w:r>
          </w:p>
        </w:tc>
        <w:tc>
          <w:tcPr>
            <w:tcW w:type="dxa" w:w="1296"/>
          </w:tcPr>
          <w:p>
            <w:r>
              <w:rPr>
                <w:sz w:val="20"/>
              </w:rPr>
              <w:t>&lt;1/500 parent</w:t>
            </w:r>
          </w:p>
        </w:tc>
      </w:tr>
      <w:tr>
        <w:tc>
          <w:tcPr>
            <w:tcW w:type="dxa" w:w="1872"/>
          </w:tcPr>
          <w:p>
            <w:r>
              <w:rPr>
                <w:sz w:val="20"/>
              </w:rPr>
              <w:t>N-Dealkylation</w:t>
            </w:r>
          </w:p>
        </w:tc>
        <w:tc>
          <w:tcPr>
            <w:tcW w:type="dxa" w:w="1152"/>
          </w:tcPr>
          <w:p>
            <w:r>
              <w:rPr>
                <w:sz w:val="20"/>
              </w:rPr>
              <w:t>CYP2D6</w:t>
            </w:r>
          </w:p>
        </w:tc>
        <w:tc>
          <w:tcPr>
            <w:tcW w:type="dxa" w:w="1152"/>
          </w:tcPr>
          <w:p>
            <w:r>
              <w:rPr>
                <w:sz w:val="20"/>
              </w:rPr>
              <w:t>~10%</w:t>
            </w:r>
          </w:p>
        </w:tc>
        <w:tc>
          <w:tcPr>
            <w:tcW w:type="dxa" w:w="2592"/>
          </w:tcPr>
          <w:p>
            <w:r>
              <w:rPr>
                <w:sz w:val="20"/>
              </w:rPr>
              <w:t>M3 (N-desisopropyl-metopravil)</w:t>
            </w:r>
          </w:p>
        </w:tc>
        <w:tc>
          <w:tcPr>
            <w:tcW w:type="dxa" w:w="1296"/>
          </w:tcPr>
          <w:p>
            <w:r>
              <w:rPr>
                <w:sz w:val="20"/>
              </w:rPr>
              <w:t>Inactive</w:t>
            </w:r>
          </w:p>
        </w:tc>
      </w:tr>
      <w:tr>
        <w:tc>
          <w:tcPr>
            <w:tcW w:type="dxa" w:w="1872"/>
          </w:tcPr>
          <w:p>
            <w:r>
              <w:rPr>
                <w:sz w:val="20"/>
              </w:rPr>
              <w:t>Glucuronidation (Phase II)</w:t>
            </w:r>
          </w:p>
        </w:tc>
        <w:tc>
          <w:tcPr>
            <w:tcW w:type="dxa" w:w="1152"/>
          </w:tcPr>
          <w:p>
            <w:r>
              <w:rPr>
                <w:sz w:val="20"/>
              </w:rPr>
              <w:t>UGT2B7</w:t>
            </w:r>
          </w:p>
        </w:tc>
        <w:tc>
          <w:tcPr>
            <w:tcW w:type="dxa" w:w="1152"/>
          </w:tcPr>
          <w:p>
            <w:r>
              <w:rPr>
                <w:sz w:val="20"/>
              </w:rPr>
              <w:t>Secondary</w:t>
            </w:r>
          </w:p>
        </w:tc>
        <w:tc>
          <w:tcPr>
            <w:tcW w:type="dxa" w:w="2592"/>
          </w:tcPr>
          <w:p>
            <w:r>
              <w:rPr>
                <w:sz w:val="20"/>
              </w:rPr>
              <w:t>M1-G, M2-G conjugates</w:t>
            </w:r>
          </w:p>
        </w:tc>
        <w:tc>
          <w:tcPr>
            <w:tcW w:type="dxa" w:w="1296"/>
          </w:tcPr>
          <w:p>
            <w:r>
              <w:rPr>
                <w:sz w:val="20"/>
              </w:rPr>
              <w:t>Inactive</w:t>
            </w:r>
          </w:p>
        </w:tc>
      </w:tr>
    </w:tbl>
    <w:p/>
    <w:p>
      <w:pPr>
        <w:pStyle w:val="Heading2"/>
      </w:pPr>
      <w:r>
        <w:t>8.5 Elimination</w:t>
      </w:r>
    </w:p>
    <w:p>
      <w:r>
        <w:t>Mean terminal t½: 14.6 h. Urinary excretion: 72% (5% unchanged). Fecal excretion: 18%. Renal clearance of parent: 4.6 L/h. Steady state achieved within 3–4 days with once-daily dosing (accumulation index 1.3). No evidence of time-dependent pharmacokinetics over 12 months.</w:t>
      </w:r>
    </w:p>
    <w:p>
      <w:r>
        <w:br w:type="page"/>
      </w:r>
    </w:p>
    <w:p>
      <w:pPr>
        <w:pStyle w:val="Heading1"/>
      </w:pPr>
      <w:r>
        <w:t>9. Pharmacokinetics in Special Populations</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872"/>
            <w:shd w:fill="003366"/>
          </w:tcPr>
          <w:p>
            <w:pPr>
              <w:jc w:val="center"/>
            </w:pPr>
            <w:r>
              <w:rPr>
                <w:b/>
                <w:color w:val="FFFFFF"/>
                <w:sz w:val="20"/>
              </w:rPr>
              <w:t>Population</w:t>
            </w:r>
          </w:p>
        </w:tc>
        <w:tc>
          <w:tcPr>
            <w:tcW w:type="dxa" w:w="864"/>
            <w:shd w:fill="003366"/>
          </w:tcPr>
          <w:p>
            <w:pPr>
              <w:jc w:val="center"/>
            </w:pPr>
            <w:r>
              <w:rPr>
                <w:b/>
                <w:color w:val="FFFFFF"/>
                <w:sz w:val="20"/>
              </w:rPr>
              <w:t>Study</w:t>
            </w:r>
          </w:p>
        </w:tc>
        <w:tc>
          <w:tcPr>
            <w:tcW w:type="dxa" w:w="432"/>
            <w:shd w:fill="003366"/>
          </w:tcPr>
          <w:p>
            <w:pPr>
              <w:jc w:val="center"/>
            </w:pPr>
            <w:r>
              <w:rPr>
                <w:b/>
                <w:color w:val="FFFFFF"/>
                <w:sz w:val="20"/>
              </w:rPr>
              <w:t>N</w:t>
            </w:r>
          </w:p>
        </w:tc>
        <w:tc>
          <w:tcPr>
            <w:tcW w:type="dxa" w:w="864"/>
            <w:shd w:fill="003366"/>
          </w:tcPr>
          <w:p>
            <w:pPr>
              <w:jc w:val="center"/>
            </w:pPr>
            <w:r>
              <w:rPr>
                <w:b/>
                <w:color w:val="FFFFFF"/>
                <w:sz w:val="20"/>
              </w:rPr>
              <w:t>ΔCmax</w:t>
            </w:r>
          </w:p>
        </w:tc>
        <w:tc>
          <w:tcPr>
            <w:tcW w:type="dxa" w:w="864"/>
            <w:shd w:fill="003366"/>
          </w:tcPr>
          <w:p>
            <w:pPr>
              <w:jc w:val="center"/>
            </w:pPr>
            <w:r>
              <w:rPr>
                <w:b/>
                <w:color w:val="FFFFFF"/>
                <w:sz w:val="20"/>
              </w:rPr>
              <w:t>ΔAUC</w:t>
            </w:r>
          </w:p>
        </w:tc>
        <w:tc>
          <w:tcPr>
            <w:tcW w:type="dxa" w:w="720"/>
            <w:shd w:fill="003366"/>
          </w:tcPr>
          <w:p>
            <w:pPr>
              <w:jc w:val="center"/>
            </w:pPr>
            <w:r>
              <w:rPr>
                <w:b/>
                <w:color w:val="FFFFFF"/>
                <w:sz w:val="20"/>
              </w:rPr>
              <w:t>Δt½</w:t>
            </w:r>
          </w:p>
        </w:tc>
        <w:tc>
          <w:tcPr>
            <w:tcW w:type="dxa" w:w="2880"/>
            <w:shd w:fill="003366"/>
          </w:tcPr>
          <w:p>
            <w:pPr>
              <w:jc w:val="center"/>
            </w:pPr>
            <w:r>
              <w:rPr>
                <w:b/>
                <w:color w:val="FFFFFF"/>
                <w:sz w:val="20"/>
              </w:rPr>
              <w:t>Dose Recommendation</w:t>
            </w:r>
          </w:p>
        </w:tc>
      </w:tr>
      <w:tr>
        <w:tc>
          <w:tcPr>
            <w:tcW w:type="dxa" w:w="1872"/>
          </w:tcPr>
          <w:p>
            <w:r>
              <w:rPr>
                <w:sz w:val="20"/>
              </w:rPr>
              <w:t>Elderly (≥65 y)</w:t>
            </w:r>
          </w:p>
        </w:tc>
        <w:tc>
          <w:tcPr>
            <w:tcW w:type="dxa" w:w="864"/>
          </w:tcPr>
          <w:p>
            <w:r>
              <w:rPr>
                <w:sz w:val="20"/>
              </w:rPr>
              <w:t>CV-103</w:t>
            </w:r>
          </w:p>
        </w:tc>
        <w:tc>
          <w:tcPr>
            <w:tcW w:type="dxa" w:w="432"/>
          </w:tcPr>
          <w:p>
            <w:r>
              <w:rPr>
                <w:sz w:val="20"/>
              </w:rPr>
              <w:t>18</w:t>
            </w:r>
          </w:p>
        </w:tc>
        <w:tc>
          <w:tcPr>
            <w:tcW w:type="dxa" w:w="864"/>
          </w:tcPr>
          <w:p>
            <w:r>
              <w:rPr>
                <w:sz w:val="20"/>
              </w:rPr>
              <w:t>+22%</w:t>
            </w:r>
          </w:p>
        </w:tc>
        <w:tc>
          <w:tcPr>
            <w:tcW w:type="dxa" w:w="864"/>
          </w:tcPr>
          <w:p>
            <w:r>
              <w:rPr>
                <w:sz w:val="20"/>
              </w:rPr>
              <w:t>+28%</w:t>
            </w:r>
          </w:p>
        </w:tc>
        <w:tc>
          <w:tcPr>
            <w:tcW w:type="dxa" w:w="720"/>
          </w:tcPr>
          <w:p>
            <w:r>
              <w:rPr>
                <w:sz w:val="20"/>
              </w:rPr>
              <w:t>+18%</w:t>
            </w:r>
          </w:p>
        </w:tc>
        <w:tc>
          <w:tcPr>
            <w:tcW w:type="dxa" w:w="2880"/>
          </w:tcPr>
          <w:p>
            <w:r>
              <w:rPr>
                <w:sz w:val="20"/>
              </w:rPr>
              <w:t>Start 50 mg; titrate carefully</w:t>
            </w:r>
          </w:p>
        </w:tc>
      </w:tr>
      <w:tr>
        <w:tc>
          <w:tcPr>
            <w:tcW w:type="dxa" w:w="1872"/>
          </w:tcPr>
          <w:p>
            <w:r>
              <w:rPr>
                <w:sz w:val="20"/>
              </w:rPr>
              <w:t>Hepatic mild (CP-A)</w:t>
            </w:r>
          </w:p>
        </w:tc>
        <w:tc>
          <w:tcPr>
            <w:tcW w:type="dxa" w:w="864"/>
          </w:tcPr>
          <w:p>
            <w:r>
              <w:rPr>
                <w:sz w:val="20"/>
              </w:rPr>
              <w:t>CV-106</w:t>
            </w:r>
          </w:p>
        </w:tc>
        <w:tc>
          <w:tcPr>
            <w:tcW w:type="dxa" w:w="432"/>
          </w:tcPr>
          <w:p>
            <w:r>
              <w:rPr>
                <w:sz w:val="20"/>
              </w:rPr>
              <w:t>12</w:t>
            </w:r>
          </w:p>
        </w:tc>
        <w:tc>
          <w:tcPr>
            <w:tcW w:type="dxa" w:w="864"/>
          </w:tcPr>
          <w:p>
            <w:r>
              <w:rPr>
                <w:sz w:val="20"/>
              </w:rPr>
              <w:t>+15%</w:t>
            </w:r>
          </w:p>
        </w:tc>
        <w:tc>
          <w:tcPr>
            <w:tcW w:type="dxa" w:w="864"/>
          </w:tcPr>
          <w:p>
            <w:r>
              <w:rPr>
                <w:sz w:val="20"/>
              </w:rPr>
              <w:t>+35%</w:t>
            </w:r>
          </w:p>
        </w:tc>
        <w:tc>
          <w:tcPr>
            <w:tcW w:type="dxa" w:w="720"/>
          </w:tcPr>
          <w:p>
            <w:r>
              <w:rPr>
                <w:sz w:val="20"/>
              </w:rPr>
              <w:t>+24%</w:t>
            </w:r>
          </w:p>
        </w:tc>
        <w:tc>
          <w:tcPr>
            <w:tcW w:type="dxa" w:w="2880"/>
          </w:tcPr>
          <w:p>
            <w:r>
              <w:rPr>
                <w:sz w:val="20"/>
              </w:rPr>
              <w:t>No adjustment</w:t>
            </w:r>
          </w:p>
        </w:tc>
      </w:tr>
      <w:tr>
        <w:tc>
          <w:tcPr>
            <w:tcW w:type="dxa" w:w="1872"/>
          </w:tcPr>
          <w:p>
            <w:r>
              <w:rPr>
                <w:sz w:val="20"/>
              </w:rPr>
              <w:t>Hepatic moderate (CP-B)</w:t>
            </w:r>
          </w:p>
        </w:tc>
        <w:tc>
          <w:tcPr>
            <w:tcW w:type="dxa" w:w="864"/>
          </w:tcPr>
          <w:p>
            <w:r>
              <w:rPr>
                <w:sz w:val="20"/>
              </w:rPr>
              <w:t>CV-106</w:t>
            </w:r>
          </w:p>
        </w:tc>
        <w:tc>
          <w:tcPr>
            <w:tcW w:type="dxa" w:w="432"/>
          </w:tcPr>
          <w:p>
            <w:r>
              <w:rPr>
                <w:sz w:val="20"/>
              </w:rPr>
              <w:t>10</w:t>
            </w:r>
          </w:p>
        </w:tc>
        <w:tc>
          <w:tcPr>
            <w:tcW w:type="dxa" w:w="864"/>
          </w:tcPr>
          <w:p>
            <w:r>
              <w:rPr>
                <w:sz w:val="20"/>
              </w:rPr>
              <w:t>+42%</w:t>
            </w:r>
          </w:p>
        </w:tc>
        <w:tc>
          <w:tcPr>
            <w:tcW w:type="dxa" w:w="864"/>
          </w:tcPr>
          <w:p>
            <w:r>
              <w:rPr>
                <w:sz w:val="20"/>
              </w:rPr>
              <w:t>+65%</w:t>
            </w:r>
          </w:p>
        </w:tc>
        <w:tc>
          <w:tcPr>
            <w:tcW w:type="dxa" w:w="720"/>
          </w:tcPr>
          <w:p>
            <w:r>
              <w:rPr>
                <w:sz w:val="20"/>
              </w:rPr>
              <w:t>+48%</w:t>
            </w:r>
          </w:p>
        </w:tc>
        <w:tc>
          <w:tcPr>
            <w:tcW w:type="dxa" w:w="2880"/>
          </w:tcPr>
          <w:p>
            <w:r>
              <w:rPr>
                <w:sz w:val="20"/>
              </w:rPr>
              <w:t>Max 100 mg; monitor</w:t>
            </w:r>
          </w:p>
        </w:tc>
      </w:tr>
      <w:tr>
        <w:tc>
          <w:tcPr>
            <w:tcW w:type="dxa" w:w="1872"/>
          </w:tcPr>
          <w:p>
            <w:r>
              <w:rPr>
                <w:sz w:val="20"/>
              </w:rPr>
              <w:t>Hepatic severe (CP-C)</w:t>
            </w:r>
          </w:p>
        </w:tc>
        <w:tc>
          <w:tcPr>
            <w:tcW w:type="dxa" w:w="864"/>
          </w:tcPr>
          <w:p>
            <w:r>
              <w:rPr>
                <w:sz w:val="20"/>
              </w:rPr>
              <w:t>CV-106</w:t>
            </w:r>
          </w:p>
        </w:tc>
        <w:tc>
          <w:tcPr>
            <w:tcW w:type="dxa" w:w="432"/>
          </w:tcPr>
          <w:p>
            <w:r>
              <w:rPr>
                <w:sz w:val="20"/>
              </w:rPr>
              <w:t>8</w:t>
            </w:r>
          </w:p>
        </w:tc>
        <w:tc>
          <w:tcPr>
            <w:tcW w:type="dxa" w:w="864"/>
          </w:tcPr>
          <w:p>
            <w:r>
              <w:rPr>
                <w:sz w:val="20"/>
              </w:rPr>
              <w:t>+88%</w:t>
            </w:r>
          </w:p>
        </w:tc>
        <w:tc>
          <w:tcPr>
            <w:tcW w:type="dxa" w:w="864"/>
          </w:tcPr>
          <w:p>
            <w:r>
              <w:rPr>
                <w:sz w:val="20"/>
              </w:rPr>
              <w:t>+145%</w:t>
            </w:r>
          </w:p>
        </w:tc>
        <w:tc>
          <w:tcPr>
            <w:tcW w:type="dxa" w:w="720"/>
          </w:tcPr>
          <w:p>
            <w:r>
              <w:rPr>
                <w:sz w:val="20"/>
              </w:rPr>
              <w:t>+82%</w:t>
            </w:r>
          </w:p>
        </w:tc>
        <w:tc>
          <w:tcPr>
            <w:tcW w:type="dxa" w:w="2880"/>
          </w:tcPr>
          <w:p>
            <w:r>
              <w:rPr>
                <w:sz w:val="20"/>
              </w:rPr>
              <w:t>Contraindicated</w:t>
            </w:r>
          </w:p>
        </w:tc>
      </w:tr>
      <w:tr>
        <w:tc>
          <w:tcPr>
            <w:tcW w:type="dxa" w:w="1872"/>
          </w:tcPr>
          <w:p>
            <w:r>
              <w:rPr>
                <w:sz w:val="20"/>
              </w:rPr>
              <w:t>Renal mod (eGFR 30–59)</w:t>
            </w:r>
          </w:p>
        </w:tc>
        <w:tc>
          <w:tcPr>
            <w:tcW w:type="dxa" w:w="864"/>
          </w:tcPr>
          <w:p>
            <w:r>
              <w:rPr>
                <w:sz w:val="20"/>
              </w:rPr>
              <w:t>CV-107</w:t>
            </w:r>
          </w:p>
        </w:tc>
        <w:tc>
          <w:tcPr>
            <w:tcW w:type="dxa" w:w="432"/>
          </w:tcPr>
          <w:p>
            <w:r>
              <w:rPr>
                <w:sz w:val="20"/>
              </w:rPr>
              <w:t>14</w:t>
            </w:r>
          </w:p>
        </w:tc>
        <w:tc>
          <w:tcPr>
            <w:tcW w:type="dxa" w:w="864"/>
          </w:tcPr>
          <w:p>
            <w:r>
              <w:rPr>
                <w:sz w:val="20"/>
              </w:rPr>
              <w:t>+8%</w:t>
            </w:r>
          </w:p>
        </w:tc>
        <w:tc>
          <w:tcPr>
            <w:tcW w:type="dxa" w:w="864"/>
          </w:tcPr>
          <w:p>
            <w:r>
              <w:rPr>
                <w:sz w:val="20"/>
              </w:rPr>
              <w:t>+12%</w:t>
            </w:r>
          </w:p>
        </w:tc>
        <w:tc>
          <w:tcPr>
            <w:tcW w:type="dxa" w:w="720"/>
          </w:tcPr>
          <w:p>
            <w:r>
              <w:rPr>
                <w:sz w:val="20"/>
              </w:rPr>
              <w:t>+6%</w:t>
            </w:r>
          </w:p>
        </w:tc>
        <w:tc>
          <w:tcPr>
            <w:tcW w:type="dxa" w:w="2880"/>
          </w:tcPr>
          <w:p>
            <w:r>
              <w:rPr>
                <w:sz w:val="20"/>
              </w:rPr>
              <w:t>No adjustment</w:t>
            </w:r>
          </w:p>
        </w:tc>
      </w:tr>
      <w:tr>
        <w:tc>
          <w:tcPr>
            <w:tcW w:type="dxa" w:w="1872"/>
          </w:tcPr>
          <w:p>
            <w:r>
              <w:rPr>
                <w:sz w:val="20"/>
              </w:rPr>
              <w:t>Renal severe (eGFR 15–29)</w:t>
            </w:r>
          </w:p>
        </w:tc>
        <w:tc>
          <w:tcPr>
            <w:tcW w:type="dxa" w:w="864"/>
          </w:tcPr>
          <w:p>
            <w:r>
              <w:rPr>
                <w:sz w:val="20"/>
              </w:rPr>
              <w:t>CV-107</w:t>
            </w:r>
          </w:p>
        </w:tc>
        <w:tc>
          <w:tcPr>
            <w:tcW w:type="dxa" w:w="432"/>
          </w:tcPr>
          <w:p>
            <w:r>
              <w:rPr>
                <w:sz w:val="20"/>
              </w:rPr>
              <w:t>10</w:t>
            </w:r>
          </w:p>
        </w:tc>
        <w:tc>
          <w:tcPr>
            <w:tcW w:type="dxa" w:w="864"/>
          </w:tcPr>
          <w:p>
            <w:r>
              <w:rPr>
                <w:sz w:val="20"/>
              </w:rPr>
              <w:t>+18%</w:t>
            </w:r>
          </w:p>
        </w:tc>
        <w:tc>
          <w:tcPr>
            <w:tcW w:type="dxa" w:w="864"/>
          </w:tcPr>
          <w:p>
            <w:r>
              <w:rPr>
                <w:sz w:val="20"/>
              </w:rPr>
              <w:t>+32%</w:t>
            </w:r>
          </w:p>
        </w:tc>
        <w:tc>
          <w:tcPr>
            <w:tcW w:type="dxa" w:w="720"/>
          </w:tcPr>
          <w:p>
            <w:r>
              <w:rPr>
                <w:sz w:val="20"/>
              </w:rPr>
              <w:t>+14%</w:t>
            </w:r>
          </w:p>
        </w:tc>
        <w:tc>
          <w:tcPr>
            <w:tcW w:type="dxa" w:w="2880"/>
          </w:tcPr>
          <w:p>
            <w:r>
              <w:rPr>
                <w:sz w:val="20"/>
              </w:rPr>
              <w:t>Start 50 mg</w:t>
            </w:r>
          </w:p>
        </w:tc>
      </w:tr>
      <w:tr>
        <w:tc>
          <w:tcPr>
            <w:tcW w:type="dxa" w:w="1872"/>
          </w:tcPr>
          <w:p>
            <w:r>
              <w:rPr>
                <w:sz w:val="20"/>
              </w:rPr>
              <w:t>ESRD (dialysis)</w:t>
            </w:r>
          </w:p>
        </w:tc>
        <w:tc>
          <w:tcPr>
            <w:tcW w:type="dxa" w:w="864"/>
          </w:tcPr>
          <w:p>
            <w:r>
              <w:rPr>
                <w:sz w:val="20"/>
              </w:rPr>
              <w:t>CV-107</w:t>
            </w:r>
          </w:p>
        </w:tc>
        <w:tc>
          <w:tcPr>
            <w:tcW w:type="dxa" w:w="432"/>
          </w:tcPr>
          <w:p>
            <w:r>
              <w:rPr>
                <w:sz w:val="20"/>
              </w:rPr>
              <w:t>6</w:t>
            </w:r>
          </w:p>
        </w:tc>
        <w:tc>
          <w:tcPr>
            <w:tcW w:type="dxa" w:w="864"/>
          </w:tcPr>
          <w:p>
            <w:r>
              <w:rPr>
                <w:sz w:val="20"/>
              </w:rPr>
              <w:t>+38%</w:t>
            </w:r>
          </w:p>
        </w:tc>
        <w:tc>
          <w:tcPr>
            <w:tcW w:type="dxa" w:w="864"/>
          </w:tcPr>
          <w:p>
            <w:r>
              <w:rPr>
                <w:sz w:val="20"/>
              </w:rPr>
              <w:t>+56%</w:t>
            </w:r>
          </w:p>
        </w:tc>
        <w:tc>
          <w:tcPr>
            <w:tcW w:type="dxa" w:w="720"/>
          </w:tcPr>
          <w:p>
            <w:r>
              <w:rPr>
                <w:sz w:val="20"/>
              </w:rPr>
              <w:t>+28%</w:t>
            </w:r>
          </w:p>
        </w:tc>
        <w:tc>
          <w:tcPr>
            <w:tcW w:type="dxa" w:w="2880"/>
          </w:tcPr>
          <w:p>
            <w:r>
              <w:rPr>
                <w:sz w:val="20"/>
              </w:rPr>
              <w:t>Max 50 mg post-dialysis</w:t>
            </w:r>
          </w:p>
        </w:tc>
      </w:tr>
      <w:tr>
        <w:tc>
          <w:tcPr>
            <w:tcW w:type="dxa" w:w="1872"/>
          </w:tcPr>
          <w:p>
            <w:r>
              <w:rPr>
                <w:sz w:val="20"/>
              </w:rPr>
              <w:t>CYP2D6 PM</w:t>
            </w:r>
          </w:p>
        </w:tc>
        <w:tc>
          <w:tcPr>
            <w:tcW w:type="dxa" w:w="864"/>
          </w:tcPr>
          <w:p>
            <w:r>
              <w:rPr>
                <w:sz w:val="20"/>
              </w:rPr>
              <w:t>CV-108</w:t>
            </w:r>
          </w:p>
        </w:tc>
        <w:tc>
          <w:tcPr>
            <w:tcW w:type="dxa" w:w="432"/>
          </w:tcPr>
          <w:p>
            <w:r>
              <w:rPr>
                <w:sz w:val="20"/>
              </w:rPr>
              <w:t>8</w:t>
            </w:r>
          </w:p>
        </w:tc>
        <w:tc>
          <w:tcPr>
            <w:tcW w:type="dxa" w:w="864"/>
          </w:tcPr>
          <w:p>
            <w:r>
              <w:rPr>
                <w:sz w:val="20"/>
              </w:rPr>
              <w:t>+32%</w:t>
            </w:r>
          </w:p>
        </w:tc>
        <w:tc>
          <w:tcPr>
            <w:tcW w:type="dxa" w:w="864"/>
          </w:tcPr>
          <w:p>
            <w:r>
              <w:rPr>
                <w:sz w:val="20"/>
              </w:rPr>
              <w:t>+42%</w:t>
            </w:r>
          </w:p>
        </w:tc>
        <w:tc>
          <w:tcPr>
            <w:tcW w:type="dxa" w:w="720"/>
          </w:tcPr>
          <w:p>
            <w:r>
              <w:rPr>
                <w:sz w:val="20"/>
              </w:rPr>
              <w:t>+22%</w:t>
            </w:r>
          </w:p>
        </w:tc>
        <w:tc>
          <w:tcPr>
            <w:tcW w:type="dxa" w:w="2880"/>
          </w:tcPr>
          <w:p>
            <w:r>
              <w:rPr>
                <w:sz w:val="20"/>
              </w:rPr>
              <w:t>No adjustment (wide TI)</w:t>
            </w:r>
          </w:p>
        </w:tc>
      </w:tr>
      <w:tr>
        <w:tc>
          <w:tcPr>
            <w:tcW w:type="dxa" w:w="1872"/>
          </w:tcPr>
          <w:p>
            <w:r>
              <w:rPr>
                <w:sz w:val="20"/>
              </w:rPr>
              <w:t>CYP2D6 UM</w:t>
            </w:r>
          </w:p>
        </w:tc>
        <w:tc>
          <w:tcPr>
            <w:tcW w:type="dxa" w:w="864"/>
          </w:tcPr>
          <w:p>
            <w:r>
              <w:rPr>
                <w:sz w:val="20"/>
              </w:rPr>
              <w:t>CV-108</w:t>
            </w:r>
          </w:p>
        </w:tc>
        <w:tc>
          <w:tcPr>
            <w:tcW w:type="dxa" w:w="432"/>
          </w:tcPr>
          <w:p>
            <w:r>
              <w:rPr>
                <w:sz w:val="20"/>
              </w:rPr>
              <w:t>6</w:t>
            </w:r>
          </w:p>
        </w:tc>
        <w:tc>
          <w:tcPr>
            <w:tcW w:type="dxa" w:w="864"/>
          </w:tcPr>
          <w:p>
            <w:r>
              <w:rPr>
                <w:sz w:val="20"/>
              </w:rPr>
              <w:t>−24%</w:t>
            </w:r>
          </w:p>
        </w:tc>
        <w:tc>
          <w:tcPr>
            <w:tcW w:type="dxa" w:w="864"/>
          </w:tcPr>
          <w:p>
            <w:r>
              <w:rPr>
                <w:sz w:val="20"/>
              </w:rPr>
              <w:t>−28%</w:t>
            </w:r>
          </w:p>
        </w:tc>
        <w:tc>
          <w:tcPr>
            <w:tcW w:type="dxa" w:w="720"/>
          </w:tcPr>
          <w:p>
            <w:r>
              <w:rPr>
                <w:sz w:val="20"/>
              </w:rPr>
              <w:t>−14%</w:t>
            </w:r>
          </w:p>
        </w:tc>
        <w:tc>
          <w:tcPr>
            <w:tcW w:type="dxa" w:w="2880"/>
          </w:tcPr>
          <w:p>
            <w:r>
              <w:rPr>
                <w:sz w:val="20"/>
              </w:rPr>
              <w:t>May need higher dose; monitor BP</w:t>
            </w:r>
          </w:p>
        </w:tc>
      </w:tr>
      <w:tr>
        <w:tc>
          <w:tcPr>
            <w:tcW w:type="dxa" w:w="1872"/>
          </w:tcPr>
          <w:p>
            <w:r>
              <w:rPr>
                <w:sz w:val="20"/>
              </w:rPr>
              <w:t>Adolescent (12–17 y)</w:t>
            </w:r>
          </w:p>
        </w:tc>
        <w:tc>
          <w:tcPr>
            <w:tcW w:type="dxa" w:w="864"/>
          </w:tcPr>
          <w:p>
            <w:r>
              <w:rPr>
                <w:sz w:val="20"/>
              </w:rPr>
              <w:t>CV-204</w:t>
            </w:r>
          </w:p>
        </w:tc>
        <w:tc>
          <w:tcPr>
            <w:tcW w:type="dxa" w:w="432"/>
          </w:tcPr>
          <w:p>
            <w:r>
              <w:rPr>
                <w:sz w:val="20"/>
              </w:rPr>
              <w:t>36</w:t>
            </w:r>
          </w:p>
        </w:tc>
        <w:tc>
          <w:tcPr>
            <w:tcW w:type="dxa" w:w="864"/>
          </w:tcPr>
          <w:p>
            <w:r>
              <w:rPr>
                <w:sz w:val="20"/>
              </w:rPr>
              <w:t>−8%</w:t>
            </w:r>
          </w:p>
        </w:tc>
        <w:tc>
          <w:tcPr>
            <w:tcW w:type="dxa" w:w="864"/>
          </w:tcPr>
          <w:p>
            <w:r>
              <w:rPr>
                <w:sz w:val="20"/>
              </w:rPr>
              <w:t>−5%</w:t>
            </w:r>
          </w:p>
        </w:tc>
        <w:tc>
          <w:tcPr>
            <w:tcW w:type="dxa" w:w="720"/>
          </w:tcPr>
          <w:p>
            <w:r>
              <w:rPr>
                <w:sz w:val="20"/>
              </w:rPr>
              <w:t>−12%</w:t>
            </w:r>
          </w:p>
        </w:tc>
        <w:tc>
          <w:tcPr>
            <w:tcW w:type="dxa" w:w="2880"/>
          </w:tcPr>
          <w:p>
            <w:r>
              <w:rPr>
                <w:sz w:val="20"/>
              </w:rPr>
              <w:t>Not approved &lt;18 y</w:t>
            </w:r>
          </w:p>
        </w:tc>
      </w:tr>
      <w:tr>
        <w:tc>
          <w:tcPr>
            <w:tcW w:type="dxa" w:w="1872"/>
          </w:tcPr>
          <w:p>
            <w:r>
              <w:rPr>
                <w:sz w:val="20"/>
              </w:rPr>
              <w:t>Obese (BMI &gt;35)</w:t>
            </w:r>
          </w:p>
        </w:tc>
        <w:tc>
          <w:tcPr>
            <w:tcW w:type="dxa" w:w="864"/>
          </w:tcPr>
          <w:p>
            <w:r>
              <w:rPr>
                <w:sz w:val="20"/>
              </w:rPr>
              <w:t>CV-109</w:t>
            </w:r>
          </w:p>
        </w:tc>
        <w:tc>
          <w:tcPr>
            <w:tcW w:type="dxa" w:w="432"/>
          </w:tcPr>
          <w:p>
            <w:r>
              <w:rPr>
                <w:sz w:val="20"/>
              </w:rPr>
              <w:t>20</w:t>
            </w:r>
          </w:p>
        </w:tc>
        <w:tc>
          <w:tcPr>
            <w:tcW w:type="dxa" w:w="864"/>
          </w:tcPr>
          <w:p>
            <w:r>
              <w:rPr>
                <w:sz w:val="20"/>
              </w:rPr>
              <w:t>−12%</w:t>
            </w:r>
          </w:p>
        </w:tc>
        <w:tc>
          <w:tcPr>
            <w:tcW w:type="dxa" w:w="864"/>
          </w:tcPr>
          <w:p>
            <w:r>
              <w:rPr>
                <w:sz w:val="20"/>
              </w:rPr>
              <w:t>+8%</w:t>
            </w:r>
          </w:p>
        </w:tc>
        <w:tc>
          <w:tcPr>
            <w:tcW w:type="dxa" w:w="720"/>
          </w:tcPr>
          <w:p>
            <w:r>
              <w:rPr>
                <w:sz w:val="20"/>
              </w:rPr>
              <w:t>+6%</w:t>
            </w:r>
          </w:p>
        </w:tc>
        <w:tc>
          <w:tcPr>
            <w:tcW w:type="dxa" w:w="2880"/>
          </w:tcPr>
          <w:p>
            <w:r>
              <w:rPr>
                <w:sz w:val="20"/>
              </w:rPr>
              <w:t>No adjustment; weight-based not needed</w:t>
            </w:r>
          </w:p>
        </w:tc>
      </w:tr>
    </w:tbl>
    <w:p/>
    <w:p>
      <w:r>
        <w:t>Detailed study reports are available in CDR-CV-2026-001, Sections 4–5. Population PK modeling confirmed that no dose adjustments are required for age, sex, race, or body weight within the studied range.</w:t>
      </w:r>
    </w:p>
    <w:p>
      <w:r>
        <w:br w:type="page"/>
      </w:r>
    </w:p>
    <w:p>
      <w:pPr>
        <w:pStyle w:val="Heading1"/>
      </w:pPr>
      <w:r>
        <w:t>10. Approved Indications and Usage</w:t>
      </w:r>
    </w:p>
    <w:p>
      <w:pPr>
        <w:pStyle w:val="Heading2"/>
      </w:pPr>
      <w:r>
        <w:t>10.1 Hypertension</w:t>
      </w:r>
    </w:p>
    <w:p>
      <w:r>
        <w:t>Treatment of hypertension in adults to lower blood pressure. May be used as monotherapy or in combination with other antihypertensives (ACE inhibitors, ARBs, dihydropyridine CCBs, thiazide diuretics). Lowering blood pressure reduces the risk of fatal and non-fatal cardiovascular events.</w:t>
      </w:r>
    </w:p>
    <w:p>
      <w:pPr>
        <w:pStyle w:val="Heading2"/>
      </w:pPr>
      <w:r>
        <w:t>10.2 Heart Failure with Reduced Ejection Fraction (HFrEF)</w:t>
      </w:r>
    </w:p>
    <w:p>
      <w:r>
        <w:t>Treatment of stable, symptomatic (NYHA Class II–IV) chronic heart failure with LVEF ≤40%, as adjunct to standard therapy (ACE-I/ARB, diuretics, ± digitalis, ± mineralocorticoid receptor antagonists), to reduce cardiovascular death and hospitalization for heart failure.</w:t>
      </w:r>
    </w:p>
    <w:p>
      <w:pPr>
        <w:pStyle w:val="Heading2"/>
      </w:pPr>
      <w:r>
        <w:t>10.3 Stable Angina Pectoris</w:t>
      </w:r>
    </w:p>
    <w:p>
      <w:r>
        <w:t>Long-term management of chronic stable angina to reduce angina frequency, improve exercise tolerance, and decrease requirement for sublingual nitroglycerin.</w:t>
      </w:r>
    </w:p>
    <w:p>
      <w:pPr>
        <w:pStyle w:val="Heading2"/>
      </w:pPr>
      <w:r>
        <w:t>10.4 Limitations of Use</w:t>
      </w:r>
    </w:p>
    <w:p>
      <w:pPr>
        <w:pStyle w:val="ListBullet"/>
      </w:pPr>
      <w:r>
        <w:t>Not studied in acute decompensated heart failure requiring IV inotropes</w:t>
      </w:r>
    </w:p>
    <w:p>
      <w:pPr>
        <w:pStyle w:val="ListBullet"/>
      </w:pPr>
      <w:r>
        <w:t>Not indicated for hypertensive emergencies</w:t>
      </w:r>
    </w:p>
    <w:p>
      <w:pPr>
        <w:pStyle w:val="ListBullet"/>
      </w:pPr>
      <w:r>
        <w:t>Not a first-line agent for rate control in atrial fibrillation</w:t>
      </w:r>
    </w:p>
    <w:p>
      <w:pPr>
        <w:pStyle w:val="ListBullet"/>
      </w:pPr>
      <w:r>
        <w:t>Not studied in Prinzmetal's (variant) angina</w:t>
      </w:r>
    </w:p>
    <w:p>
      <w:r>
        <w:br w:type="page"/>
      </w:r>
    </w:p>
    <w:p>
      <w:pPr>
        <w:pStyle w:val="Heading1"/>
      </w:pPr>
      <w:r>
        <w:t>11. Dosage and Administration Guidelines</w:t>
      </w:r>
    </w:p>
    <w:p>
      <w:pPr>
        <w:pStyle w:val="Heading2"/>
      </w:pPr>
      <w:r>
        <w:t>11.1 Recommended Dosing by Indication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28"/>
            <w:shd w:fill="003366"/>
          </w:tcPr>
          <w:p>
            <w:pPr>
              <w:jc w:val="center"/>
            </w:pPr>
            <w:r>
              <w:rPr>
                <w:b/>
                <w:color w:val="FFFFFF"/>
                <w:sz w:val="20"/>
              </w:rPr>
              <w:t>Indication</w:t>
            </w:r>
          </w:p>
        </w:tc>
        <w:tc>
          <w:tcPr>
            <w:tcW w:type="dxa" w:w="1296"/>
            <w:shd w:fill="003366"/>
          </w:tcPr>
          <w:p>
            <w:pPr>
              <w:jc w:val="center"/>
            </w:pPr>
            <w:r>
              <w:rPr>
                <w:b/>
                <w:color w:val="FFFFFF"/>
                <w:sz w:val="20"/>
              </w:rPr>
              <w:t>Initial Dose</w:t>
            </w:r>
          </w:p>
        </w:tc>
        <w:tc>
          <w:tcPr>
            <w:tcW w:type="dxa" w:w="2304"/>
            <w:shd w:fill="003366"/>
          </w:tcPr>
          <w:p>
            <w:pPr>
              <w:jc w:val="center"/>
            </w:pPr>
            <w:r>
              <w:rPr>
                <w:b/>
                <w:color w:val="FFFFFF"/>
                <w:sz w:val="20"/>
              </w:rPr>
              <w:t>Titration Schedule</w:t>
            </w:r>
          </w:p>
        </w:tc>
        <w:tc>
          <w:tcPr>
            <w:tcW w:type="dxa" w:w="1440"/>
            <w:shd w:fill="003366"/>
          </w:tcPr>
          <w:p>
            <w:pPr>
              <w:jc w:val="center"/>
            </w:pPr>
            <w:r>
              <w:rPr>
                <w:b/>
                <w:color w:val="FFFFFF"/>
                <w:sz w:val="20"/>
              </w:rPr>
              <w:t>Target Dose</w:t>
            </w:r>
          </w:p>
        </w:tc>
        <w:tc>
          <w:tcPr>
            <w:tcW w:type="dxa" w:w="1152"/>
            <w:shd w:fill="003366"/>
          </w:tcPr>
          <w:p>
            <w:pPr>
              <w:jc w:val="center"/>
            </w:pPr>
            <w:r>
              <w:rPr>
                <w:b/>
                <w:color w:val="FFFFFF"/>
                <w:sz w:val="20"/>
              </w:rPr>
              <w:t>Max Dose</w:t>
            </w:r>
          </w:p>
        </w:tc>
      </w:tr>
      <w:tr>
        <w:tc>
          <w:tcPr>
            <w:tcW w:type="dxa" w:w="1728"/>
          </w:tcPr>
          <w:p>
            <w:r>
              <w:rPr>
                <w:sz w:val="20"/>
              </w:rPr>
              <w:t>Hypertension</w:t>
            </w:r>
          </w:p>
        </w:tc>
        <w:tc>
          <w:tcPr>
            <w:tcW w:type="dxa" w:w="1296"/>
          </w:tcPr>
          <w:p>
            <w:r>
              <w:rPr>
                <w:sz w:val="20"/>
              </w:rPr>
              <w:t>50 mg QD</w:t>
            </w:r>
          </w:p>
        </w:tc>
        <w:tc>
          <w:tcPr>
            <w:tcW w:type="dxa" w:w="2304"/>
          </w:tcPr>
          <w:p>
            <w:r>
              <w:rPr>
                <w:sz w:val="20"/>
              </w:rPr>
              <w:t>Double every 2 weeks</w:t>
            </w:r>
          </w:p>
        </w:tc>
        <w:tc>
          <w:tcPr>
            <w:tcW w:type="dxa" w:w="1440"/>
          </w:tcPr>
          <w:p>
            <w:r>
              <w:rPr>
                <w:sz w:val="20"/>
              </w:rPr>
              <w:t>100 mg QD</w:t>
            </w:r>
          </w:p>
        </w:tc>
        <w:tc>
          <w:tcPr>
            <w:tcW w:type="dxa" w:w="1152"/>
          </w:tcPr>
          <w:p>
            <w:r>
              <w:rPr>
                <w:sz w:val="20"/>
              </w:rPr>
              <w:t>200 mg QD</w:t>
            </w:r>
          </w:p>
        </w:tc>
      </w:tr>
      <w:tr>
        <w:tc>
          <w:tcPr>
            <w:tcW w:type="dxa" w:w="1728"/>
          </w:tcPr>
          <w:p>
            <w:r>
              <w:rPr>
                <w:sz w:val="20"/>
              </w:rPr>
              <w:t>HFrEF (NYHA II)</w:t>
            </w:r>
          </w:p>
        </w:tc>
        <w:tc>
          <w:tcPr>
            <w:tcW w:type="dxa" w:w="1296"/>
          </w:tcPr>
          <w:p>
            <w:r>
              <w:rPr>
                <w:sz w:val="20"/>
              </w:rPr>
              <w:t>25 mg QD</w:t>
            </w:r>
          </w:p>
        </w:tc>
        <w:tc>
          <w:tcPr>
            <w:tcW w:type="dxa" w:w="2304"/>
          </w:tcPr>
          <w:p>
            <w:r>
              <w:rPr>
                <w:sz w:val="20"/>
              </w:rPr>
              <w:t>Double every 2 weeks if tolerated</w:t>
            </w:r>
          </w:p>
        </w:tc>
        <w:tc>
          <w:tcPr>
            <w:tcW w:type="dxa" w:w="1440"/>
          </w:tcPr>
          <w:p>
            <w:r>
              <w:rPr>
                <w:sz w:val="20"/>
              </w:rPr>
              <w:t>100 mg QD</w:t>
            </w:r>
          </w:p>
        </w:tc>
        <w:tc>
          <w:tcPr>
            <w:tcW w:type="dxa" w:w="1152"/>
          </w:tcPr>
          <w:p>
            <w:r>
              <w:rPr>
                <w:sz w:val="20"/>
              </w:rPr>
              <w:t>200 mg QD</w:t>
            </w:r>
          </w:p>
        </w:tc>
      </w:tr>
      <w:tr>
        <w:tc>
          <w:tcPr>
            <w:tcW w:type="dxa" w:w="1728"/>
          </w:tcPr>
          <w:p>
            <w:r>
              <w:rPr>
                <w:sz w:val="20"/>
              </w:rPr>
              <w:t>HFrEF (NYHA III–IV)</w:t>
            </w:r>
          </w:p>
        </w:tc>
        <w:tc>
          <w:tcPr>
            <w:tcW w:type="dxa" w:w="1296"/>
          </w:tcPr>
          <w:p>
            <w:r>
              <w:rPr>
                <w:sz w:val="20"/>
              </w:rPr>
              <w:t>12.5 mg QD*</w:t>
            </w:r>
          </w:p>
        </w:tc>
        <w:tc>
          <w:tcPr>
            <w:tcW w:type="dxa" w:w="2304"/>
          </w:tcPr>
          <w:p>
            <w:r>
              <w:rPr>
                <w:sz w:val="20"/>
              </w:rPr>
              <w:t>Double every 2 weeks if tolerated</w:t>
            </w:r>
          </w:p>
        </w:tc>
        <w:tc>
          <w:tcPr>
            <w:tcW w:type="dxa" w:w="1440"/>
          </w:tcPr>
          <w:p>
            <w:r>
              <w:rPr>
                <w:sz w:val="20"/>
              </w:rPr>
              <w:t>100 mg QD</w:t>
            </w:r>
          </w:p>
        </w:tc>
        <w:tc>
          <w:tcPr>
            <w:tcW w:type="dxa" w:w="1152"/>
          </w:tcPr>
          <w:p>
            <w:r>
              <w:rPr>
                <w:sz w:val="20"/>
              </w:rPr>
              <w:t>200 mg QD</w:t>
            </w:r>
          </w:p>
        </w:tc>
      </w:tr>
      <w:tr>
        <w:tc>
          <w:tcPr>
            <w:tcW w:type="dxa" w:w="1728"/>
          </w:tcPr>
          <w:p>
            <w:r>
              <w:rPr>
                <w:sz w:val="20"/>
              </w:rPr>
              <w:t>Stable Angina</w:t>
            </w:r>
          </w:p>
        </w:tc>
        <w:tc>
          <w:tcPr>
            <w:tcW w:type="dxa" w:w="1296"/>
          </w:tcPr>
          <w:p>
            <w:r>
              <w:rPr>
                <w:sz w:val="20"/>
              </w:rPr>
              <w:t>50 mg QD</w:t>
            </w:r>
          </w:p>
        </w:tc>
        <w:tc>
          <w:tcPr>
            <w:tcW w:type="dxa" w:w="2304"/>
          </w:tcPr>
          <w:p>
            <w:r>
              <w:rPr>
                <w:sz w:val="20"/>
              </w:rPr>
              <w:t>Increase every 1 week</w:t>
            </w:r>
          </w:p>
        </w:tc>
        <w:tc>
          <w:tcPr>
            <w:tcW w:type="dxa" w:w="1440"/>
          </w:tcPr>
          <w:p>
            <w:r>
              <w:rPr>
                <w:sz w:val="20"/>
              </w:rPr>
              <w:t>100–200 mg QD</w:t>
            </w:r>
          </w:p>
        </w:tc>
        <w:tc>
          <w:tcPr>
            <w:tcW w:type="dxa" w:w="1152"/>
          </w:tcPr>
          <w:p>
            <w:r>
              <w:rPr>
                <w:sz w:val="20"/>
              </w:rPr>
              <w:t>200 mg QD</w:t>
            </w:r>
          </w:p>
        </w:tc>
      </w:tr>
    </w:tbl>
    <w:p/>
    <w:p>
      <w:r>
        <w:t>*Use scored 50 mg tablet halved. QD = once daily.</w:t>
      </w:r>
    </w:p>
    <w:p>
      <w:pPr>
        <w:pStyle w:val="Heading2"/>
      </w:pPr>
      <w:r>
        <w:t>11.2 Administration Instructions</w:t>
      </w:r>
    </w:p>
    <w:p>
      <w:pPr>
        <w:pStyle w:val="ListBullet"/>
      </w:pPr>
      <w:r>
        <w:t>Swallow tablets whole with water; do not crush, chew, or split (except scored 50 mg for HF initiation).</w:t>
      </w:r>
    </w:p>
    <w:p>
      <w:pPr>
        <w:pStyle w:val="ListBullet"/>
      </w:pPr>
      <w:r>
        <w:t>Administer at the same time each day, preferably morning.</w:t>
      </w:r>
    </w:p>
    <w:p>
      <w:pPr>
        <w:pStyle w:val="ListBullet"/>
      </w:pPr>
      <w:r>
        <w:t>May be taken with or without food.</w:t>
      </w:r>
    </w:p>
    <w:p>
      <w:pPr>
        <w:pStyle w:val="ListBullet"/>
      </w:pPr>
      <w:r>
        <w:t>If a dose is missed, take as soon as remembered unless next dose due within 8 hours.</w:t>
      </w:r>
    </w:p>
    <w:p>
      <w:pPr>
        <w:pStyle w:val="ListBullet"/>
      </w:pPr>
      <w:r>
        <w:t>NEVER abruptly discontinue — taper over 1–2 weeks to prevent rebound tachycardia/hypertension.</w:t>
      </w:r>
    </w:p>
    <w:p>
      <w:pPr>
        <w:pStyle w:val="Heading2"/>
      </w:pPr>
      <w:r>
        <w:t>11.3 Dose Modifications for Special Populations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shd w:fill="003366"/>
          </w:tcPr>
          <w:p>
            <w:pPr>
              <w:jc w:val="center"/>
            </w:pPr>
            <w:r>
              <w:rPr>
                <w:b/>
                <w:color w:val="FFFFFF"/>
                <w:sz w:val="20"/>
              </w:rPr>
              <w:t>Population</w:t>
            </w:r>
          </w:p>
        </w:tc>
        <w:tc>
          <w:tcPr>
            <w:tcW w:type="dxa" w:w="1728"/>
            <w:shd w:fill="003366"/>
          </w:tcPr>
          <w:p>
            <w:pPr>
              <w:jc w:val="center"/>
            </w:pPr>
            <w:r>
              <w:rPr>
                <w:b/>
                <w:color w:val="FFFFFF"/>
                <w:sz w:val="20"/>
              </w:rPr>
              <w:t>Starting Dose</w:t>
            </w:r>
          </w:p>
        </w:tc>
        <w:tc>
          <w:tcPr>
            <w:tcW w:type="dxa" w:w="1440"/>
            <w:shd w:fill="003366"/>
          </w:tcPr>
          <w:p>
            <w:pPr>
              <w:jc w:val="center"/>
            </w:pPr>
            <w:r>
              <w:rPr>
                <w:b/>
                <w:color w:val="FFFFFF"/>
                <w:sz w:val="20"/>
              </w:rPr>
              <w:t>Maximum Dose</w:t>
            </w:r>
          </w:p>
        </w:tc>
        <w:tc>
          <w:tcPr>
            <w:tcW w:type="dxa" w:w="2880"/>
            <w:shd w:fill="003366"/>
          </w:tcPr>
          <w:p>
            <w:pPr>
              <w:jc w:val="center"/>
            </w:pPr>
            <w:r>
              <w:rPr>
                <w:b/>
                <w:color w:val="FFFFFF"/>
                <w:sz w:val="20"/>
              </w:rPr>
              <w:t>Monitoring</w:t>
            </w:r>
          </w:p>
        </w:tc>
      </w:tr>
      <w:tr>
        <w:tc>
          <w:tcPr>
            <w:tcW w:type="dxa" w:w="2880"/>
          </w:tcPr>
          <w:p>
            <w:r>
              <w:rPr>
                <w:sz w:val="20"/>
              </w:rPr>
              <w:t>Elderly ≥65 years</w:t>
            </w:r>
          </w:p>
        </w:tc>
        <w:tc>
          <w:tcPr>
            <w:tcW w:type="dxa" w:w="1728"/>
          </w:tcPr>
          <w:p>
            <w:r>
              <w:rPr>
                <w:sz w:val="20"/>
              </w:rPr>
              <w:t>50 mg QD</w:t>
            </w:r>
          </w:p>
        </w:tc>
        <w:tc>
          <w:tcPr>
            <w:tcW w:type="dxa" w:w="1440"/>
          </w:tcPr>
          <w:p>
            <w:r>
              <w:rPr>
                <w:sz w:val="20"/>
              </w:rPr>
              <w:t>200 mg QD</w:t>
            </w:r>
          </w:p>
        </w:tc>
        <w:tc>
          <w:tcPr>
            <w:tcW w:type="dxa" w:w="2880"/>
          </w:tcPr>
          <w:p>
            <w:r>
              <w:rPr>
                <w:sz w:val="20"/>
              </w:rPr>
              <w:t>HR, BP at each visit</w:t>
            </w:r>
          </w:p>
        </w:tc>
      </w:tr>
      <w:tr>
        <w:tc>
          <w:tcPr>
            <w:tcW w:type="dxa" w:w="2880"/>
          </w:tcPr>
          <w:p>
            <w:r>
              <w:rPr>
                <w:sz w:val="20"/>
              </w:rPr>
              <w:t>Moderate hepatic impairment (CP-B)</w:t>
            </w:r>
          </w:p>
        </w:tc>
        <w:tc>
          <w:tcPr>
            <w:tcW w:type="dxa" w:w="1728"/>
          </w:tcPr>
          <w:p>
            <w:r>
              <w:rPr>
                <w:sz w:val="20"/>
              </w:rPr>
              <w:t>50 mg QD</w:t>
            </w:r>
          </w:p>
        </w:tc>
        <w:tc>
          <w:tcPr>
            <w:tcW w:type="dxa" w:w="1440"/>
          </w:tcPr>
          <w:p>
            <w:r>
              <w:rPr>
                <w:sz w:val="20"/>
              </w:rPr>
              <w:t>100 mg QD</w:t>
            </w:r>
          </w:p>
        </w:tc>
        <w:tc>
          <w:tcPr>
            <w:tcW w:type="dxa" w:w="2880"/>
          </w:tcPr>
          <w:p>
            <w:r>
              <w:rPr>
                <w:sz w:val="20"/>
              </w:rPr>
              <w:t>Monthly LFTs × 3 months</w:t>
            </w:r>
          </w:p>
        </w:tc>
      </w:tr>
      <w:tr>
        <w:tc>
          <w:tcPr>
            <w:tcW w:type="dxa" w:w="2880"/>
          </w:tcPr>
          <w:p>
            <w:r>
              <w:rPr>
                <w:sz w:val="20"/>
              </w:rPr>
              <w:t>Severe hepatic impairment (CP-C)</w:t>
            </w:r>
          </w:p>
        </w:tc>
        <w:tc>
          <w:tcPr>
            <w:tcW w:type="dxa" w:w="1728"/>
          </w:tcPr>
          <w:p>
            <w:r>
              <w:rPr>
                <w:sz w:val="20"/>
              </w:rPr>
              <w:t>Contraindicated</w:t>
            </w:r>
          </w:p>
        </w:tc>
        <w:tc>
          <w:tcPr>
            <w:tcW w:type="dxa" w:w="1440"/>
          </w:tcPr>
          <w:p>
            <w:r>
              <w:rPr>
                <w:sz w:val="20"/>
              </w:rPr>
              <w:t>—</w:t>
            </w:r>
          </w:p>
        </w:tc>
        <w:tc>
          <w:tcPr>
            <w:tcW w:type="dxa" w:w="2880"/>
          </w:tcPr>
          <w:p>
            <w:r>
              <w:rPr>
                <w:sz w:val="20"/>
              </w:rPr>
              <w:t>—</w:t>
            </w:r>
          </w:p>
        </w:tc>
      </w:tr>
      <w:tr>
        <w:tc>
          <w:tcPr>
            <w:tcW w:type="dxa" w:w="2880"/>
          </w:tcPr>
          <w:p>
            <w:r>
              <w:rPr>
                <w:sz w:val="20"/>
              </w:rPr>
              <w:t>Severe renal impairment (eGFR &lt;30)</w:t>
            </w:r>
          </w:p>
        </w:tc>
        <w:tc>
          <w:tcPr>
            <w:tcW w:type="dxa" w:w="1728"/>
          </w:tcPr>
          <w:p>
            <w:r>
              <w:rPr>
                <w:sz w:val="20"/>
              </w:rPr>
              <w:t>50 mg QD</w:t>
            </w:r>
          </w:p>
        </w:tc>
        <w:tc>
          <w:tcPr>
            <w:tcW w:type="dxa" w:w="1440"/>
          </w:tcPr>
          <w:p>
            <w:r>
              <w:rPr>
                <w:sz w:val="20"/>
              </w:rPr>
              <w:t>100 mg QD</w:t>
            </w:r>
          </w:p>
        </w:tc>
        <w:tc>
          <w:tcPr>
            <w:tcW w:type="dxa" w:w="2880"/>
          </w:tcPr>
          <w:p>
            <w:r>
              <w:rPr>
                <w:sz w:val="20"/>
              </w:rPr>
              <w:t>Renal function, HR</w:t>
            </w:r>
          </w:p>
        </w:tc>
      </w:tr>
      <w:tr>
        <w:tc>
          <w:tcPr>
            <w:tcW w:type="dxa" w:w="2880"/>
          </w:tcPr>
          <w:p>
            <w:r>
              <w:rPr>
                <w:sz w:val="20"/>
              </w:rPr>
              <w:t>Dialysis patients</w:t>
            </w:r>
          </w:p>
        </w:tc>
        <w:tc>
          <w:tcPr>
            <w:tcW w:type="dxa" w:w="1728"/>
          </w:tcPr>
          <w:p>
            <w:r>
              <w:rPr>
                <w:sz w:val="20"/>
              </w:rPr>
              <w:t>50 mg QD post-dialysis</w:t>
            </w:r>
          </w:p>
        </w:tc>
        <w:tc>
          <w:tcPr>
            <w:tcW w:type="dxa" w:w="1440"/>
          </w:tcPr>
          <w:p>
            <w:r>
              <w:rPr>
                <w:sz w:val="20"/>
              </w:rPr>
              <w:t>50 mg QD</w:t>
            </w:r>
          </w:p>
        </w:tc>
        <w:tc>
          <w:tcPr>
            <w:tcW w:type="dxa" w:w="2880"/>
          </w:tcPr>
          <w:p>
            <w:r>
              <w:rPr>
                <w:sz w:val="20"/>
              </w:rPr>
              <w:t>Post-dialysis HR, BP</w:t>
            </w:r>
          </w:p>
        </w:tc>
      </w:tr>
      <w:tr>
        <w:tc>
          <w:tcPr>
            <w:tcW w:type="dxa" w:w="2880"/>
          </w:tcPr>
          <w:p>
            <w:r>
              <w:rPr>
                <w:sz w:val="20"/>
              </w:rPr>
              <w:t>Strong CYP2D6 inhibitors</w:t>
            </w:r>
          </w:p>
        </w:tc>
        <w:tc>
          <w:tcPr>
            <w:tcW w:type="dxa" w:w="1728"/>
          </w:tcPr>
          <w:p>
            <w:r>
              <w:rPr>
                <w:sz w:val="20"/>
              </w:rPr>
              <w:t>Consider 50% reduction</w:t>
            </w:r>
          </w:p>
        </w:tc>
        <w:tc>
          <w:tcPr>
            <w:tcW w:type="dxa" w:w="1440"/>
          </w:tcPr>
          <w:p>
            <w:r>
              <w:rPr>
                <w:sz w:val="20"/>
              </w:rPr>
              <w:t>Per indication</w:t>
            </w:r>
          </w:p>
        </w:tc>
        <w:tc>
          <w:tcPr>
            <w:tcW w:type="dxa" w:w="2880"/>
          </w:tcPr>
          <w:p>
            <w:r>
              <w:rPr>
                <w:sz w:val="20"/>
              </w:rPr>
              <w:t>HR monitoring</w:t>
            </w:r>
          </w:p>
        </w:tc>
      </w:tr>
      <w:tr>
        <w:tc>
          <w:tcPr>
            <w:tcW w:type="dxa" w:w="2880"/>
          </w:tcPr>
          <w:p>
            <w:r>
              <w:rPr>
                <w:sz w:val="20"/>
              </w:rPr>
              <w:t>Strong CYP inducers (rifampicin)</w:t>
            </w:r>
          </w:p>
        </w:tc>
        <w:tc>
          <w:tcPr>
            <w:tcW w:type="dxa" w:w="1728"/>
          </w:tcPr>
          <w:p>
            <w:r>
              <w:rPr>
                <w:sz w:val="20"/>
              </w:rPr>
              <w:t>May need dose increase</w:t>
            </w:r>
          </w:p>
        </w:tc>
        <w:tc>
          <w:tcPr>
            <w:tcW w:type="dxa" w:w="1440"/>
          </w:tcPr>
          <w:p>
            <w:r>
              <w:rPr>
                <w:sz w:val="20"/>
              </w:rPr>
              <w:t>Per indication</w:t>
            </w:r>
          </w:p>
        </w:tc>
        <w:tc>
          <w:tcPr>
            <w:tcW w:type="dxa" w:w="2880"/>
          </w:tcPr>
          <w:p>
            <w:r>
              <w:rPr>
                <w:sz w:val="20"/>
              </w:rPr>
              <w:t>BP monitoring</w:t>
            </w:r>
          </w:p>
        </w:tc>
      </w:tr>
    </w:tbl>
    <w:p/>
    <w:p>
      <w:r>
        <w:br w:type="page"/>
      </w:r>
    </w:p>
    <w:p>
      <w:pPr>
        <w:pStyle w:val="Heading1"/>
      </w:pPr>
      <w:r>
        <w:t>12. Summary of Clinical Efficacy</w:t>
      </w:r>
    </w:p>
    <w:p>
      <w:r>
        <w:t>This section summarizes key efficacy findings from the clinical development program. Comprehensive study-level data including protocols, statistical analysis plans, patient disposition, and full results are provided in the companion document CDR-CV-2026-001.</w:t>
      </w:r>
    </w:p>
    <w:p>
      <w:pPr>
        <w:pStyle w:val="Heading2"/>
      </w:pPr>
      <w:r>
        <w:t>12.1 Program Overview</w:t>
      </w:r>
    </w:p>
    <w:tbl>
      <w:tblPr>
        <w:tblStyle w:val="LightGrid-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003366"/>
          </w:tcPr>
          <w:p>
            <w:pPr>
              <w:jc w:val="center"/>
            </w:pPr>
            <w:r>
              <w:rPr>
                <w:b/>
                <w:color w:val="FFFFFF"/>
                <w:sz w:val="20"/>
              </w:rPr>
              <w:t>Study ID</w:t>
            </w:r>
          </w:p>
        </w:tc>
        <w:tc>
          <w:tcPr>
            <w:tcW w:type="dxa" w:w="576"/>
            <w:shd w:fill="003366"/>
          </w:tcPr>
          <w:p>
            <w:pPr>
              <w:jc w:val="center"/>
            </w:pPr>
            <w:r>
              <w:rPr>
                <w:b/>
                <w:color w:val="FFFFFF"/>
                <w:sz w:val="20"/>
              </w:rPr>
              <w:t>Phase</w:t>
            </w:r>
          </w:p>
        </w:tc>
        <w:tc>
          <w:tcPr>
            <w:tcW w:type="dxa" w:w="1296"/>
            <w:shd w:fill="003366"/>
          </w:tcPr>
          <w:p>
            <w:pPr>
              <w:jc w:val="center"/>
            </w:pPr>
            <w:r>
              <w:rPr>
                <w:b/>
                <w:color w:val="FFFFFF"/>
                <w:sz w:val="20"/>
              </w:rPr>
              <w:t>Design</w:t>
            </w:r>
          </w:p>
        </w:tc>
        <w:tc>
          <w:tcPr>
            <w:tcW w:type="dxa" w:w="1296"/>
            <w:shd w:fill="003366"/>
          </w:tcPr>
          <w:p>
            <w:pPr>
              <w:jc w:val="center"/>
            </w:pPr>
            <w:r>
              <w:rPr>
                <w:b/>
                <w:color w:val="FFFFFF"/>
                <w:sz w:val="20"/>
              </w:rPr>
              <w:t>Indication</w:t>
            </w:r>
          </w:p>
        </w:tc>
        <w:tc>
          <w:tcPr>
            <w:tcW w:type="dxa" w:w="576"/>
            <w:shd w:fill="003366"/>
          </w:tcPr>
          <w:p>
            <w:pPr>
              <w:jc w:val="center"/>
            </w:pPr>
            <w:r>
              <w:rPr>
                <w:b/>
                <w:color w:val="FFFFFF"/>
                <w:sz w:val="20"/>
              </w:rPr>
              <w:t>N</w:t>
            </w:r>
          </w:p>
        </w:tc>
        <w:tc>
          <w:tcPr>
            <w:tcW w:type="dxa" w:w="2160"/>
            <w:shd w:fill="003366"/>
          </w:tcPr>
          <w:p>
            <w:pPr>
              <w:jc w:val="center"/>
            </w:pPr>
            <w:r>
              <w:rPr>
                <w:b/>
                <w:color w:val="FFFFFF"/>
                <w:sz w:val="20"/>
              </w:rPr>
              <w:t>Key Finding</w:t>
            </w:r>
          </w:p>
        </w:tc>
        <w:tc>
          <w:tcPr>
            <w:tcW w:type="dxa" w:w="1152"/>
            <w:shd w:fill="003366"/>
          </w:tcPr>
          <w:p>
            <w:pPr>
              <w:jc w:val="center"/>
            </w:pPr>
            <w:r>
              <w:rPr>
                <w:b/>
                <w:color w:val="FFFFFF"/>
                <w:sz w:val="20"/>
              </w:rPr>
              <w:t>CDR Section</w:t>
            </w:r>
          </w:p>
        </w:tc>
      </w:tr>
      <w:tr>
        <w:tc>
          <w:tcPr>
            <w:tcW w:type="dxa" w:w="864"/>
          </w:tcPr>
          <w:p>
            <w:r>
              <w:rPr>
                <w:sz w:val="20"/>
              </w:rPr>
              <w:t>CV-101</w:t>
            </w:r>
          </w:p>
        </w:tc>
        <w:tc>
          <w:tcPr>
            <w:tcW w:type="dxa" w:w="576"/>
          </w:tcPr>
          <w:p>
            <w:r>
              <w:rPr>
                <w:sz w:val="20"/>
              </w:rPr>
              <w:t>I</w:t>
            </w:r>
          </w:p>
        </w:tc>
        <w:tc>
          <w:tcPr>
            <w:tcW w:type="dxa" w:w="1296"/>
          </w:tcPr>
          <w:p>
            <w:r>
              <w:rPr>
                <w:sz w:val="20"/>
              </w:rPr>
              <w:t>SAD</w:t>
            </w:r>
          </w:p>
        </w:tc>
        <w:tc>
          <w:tcPr>
            <w:tcW w:type="dxa" w:w="1296"/>
          </w:tcPr>
          <w:p>
            <w:r>
              <w:rPr>
                <w:sz w:val="20"/>
              </w:rPr>
              <w:t>Safety/PK</w:t>
            </w:r>
          </w:p>
        </w:tc>
        <w:tc>
          <w:tcPr>
            <w:tcW w:type="dxa" w:w="576"/>
          </w:tcPr>
          <w:p>
            <w:r>
              <w:rPr>
                <w:sz w:val="20"/>
              </w:rPr>
              <w:t>56</w:t>
            </w:r>
          </w:p>
        </w:tc>
        <w:tc>
          <w:tcPr>
            <w:tcW w:type="dxa" w:w="2160"/>
          </w:tcPr>
          <w:p>
            <w:r>
              <w:rPr>
                <w:sz w:val="20"/>
              </w:rPr>
              <w:t>MTD 400 mg; linear PK</w:t>
            </w:r>
          </w:p>
        </w:tc>
        <w:tc>
          <w:tcPr>
            <w:tcW w:type="dxa" w:w="1152"/>
          </w:tcPr>
          <w:p>
            <w:r>
              <w:rPr>
                <w:sz w:val="20"/>
              </w:rPr>
              <w:t>Section 5.1</w:t>
            </w:r>
          </w:p>
        </w:tc>
      </w:tr>
      <w:tr>
        <w:tc>
          <w:tcPr>
            <w:tcW w:type="dxa" w:w="864"/>
          </w:tcPr>
          <w:p>
            <w:r>
              <w:rPr>
                <w:sz w:val="20"/>
              </w:rPr>
              <w:t>CV-102</w:t>
            </w:r>
          </w:p>
        </w:tc>
        <w:tc>
          <w:tcPr>
            <w:tcW w:type="dxa" w:w="576"/>
          </w:tcPr>
          <w:p>
            <w:r>
              <w:rPr>
                <w:sz w:val="20"/>
              </w:rPr>
              <w:t>I</w:t>
            </w:r>
          </w:p>
        </w:tc>
        <w:tc>
          <w:tcPr>
            <w:tcW w:type="dxa" w:w="1296"/>
          </w:tcPr>
          <w:p>
            <w:r>
              <w:rPr>
                <w:sz w:val="20"/>
              </w:rPr>
              <w:t>MAD</w:t>
            </w:r>
          </w:p>
        </w:tc>
        <w:tc>
          <w:tcPr>
            <w:tcW w:type="dxa" w:w="1296"/>
          </w:tcPr>
          <w:p>
            <w:r>
              <w:rPr>
                <w:sz w:val="20"/>
              </w:rPr>
              <w:t>Safety/PK</w:t>
            </w:r>
          </w:p>
        </w:tc>
        <w:tc>
          <w:tcPr>
            <w:tcW w:type="dxa" w:w="576"/>
          </w:tcPr>
          <w:p>
            <w:r>
              <w:rPr>
                <w:sz w:val="20"/>
              </w:rPr>
              <w:t>48</w:t>
            </w:r>
          </w:p>
        </w:tc>
        <w:tc>
          <w:tcPr>
            <w:tcW w:type="dxa" w:w="2160"/>
          </w:tcPr>
          <w:p>
            <w:r>
              <w:rPr>
                <w:sz w:val="20"/>
              </w:rPr>
              <w:t>SS Day 3–4; RI 1.3</w:t>
            </w:r>
          </w:p>
        </w:tc>
        <w:tc>
          <w:tcPr>
            <w:tcW w:type="dxa" w:w="1152"/>
          </w:tcPr>
          <w:p>
            <w:r>
              <w:rPr>
                <w:sz w:val="20"/>
              </w:rPr>
              <w:t>Section 5.2</w:t>
            </w:r>
          </w:p>
        </w:tc>
      </w:tr>
      <w:tr>
        <w:tc>
          <w:tcPr>
            <w:tcW w:type="dxa" w:w="864"/>
          </w:tcPr>
          <w:p>
            <w:r>
              <w:rPr>
                <w:sz w:val="20"/>
              </w:rPr>
              <w:t>CV-103</w:t>
            </w:r>
          </w:p>
        </w:tc>
        <w:tc>
          <w:tcPr>
            <w:tcW w:type="dxa" w:w="576"/>
          </w:tcPr>
          <w:p>
            <w:r>
              <w:rPr>
                <w:sz w:val="20"/>
              </w:rPr>
              <w:t>I</w:t>
            </w:r>
          </w:p>
        </w:tc>
        <w:tc>
          <w:tcPr>
            <w:tcW w:type="dxa" w:w="1296"/>
          </w:tcPr>
          <w:p>
            <w:r>
              <w:rPr>
                <w:sz w:val="20"/>
              </w:rPr>
              <w:t>Elderly PK</w:t>
            </w:r>
          </w:p>
        </w:tc>
        <w:tc>
          <w:tcPr>
            <w:tcW w:type="dxa" w:w="1296"/>
          </w:tcPr>
          <w:p>
            <w:r>
              <w:rPr>
                <w:sz w:val="20"/>
              </w:rPr>
              <w:t>PK</w:t>
            </w:r>
          </w:p>
        </w:tc>
        <w:tc>
          <w:tcPr>
            <w:tcW w:type="dxa" w:w="576"/>
          </w:tcPr>
          <w:p>
            <w:r>
              <w:rPr>
                <w:sz w:val="20"/>
              </w:rPr>
              <w:t>18</w:t>
            </w:r>
          </w:p>
        </w:tc>
        <w:tc>
          <w:tcPr>
            <w:tcW w:type="dxa" w:w="2160"/>
          </w:tcPr>
          <w:p>
            <w:r>
              <w:rPr>
                <w:sz w:val="20"/>
              </w:rPr>
              <w:t>AUC ↑28%; safe</w:t>
            </w:r>
          </w:p>
        </w:tc>
        <w:tc>
          <w:tcPr>
            <w:tcW w:type="dxa" w:w="1152"/>
          </w:tcPr>
          <w:p>
            <w:r>
              <w:rPr>
                <w:sz w:val="20"/>
              </w:rPr>
              <w:t>Section 5.3</w:t>
            </w:r>
          </w:p>
        </w:tc>
      </w:tr>
      <w:tr>
        <w:tc>
          <w:tcPr>
            <w:tcW w:type="dxa" w:w="864"/>
          </w:tcPr>
          <w:p>
            <w:r>
              <w:rPr>
                <w:sz w:val="20"/>
              </w:rPr>
              <w:t>CV-105</w:t>
            </w:r>
          </w:p>
        </w:tc>
        <w:tc>
          <w:tcPr>
            <w:tcW w:type="dxa" w:w="576"/>
          </w:tcPr>
          <w:p>
            <w:r>
              <w:rPr>
                <w:sz w:val="20"/>
              </w:rPr>
              <w:t>I</w:t>
            </w:r>
          </w:p>
        </w:tc>
        <w:tc>
          <w:tcPr>
            <w:tcW w:type="dxa" w:w="1296"/>
          </w:tcPr>
          <w:p>
            <w:r>
              <w:rPr>
                <w:sz w:val="20"/>
              </w:rPr>
              <w:t>TQT</w:t>
            </w:r>
          </w:p>
        </w:tc>
        <w:tc>
          <w:tcPr>
            <w:tcW w:type="dxa" w:w="1296"/>
          </w:tcPr>
          <w:p>
            <w:r>
              <w:rPr>
                <w:sz w:val="20"/>
              </w:rPr>
              <w:t>Cardiac safety</w:t>
            </w:r>
          </w:p>
        </w:tc>
        <w:tc>
          <w:tcPr>
            <w:tcW w:type="dxa" w:w="576"/>
          </w:tcPr>
          <w:p>
            <w:r>
              <w:rPr>
                <w:sz w:val="20"/>
              </w:rPr>
              <w:t>180</w:t>
            </w:r>
          </w:p>
        </w:tc>
        <w:tc>
          <w:tcPr>
            <w:tcW w:type="dxa" w:w="2160"/>
          </w:tcPr>
          <w:p>
            <w:r>
              <w:rPr>
                <w:sz w:val="20"/>
              </w:rPr>
              <w:t>Max ΔΔQTcF +3.2ms</w:t>
            </w:r>
          </w:p>
        </w:tc>
        <w:tc>
          <w:tcPr>
            <w:tcW w:type="dxa" w:w="1152"/>
          </w:tcPr>
          <w:p>
            <w:r>
              <w:rPr>
                <w:sz w:val="20"/>
              </w:rPr>
              <w:t>Section 5.5</w:t>
            </w:r>
          </w:p>
        </w:tc>
      </w:tr>
      <w:tr>
        <w:tc>
          <w:tcPr>
            <w:tcW w:type="dxa" w:w="864"/>
          </w:tcPr>
          <w:p>
            <w:r>
              <w:rPr>
                <w:sz w:val="20"/>
              </w:rPr>
              <w:t>CV-201</w:t>
            </w:r>
          </w:p>
        </w:tc>
        <w:tc>
          <w:tcPr>
            <w:tcW w:type="dxa" w:w="576"/>
          </w:tcPr>
          <w:p>
            <w:r>
              <w:rPr>
                <w:sz w:val="20"/>
              </w:rPr>
              <w:t>II</w:t>
            </w:r>
          </w:p>
        </w:tc>
        <w:tc>
          <w:tcPr>
            <w:tcW w:type="dxa" w:w="1296"/>
          </w:tcPr>
          <w:p>
            <w:r>
              <w:rPr>
                <w:sz w:val="20"/>
              </w:rPr>
              <w:t>Dose-ranging</w:t>
            </w:r>
          </w:p>
        </w:tc>
        <w:tc>
          <w:tcPr>
            <w:tcW w:type="dxa" w:w="1296"/>
          </w:tcPr>
          <w:p>
            <w:r>
              <w:rPr>
                <w:sz w:val="20"/>
              </w:rPr>
              <w:t>Hypertension</w:t>
            </w:r>
          </w:p>
        </w:tc>
        <w:tc>
          <w:tcPr>
            <w:tcW w:type="dxa" w:w="576"/>
          </w:tcPr>
          <w:p>
            <w:r>
              <w:rPr>
                <w:sz w:val="20"/>
              </w:rPr>
              <w:t>680</w:t>
            </w:r>
          </w:p>
        </w:tc>
        <w:tc>
          <w:tcPr>
            <w:tcW w:type="dxa" w:w="2160"/>
          </w:tcPr>
          <w:p>
            <w:r>
              <w:rPr>
                <w:sz w:val="20"/>
              </w:rPr>
              <w:t>Optimal: 100 mg</w:t>
            </w:r>
          </w:p>
        </w:tc>
        <w:tc>
          <w:tcPr>
            <w:tcW w:type="dxa" w:w="1152"/>
          </w:tcPr>
          <w:p>
            <w:r>
              <w:rPr>
                <w:sz w:val="20"/>
              </w:rPr>
              <w:t>Section 6.1</w:t>
            </w:r>
          </w:p>
        </w:tc>
      </w:tr>
      <w:tr>
        <w:tc>
          <w:tcPr>
            <w:tcW w:type="dxa" w:w="864"/>
          </w:tcPr>
          <w:p>
            <w:r>
              <w:rPr>
                <w:sz w:val="20"/>
              </w:rPr>
              <w:t>CV-202</w:t>
            </w:r>
          </w:p>
        </w:tc>
        <w:tc>
          <w:tcPr>
            <w:tcW w:type="dxa" w:w="576"/>
          </w:tcPr>
          <w:p>
            <w:r>
              <w:rPr>
                <w:sz w:val="20"/>
              </w:rPr>
              <w:t>II</w:t>
            </w:r>
          </w:p>
        </w:tc>
        <w:tc>
          <w:tcPr>
            <w:tcW w:type="dxa" w:w="1296"/>
          </w:tcPr>
          <w:p>
            <w:r>
              <w:rPr>
                <w:sz w:val="20"/>
              </w:rPr>
              <w:t>Dose-finding</w:t>
            </w:r>
          </w:p>
        </w:tc>
        <w:tc>
          <w:tcPr>
            <w:tcW w:type="dxa" w:w="1296"/>
          </w:tcPr>
          <w:p>
            <w:r>
              <w:rPr>
                <w:sz w:val="20"/>
              </w:rPr>
              <w:t>Heart failure</w:t>
            </w:r>
          </w:p>
        </w:tc>
        <w:tc>
          <w:tcPr>
            <w:tcW w:type="dxa" w:w="576"/>
          </w:tcPr>
          <w:p>
            <w:r>
              <w:rPr>
                <w:sz w:val="20"/>
              </w:rPr>
              <w:t>420</w:t>
            </w:r>
          </w:p>
        </w:tc>
        <w:tc>
          <w:tcPr>
            <w:tcW w:type="dxa" w:w="2160"/>
          </w:tcPr>
          <w:p>
            <w:r>
              <w:rPr>
                <w:sz w:val="20"/>
              </w:rPr>
              <w:t>LVEF +5.8%</w:t>
            </w:r>
          </w:p>
        </w:tc>
        <w:tc>
          <w:tcPr>
            <w:tcW w:type="dxa" w:w="1152"/>
          </w:tcPr>
          <w:p>
            <w:r>
              <w:rPr>
                <w:sz w:val="20"/>
              </w:rPr>
              <w:t>Section 6.2</w:t>
            </w:r>
          </w:p>
        </w:tc>
      </w:tr>
      <w:tr>
        <w:tc>
          <w:tcPr>
            <w:tcW w:type="dxa" w:w="864"/>
          </w:tcPr>
          <w:p>
            <w:r>
              <w:rPr>
                <w:sz w:val="20"/>
              </w:rPr>
              <w:t>CV-301</w:t>
            </w:r>
          </w:p>
        </w:tc>
        <w:tc>
          <w:tcPr>
            <w:tcW w:type="dxa" w:w="576"/>
          </w:tcPr>
          <w:p>
            <w:r>
              <w:rPr>
                <w:sz w:val="20"/>
              </w:rPr>
              <w:t>III</w:t>
            </w:r>
          </w:p>
        </w:tc>
        <w:tc>
          <w:tcPr>
            <w:tcW w:type="dxa" w:w="1296"/>
          </w:tcPr>
          <w:p>
            <w:r>
              <w:rPr>
                <w:sz w:val="20"/>
              </w:rPr>
              <w:t>Outcomes</w:t>
            </w:r>
          </w:p>
        </w:tc>
        <w:tc>
          <w:tcPr>
            <w:tcW w:type="dxa" w:w="1296"/>
          </w:tcPr>
          <w:p>
            <w:r>
              <w:rPr>
                <w:sz w:val="20"/>
              </w:rPr>
              <w:t>Heart failure</w:t>
            </w:r>
          </w:p>
        </w:tc>
        <w:tc>
          <w:tcPr>
            <w:tcW w:type="dxa" w:w="576"/>
          </w:tcPr>
          <w:p>
            <w:r>
              <w:rPr>
                <w:sz w:val="20"/>
              </w:rPr>
              <w:t>4,218</w:t>
            </w:r>
          </w:p>
        </w:tc>
        <w:tc>
          <w:tcPr>
            <w:tcW w:type="dxa" w:w="2160"/>
          </w:tcPr>
          <w:p>
            <w:r>
              <w:rPr>
                <w:sz w:val="20"/>
              </w:rPr>
              <w:t>HR 0.72 composite</w:t>
            </w:r>
          </w:p>
        </w:tc>
        <w:tc>
          <w:tcPr>
            <w:tcW w:type="dxa" w:w="1152"/>
          </w:tcPr>
          <w:p>
            <w:r>
              <w:rPr>
                <w:sz w:val="20"/>
              </w:rPr>
              <w:t>Section 7</w:t>
            </w:r>
          </w:p>
        </w:tc>
      </w:tr>
      <w:tr>
        <w:tc>
          <w:tcPr>
            <w:tcW w:type="dxa" w:w="864"/>
          </w:tcPr>
          <w:p>
            <w:r>
              <w:rPr>
                <w:sz w:val="20"/>
              </w:rPr>
              <w:t>CV-302</w:t>
            </w:r>
          </w:p>
        </w:tc>
        <w:tc>
          <w:tcPr>
            <w:tcW w:type="dxa" w:w="576"/>
          </w:tcPr>
          <w:p>
            <w:r>
              <w:rPr>
                <w:sz w:val="20"/>
              </w:rPr>
              <w:t>III</w:t>
            </w:r>
          </w:p>
        </w:tc>
        <w:tc>
          <w:tcPr>
            <w:tcW w:type="dxa" w:w="1296"/>
          </w:tcPr>
          <w:p>
            <w:r>
              <w:rPr>
                <w:sz w:val="20"/>
              </w:rPr>
              <w:t>Non-inferiority</w:t>
            </w:r>
          </w:p>
        </w:tc>
        <w:tc>
          <w:tcPr>
            <w:tcW w:type="dxa" w:w="1296"/>
          </w:tcPr>
          <w:p>
            <w:r>
              <w:rPr>
                <w:sz w:val="20"/>
              </w:rPr>
              <w:t>Hypertension</w:t>
            </w:r>
          </w:p>
        </w:tc>
        <w:tc>
          <w:tcPr>
            <w:tcW w:type="dxa" w:w="576"/>
          </w:tcPr>
          <w:p>
            <w:r>
              <w:rPr>
                <w:sz w:val="20"/>
              </w:rPr>
              <w:t>2,842</w:t>
            </w:r>
          </w:p>
        </w:tc>
        <w:tc>
          <w:tcPr>
            <w:tcW w:type="dxa" w:w="2160"/>
          </w:tcPr>
          <w:p>
            <w:r>
              <w:rPr>
                <w:sz w:val="20"/>
              </w:rPr>
              <w:t>Non-inferior vs amlo</w:t>
            </w:r>
          </w:p>
        </w:tc>
        <w:tc>
          <w:tcPr>
            <w:tcW w:type="dxa" w:w="1152"/>
          </w:tcPr>
          <w:p>
            <w:r>
              <w:rPr>
                <w:sz w:val="20"/>
              </w:rPr>
              <w:t>Section 8</w:t>
            </w:r>
          </w:p>
        </w:tc>
      </w:tr>
      <w:tr>
        <w:tc>
          <w:tcPr>
            <w:tcW w:type="dxa" w:w="864"/>
          </w:tcPr>
          <w:p>
            <w:r>
              <w:rPr>
                <w:sz w:val="20"/>
              </w:rPr>
              <w:t>CV-303</w:t>
            </w:r>
          </w:p>
        </w:tc>
        <w:tc>
          <w:tcPr>
            <w:tcW w:type="dxa" w:w="576"/>
          </w:tcPr>
          <w:p>
            <w:r>
              <w:rPr>
                <w:sz w:val="20"/>
              </w:rPr>
              <w:t>III</w:t>
            </w:r>
          </w:p>
        </w:tc>
        <w:tc>
          <w:tcPr>
            <w:tcW w:type="dxa" w:w="1296"/>
          </w:tcPr>
          <w:p>
            <w:r>
              <w:rPr>
                <w:sz w:val="20"/>
              </w:rPr>
              <w:t>Crossover</w:t>
            </w:r>
          </w:p>
        </w:tc>
        <w:tc>
          <w:tcPr>
            <w:tcW w:type="dxa" w:w="1296"/>
          </w:tcPr>
          <w:p>
            <w:r>
              <w:rPr>
                <w:sz w:val="20"/>
              </w:rPr>
              <w:t>Angina</w:t>
            </w:r>
          </w:p>
        </w:tc>
        <w:tc>
          <w:tcPr>
            <w:tcW w:type="dxa" w:w="576"/>
          </w:tcPr>
          <w:p>
            <w:r>
              <w:rPr>
                <w:sz w:val="20"/>
              </w:rPr>
              <w:t>386</w:t>
            </w:r>
          </w:p>
        </w:tc>
        <w:tc>
          <w:tcPr>
            <w:tcW w:type="dxa" w:w="2160"/>
          </w:tcPr>
          <w:p>
            <w:r>
              <w:rPr>
                <w:sz w:val="20"/>
              </w:rPr>
              <w:t>+74s exercise</w:t>
            </w:r>
          </w:p>
        </w:tc>
        <w:tc>
          <w:tcPr>
            <w:tcW w:type="dxa" w:w="1152"/>
          </w:tcPr>
          <w:p>
            <w:r>
              <w:rPr>
                <w:sz w:val="20"/>
              </w:rPr>
              <w:t>Section 9</w:t>
            </w:r>
          </w:p>
        </w:tc>
      </w:tr>
    </w:tbl>
    <w:p/>
    <w:p>
      <w:pPr>
        <w:pStyle w:val="Heading2"/>
      </w:pPr>
      <w:r>
        <w:t>12.2 Pivotal Outcome — CARDIAC-SHIELD (CV-301)</w:t>
      </w:r>
    </w:p>
    <w:tbl>
      <w:tblPr>
        <w:tblStyle w:val="LightGrid-Accent1"/>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003366"/>
          </w:tcPr>
          <w:p>
            <w:pPr>
              <w:jc w:val="center"/>
            </w:pPr>
            <w:r>
              <w:rPr>
                <w:b/>
                <w:color w:val="FFFFFF"/>
                <w:sz w:val="20"/>
              </w:rPr>
              <w:t>Endpoint</w:t>
            </w:r>
          </w:p>
        </w:tc>
        <w:tc>
          <w:tcPr>
            <w:tcW w:type="dxa" w:w="1584"/>
            <w:shd w:fill="003366"/>
          </w:tcPr>
          <w:p>
            <w:pPr>
              <w:jc w:val="center"/>
            </w:pPr>
            <w:r>
              <w:rPr>
                <w:b/>
                <w:color w:val="FFFFFF"/>
                <w:sz w:val="20"/>
              </w:rPr>
              <w:t>Cardivex® (N=2,112)</w:t>
            </w:r>
          </w:p>
        </w:tc>
        <w:tc>
          <w:tcPr>
            <w:tcW w:type="dxa" w:w="1584"/>
            <w:shd w:fill="003366"/>
          </w:tcPr>
          <w:p>
            <w:pPr>
              <w:jc w:val="center"/>
            </w:pPr>
            <w:r>
              <w:rPr>
                <w:b/>
                <w:color w:val="FFFFFF"/>
                <w:sz w:val="20"/>
              </w:rPr>
              <w:t>Placebo (N=2,106)</w:t>
            </w:r>
          </w:p>
        </w:tc>
        <w:tc>
          <w:tcPr>
            <w:tcW w:type="dxa" w:w="1584"/>
            <w:shd w:fill="003366"/>
          </w:tcPr>
          <w:p>
            <w:pPr>
              <w:jc w:val="center"/>
            </w:pPr>
            <w:r>
              <w:rPr>
                <w:b/>
                <w:color w:val="FFFFFF"/>
                <w:sz w:val="20"/>
              </w:rPr>
              <w:t>HR (95% CI)</w:t>
            </w:r>
          </w:p>
        </w:tc>
        <w:tc>
          <w:tcPr>
            <w:tcW w:type="dxa" w:w="864"/>
            <w:shd w:fill="003366"/>
          </w:tcPr>
          <w:p>
            <w:pPr>
              <w:jc w:val="center"/>
            </w:pPr>
            <w:r>
              <w:rPr>
                <w:b/>
                <w:color w:val="FFFFFF"/>
                <w:sz w:val="20"/>
              </w:rPr>
              <w:t>p-value</w:t>
            </w:r>
          </w:p>
        </w:tc>
        <w:tc>
          <w:tcPr>
            <w:tcW w:type="dxa" w:w="720"/>
            <w:shd w:fill="003366"/>
          </w:tcPr>
          <w:p>
            <w:pPr>
              <w:jc w:val="center"/>
            </w:pPr>
            <w:r>
              <w:rPr>
                <w:b/>
                <w:color w:val="FFFFFF"/>
                <w:sz w:val="20"/>
              </w:rPr>
              <w:t>NNT</w:t>
            </w:r>
          </w:p>
        </w:tc>
      </w:tr>
      <w:tr>
        <w:tc>
          <w:tcPr>
            <w:tcW w:type="dxa" w:w="1728"/>
          </w:tcPr>
          <w:p>
            <w:r>
              <w:rPr>
                <w:sz w:val="20"/>
              </w:rPr>
              <w:t>Primary composite</w:t>
            </w:r>
          </w:p>
        </w:tc>
        <w:tc>
          <w:tcPr>
            <w:tcW w:type="dxa" w:w="1584"/>
          </w:tcPr>
          <w:p>
            <w:r>
              <w:rPr>
                <w:sz w:val="20"/>
              </w:rPr>
              <w:t>412 (19.5%)</w:t>
            </w:r>
          </w:p>
        </w:tc>
        <w:tc>
          <w:tcPr>
            <w:tcW w:type="dxa" w:w="1584"/>
          </w:tcPr>
          <w:p>
            <w:r>
              <w:rPr>
                <w:sz w:val="20"/>
              </w:rPr>
              <w:t>564 (26.8%)</w:t>
            </w:r>
          </w:p>
        </w:tc>
        <w:tc>
          <w:tcPr>
            <w:tcW w:type="dxa" w:w="1584"/>
          </w:tcPr>
          <w:p>
            <w:r>
              <w:rPr>
                <w:sz w:val="20"/>
              </w:rPr>
              <w:t>0.72 (0.63–0.82)</w:t>
            </w:r>
          </w:p>
        </w:tc>
        <w:tc>
          <w:tcPr>
            <w:tcW w:type="dxa" w:w="864"/>
          </w:tcPr>
          <w:p>
            <w:r>
              <w:rPr>
                <w:sz w:val="20"/>
              </w:rPr>
              <w:t>&lt;0.001</w:t>
            </w:r>
          </w:p>
        </w:tc>
        <w:tc>
          <w:tcPr>
            <w:tcW w:type="dxa" w:w="720"/>
          </w:tcPr>
          <w:p>
            <w:r>
              <w:rPr>
                <w:sz w:val="20"/>
              </w:rPr>
              <w:t>14</w:t>
            </w:r>
          </w:p>
        </w:tc>
      </w:tr>
      <w:tr>
        <w:tc>
          <w:tcPr>
            <w:tcW w:type="dxa" w:w="1728"/>
          </w:tcPr>
          <w:p>
            <w:r>
              <w:rPr>
                <w:sz w:val="20"/>
              </w:rPr>
              <w:t>CV death</w:t>
            </w:r>
          </w:p>
        </w:tc>
        <w:tc>
          <w:tcPr>
            <w:tcW w:type="dxa" w:w="1584"/>
          </w:tcPr>
          <w:p>
            <w:r>
              <w:rPr>
                <w:sz w:val="20"/>
              </w:rPr>
              <w:t>168 (8.0%)</w:t>
            </w:r>
          </w:p>
        </w:tc>
        <w:tc>
          <w:tcPr>
            <w:tcW w:type="dxa" w:w="1584"/>
          </w:tcPr>
          <w:p>
            <w:r>
              <w:rPr>
                <w:sz w:val="20"/>
              </w:rPr>
              <w:t>242 (11.5%)</w:t>
            </w:r>
          </w:p>
        </w:tc>
        <w:tc>
          <w:tcPr>
            <w:tcW w:type="dxa" w:w="1584"/>
          </w:tcPr>
          <w:p>
            <w:r>
              <w:rPr>
                <w:sz w:val="20"/>
              </w:rPr>
              <w:t>0.68 (0.56–0.83)</w:t>
            </w:r>
          </w:p>
        </w:tc>
        <w:tc>
          <w:tcPr>
            <w:tcW w:type="dxa" w:w="864"/>
          </w:tcPr>
          <w:p>
            <w:r>
              <w:rPr>
                <w:sz w:val="20"/>
              </w:rPr>
              <w:t>&lt;0.001</w:t>
            </w:r>
          </w:p>
        </w:tc>
        <w:tc>
          <w:tcPr>
            <w:tcW w:type="dxa" w:w="720"/>
          </w:tcPr>
          <w:p>
            <w:r>
              <w:rPr>
                <w:sz w:val="20"/>
              </w:rPr>
              <w:t>29</w:t>
            </w:r>
          </w:p>
        </w:tc>
      </w:tr>
      <w:tr>
        <w:tc>
          <w:tcPr>
            <w:tcW w:type="dxa" w:w="1728"/>
          </w:tcPr>
          <w:p>
            <w:r>
              <w:rPr>
                <w:sz w:val="20"/>
              </w:rPr>
              <w:t>Non-fatal MI</w:t>
            </w:r>
          </w:p>
        </w:tc>
        <w:tc>
          <w:tcPr>
            <w:tcW w:type="dxa" w:w="1584"/>
          </w:tcPr>
          <w:p>
            <w:r>
              <w:rPr>
                <w:sz w:val="20"/>
              </w:rPr>
              <w:t>98 (4.6%)</w:t>
            </w:r>
          </w:p>
        </w:tc>
        <w:tc>
          <w:tcPr>
            <w:tcW w:type="dxa" w:w="1584"/>
          </w:tcPr>
          <w:p>
            <w:r>
              <w:rPr>
                <w:sz w:val="20"/>
              </w:rPr>
              <w:t>126 (6.0%)</w:t>
            </w:r>
          </w:p>
        </w:tc>
        <w:tc>
          <w:tcPr>
            <w:tcW w:type="dxa" w:w="1584"/>
          </w:tcPr>
          <w:p>
            <w:r>
              <w:rPr>
                <w:sz w:val="20"/>
              </w:rPr>
              <w:t>0.77 (0.59–1.00)</w:t>
            </w:r>
          </w:p>
        </w:tc>
        <w:tc>
          <w:tcPr>
            <w:tcW w:type="dxa" w:w="864"/>
          </w:tcPr>
          <w:p>
            <w:r>
              <w:rPr>
                <w:sz w:val="20"/>
              </w:rPr>
              <w:t>0.048</w:t>
            </w:r>
          </w:p>
        </w:tc>
        <w:tc>
          <w:tcPr>
            <w:tcW w:type="dxa" w:w="720"/>
          </w:tcPr>
          <w:p>
            <w:r>
              <w:rPr>
                <w:sz w:val="20"/>
              </w:rPr>
              <w:t>71</w:t>
            </w:r>
          </w:p>
        </w:tc>
      </w:tr>
      <w:tr>
        <w:tc>
          <w:tcPr>
            <w:tcW w:type="dxa" w:w="1728"/>
          </w:tcPr>
          <w:p>
            <w:r>
              <w:rPr>
                <w:sz w:val="20"/>
              </w:rPr>
              <w:t>HF hospitalization</w:t>
            </w:r>
          </w:p>
        </w:tc>
        <w:tc>
          <w:tcPr>
            <w:tcW w:type="dxa" w:w="1584"/>
          </w:tcPr>
          <w:p>
            <w:r>
              <w:rPr>
                <w:sz w:val="20"/>
              </w:rPr>
              <w:t>218 (10.3%)</w:t>
            </w:r>
          </w:p>
        </w:tc>
        <w:tc>
          <w:tcPr>
            <w:tcW w:type="dxa" w:w="1584"/>
          </w:tcPr>
          <w:p>
            <w:r>
              <w:rPr>
                <w:sz w:val="20"/>
              </w:rPr>
              <w:t>312 (14.8%)</w:t>
            </w:r>
          </w:p>
        </w:tc>
        <w:tc>
          <w:tcPr>
            <w:tcW w:type="dxa" w:w="1584"/>
          </w:tcPr>
          <w:p>
            <w:r>
              <w:rPr>
                <w:sz w:val="20"/>
              </w:rPr>
              <w:t>0.69 (0.58–0.82)</w:t>
            </w:r>
          </w:p>
        </w:tc>
        <w:tc>
          <w:tcPr>
            <w:tcW w:type="dxa" w:w="864"/>
          </w:tcPr>
          <w:p>
            <w:r>
              <w:rPr>
                <w:sz w:val="20"/>
              </w:rPr>
              <w:t>&lt;0.001</w:t>
            </w:r>
          </w:p>
        </w:tc>
        <w:tc>
          <w:tcPr>
            <w:tcW w:type="dxa" w:w="720"/>
          </w:tcPr>
          <w:p>
            <w:r>
              <w:rPr>
                <w:sz w:val="20"/>
              </w:rPr>
              <w:t>22</w:t>
            </w:r>
          </w:p>
        </w:tc>
      </w:tr>
      <w:tr>
        <w:tc>
          <w:tcPr>
            <w:tcW w:type="dxa" w:w="1728"/>
          </w:tcPr>
          <w:p>
            <w:r>
              <w:rPr>
                <w:sz w:val="20"/>
              </w:rPr>
              <w:t>All-cause mortality</w:t>
            </w:r>
          </w:p>
        </w:tc>
        <w:tc>
          <w:tcPr>
            <w:tcW w:type="dxa" w:w="1584"/>
          </w:tcPr>
          <w:p>
            <w:r>
              <w:rPr>
                <w:sz w:val="20"/>
              </w:rPr>
              <w:t>224 (10.6%)</w:t>
            </w:r>
          </w:p>
        </w:tc>
        <w:tc>
          <w:tcPr>
            <w:tcW w:type="dxa" w:w="1584"/>
          </w:tcPr>
          <w:p>
            <w:r>
              <w:rPr>
                <w:sz w:val="20"/>
              </w:rPr>
              <w:t>310 (14.7%)</w:t>
            </w:r>
          </w:p>
        </w:tc>
        <w:tc>
          <w:tcPr>
            <w:tcW w:type="dxa" w:w="1584"/>
          </w:tcPr>
          <w:p>
            <w:r>
              <w:rPr>
                <w:sz w:val="20"/>
              </w:rPr>
              <w:t>0.71 (0.60–0.84)</w:t>
            </w:r>
          </w:p>
        </w:tc>
        <w:tc>
          <w:tcPr>
            <w:tcW w:type="dxa" w:w="864"/>
          </w:tcPr>
          <w:p>
            <w:r>
              <w:rPr>
                <w:sz w:val="20"/>
              </w:rPr>
              <w:t>&lt;0.001</w:t>
            </w:r>
          </w:p>
        </w:tc>
        <w:tc>
          <w:tcPr>
            <w:tcW w:type="dxa" w:w="720"/>
          </w:tcPr>
          <w:p>
            <w:r>
              <w:rPr>
                <w:sz w:val="20"/>
              </w:rPr>
              <w:t>24</w:t>
            </w:r>
          </w:p>
        </w:tc>
      </w:tr>
      <w:tr>
        <w:tc>
          <w:tcPr>
            <w:tcW w:type="dxa" w:w="1728"/>
          </w:tcPr>
          <w:p>
            <w:r>
              <w:rPr>
                <w:sz w:val="20"/>
              </w:rPr>
              <w:t>NYHA class improvement</w:t>
            </w:r>
          </w:p>
        </w:tc>
        <w:tc>
          <w:tcPr>
            <w:tcW w:type="dxa" w:w="1584"/>
          </w:tcPr>
          <w:p>
            <w:r>
              <w:rPr>
                <w:sz w:val="20"/>
              </w:rPr>
              <w:t>648 (30.7%)</w:t>
            </w:r>
          </w:p>
        </w:tc>
        <w:tc>
          <w:tcPr>
            <w:tcW w:type="dxa" w:w="1584"/>
          </w:tcPr>
          <w:p>
            <w:r>
              <w:rPr>
                <w:sz w:val="20"/>
              </w:rPr>
              <w:t>432 (20.5%)</w:t>
            </w:r>
          </w:p>
        </w:tc>
        <w:tc>
          <w:tcPr>
            <w:tcW w:type="dxa" w:w="1584"/>
          </w:tcPr>
          <w:p>
            <w:r>
              <w:rPr>
                <w:sz w:val="20"/>
              </w:rPr>
              <w:t>OR 1.72</w:t>
            </w:r>
          </w:p>
        </w:tc>
        <w:tc>
          <w:tcPr>
            <w:tcW w:type="dxa" w:w="864"/>
          </w:tcPr>
          <w:p>
            <w:r>
              <w:rPr>
                <w:sz w:val="20"/>
              </w:rPr>
              <w:t>&lt;0.001</w:t>
            </w:r>
          </w:p>
        </w:tc>
        <w:tc>
          <w:tcPr>
            <w:tcW w:type="dxa" w:w="720"/>
          </w:tcPr>
          <w:p>
            <w:r>
              <w:rPr>
                <w:sz w:val="20"/>
              </w:rPr>
              <w:t>10</w:t>
            </w:r>
          </w:p>
        </w:tc>
      </w:tr>
    </w:tbl>
    <w:p/>
    <w:p>
      <w:r>
        <w:br w:type="page"/>
      </w:r>
    </w:p>
    <w:p>
      <w:pPr>
        <w:pStyle w:val="Heading1"/>
      </w:pPr>
      <w:r>
        <w:t>13. Integrated Safety Profile</w:t>
      </w:r>
    </w:p>
    <w:p>
      <w:r>
        <w:t>The integrated safety analysis pools data from 8,146 Cardivex®-treated patients across all Phase I–III studies (median exposure: 18 months). Full safety narratives and patient-level data are presented in CDR-CV-2026-001, Section 10.</w:t>
      </w:r>
    </w:p>
    <w:p>
      <w:pPr>
        <w:pStyle w:val="Heading2"/>
      </w:pPr>
      <w:r>
        <w:t>13.1 Adverse Events ≥2% (Integrated Database)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20"/>
              </w:rPr>
              <w:t>Adverse Event</w:t>
            </w:r>
          </w:p>
        </w:tc>
        <w:tc>
          <w:tcPr>
            <w:tcW w:type="dxa" w:w="1872"/>
            <w:shd w:fill="003366"/>
          </w:tcPr>
          <w:p>
            <w:pPr>
              <w:jc w:val="center"/>
            </w:pPr>
            <w:r>
              <w:rPr>
                <w:b/>
                <w:color w:val="FFFFFF"/>
                <w:sz w:val="20"/>
              </w:rPr>
              <w:t>Cardivex® (N=8,146) n (%)</w:t>
            </w:r>
          </w:p>
        </w:tc>
        <w:tc>
          <w:tcPr>
            <w:tcW w:type="dxa" w:w="1872"/>
            <w:shd w:fill="003366"/>
          </w:tcPr>
          <w:p>
            <w:pPr>
              <w:jc w:val="center"/>
            </w:pPr>
            <w:r>
              <w:rPr>
                <w:b/>
                <w:color w:val="FFFFFF"/>
                <w:sz w:val="20"/>
              </w:rPr>
              <w:t>Placebo (N=4,701) n (%)</w:t>
            </w:r>
          </w:p>
        </w:tc>
        <w:tc>
          <w:tcPr>
            <w:tcW w:type="dxa" w:w="864"/>
            <w:shd w:fill="003366"/>
          </w:tcPr>
          <w:p>
            <w:pPr>
              <w:jc w:val="center"/>
            </w:pPr>
            <w:r>
              <w:rPr>
                <w:b/>
                <w:color w:val="FFFFFF"/>
                <w:sz w:val="20"/>
              </w:rPr>
              <w:t>RD</w:t>
            </w:r>
          </w:p>
        </w:tc>
        <w:tc>
          <w:tcPr>
            <w:tcW w:type="dxa" w:w="1728"/>
            <w:shd w:fill="003366"/>
          </w:tcPr>
          <w:p>
            <w:pPr>
              <w:jc w:val="center"/>
            </w:pPr>
            <w:r>
              <w:rPr>
                <w:b/>
                <w:color w:val="FFFFFF"/>
                <w:sz w:val="20"/>
              </w:rPr>
              <w:t>RR (95% CI)</w:t>
            </w:r>
          </w:p>
        </w:tc>
      </w:tr>
      <w:tr>
        <w:tc>
          <w:tcPr>
            <w:tcW w:type="dxa" w:w="1872"/>
          </w:tcPr>
          <w:p>
            <w:r>
              <w:rPr>
                <w:sz w:val="20"/>
              </w:rPr>
              <w:t>Fatigue</w:t>
            </w:r>
          </w:p>
        </w:tc>
        <w:tc>
          <w:tcPr>
            <w:tcW w:type="dxa" w:w="1872"/>
          </w:tcPr>
          <w:p>
            <w:r>
              <w:rPr>
                <w:sz w:val="20"/>
              </w:rPr>
              <w:t>528 (6.5%)</w:t>
            </w:r>
          </w:p>
        </w:tc>
        <w:tc>
          <w:tcPr>
            <w:tcW w:type="dxa" w:w="1872"/>
          </w:tcPr>
          <w:p>
            <w:r>
              <w:rPr>
                <w:sz w:val="20"/>
              </w:rPr>
              <w:t>212 (4.5%)</w:t>
            </w:r>
          </w:p>
        </w:tc>
        <w:tc>
          <w:tcPr>
            <w:tcW w:type="dxa" w:w="864"/>
          </w:tcPr>
          <w:p>
            <w:r>
              <w:rPr>
                <w:sz w:val="20"/>
              </w:rPr>
              <w:t>+2.0%</w:t>
            </w:r>
          </w:p>
        </w:tc>
        <w:tc>
          <w:tcPr>
            <w:tcW w:type="dxa" w:w="1728"/>
          </w:tcPr>
          <w:p>
            <w:r>
              <w:rPr>
                <w:sz w:val="20"/>
              </w:rPr>
              <w:t>1.44 (1.24–1.68)</w:t>
            </w:r>
          </w:p>
        </w:tc>
      </w:tr>
      <w:tr>
        <w:tc>
          <w:tcPr>
            <w:tcW w:type="dxa" w:w="1872"/>
          </w:tcPr>
          <w:p>
            <w:r>
              <w:rPr>
                <w:sz w:val="20"/>
              </w:rPr>
              <w:t>Dizziness</w:t>
            </w:r>
          </w:p>
        </w:tc>
        <w:tc>
          <w:tcPr>
            <w:tcW w:type="dxa" w:w="1872"/>
          </w:tcPr>
          <w:p>
            <w:r>
              <w:rPr>
                <w:sz w:val="20"/>
              </w:rPr>
              <w:t>488 (6.0%)</w:t>
            </w:r>
          </w:p>
        </w:tc>
        <w:tc>
          <w:tcPr>
            <w:tcW w:type="dxa" w:w="1872"/>
          </w:tcPr>
          <w:p>
            <w:r>
              <w:rPr>
                <w:sz w:val="20"/>
              </w:rPr>
              <w:t>236 (5.0%)</w:t>
            </w:r>
          </w:p>
        </w:tc>
        <w:tc>
          <w:tcPr>
            <w:tcW w:type="dxa" w:w="864"/>
          </w:tcPr>
          <w:p>
            <w:r>
              <w:rPr>
                <w:sz w:val="20"/>
              </w:rPr>
              <w:t>+1.0%</w:t>
            </w:r>
          </w:p>
        </w:tc>
        <w:tc>
          <w:tcPr>
            <w:tcW w:type="dxa" w:w="1728"/>
          </w:tcPr>
          <w:p>
            <w:r>
              <w:rPr>
                <w:sz w:val="20"/>
              </w:rPr>
              <w:t>1.20 (1.03–1.39)</w:t>
            </w:r>
          </w:p>
        </w:tc>
      </w:tr>
      <w:tr>
        <w:tc>
          <w:tcPr>
            <w:tcW w:type="dxa" w:w="1872"/>
          </w:tcPr>
          <w:p>
            <w:r>
              <w:rPr>
                <w:sz w:val="20"/>
              </w:rPr>
              <w:t>Bradycardia</w:t>
            </w:r>
          </w:p>
        </w:tc>
        <w:tc>
          <w:tcPr>
            <w:tcW w:type="dxa" w:w="1872"/>
          </w:tcPr>
          <w:p>
            <w:r>
              <w:rPr>
                <w:sz w:val="20"/>
              </w:rPr>
              <w:t>406 (5.0%)</w:t>
            </w:r>
          </w:p>
        </w:tc>
        <w:tc>
          <w:tcPr>
            <w:tcW w:type="dxa" w:w="1872"/>
          </w:tcPr>
          <w:p>
            <w:r>
              <w:rPr>
                <w:sz w:val="20"/>
              </w:rPr>
              <w:t>94 (2.0%)</w:t>
            </w:r>
          </w:p>
        </w:tc>
        <w:tc>
          <w:tcPr>
            <w:tcW w:type="dxa" w:w="864"/>
          </w:tcPr>
          <w:p>
            <w:r>
              <w:rPr>
                <w:sz w:val="20"/>
              </w:rPr>
              <w:t>+3.0%</w:t>
            </w:r>
          </w:p>
        </w:tc>
        <w:tc>
          <w:tcPr>
            <w:tcW w:type="dxa" w:w="1728"/>
          </w:tcPr>
          <w:p>
            <w:r>
              <w:rPr>
                <w:sz w:val="20"/>
              </w:rPr>
              <w:t>2.50 (2.01–3.11)</w:t>
            </w:r>
          </w:p>
        </w:tc>
      </w:tr>
      <w:tr>
        <w:tc>
          <w:tcPr>
            <w:tcW w:type="dxa" w:w="1872"/>
          </w:tcPr>
          <w:p>
            <w:r>
              <w:rPr>
                <w:sz w:val="20"/>
              </w:rPr>
              <w:t>Headache</w:t>
            </w:r>
          </w:p>
        </w:tc>
        <w:tc>
          <w:tcPr>
            <w:tcW w:type="dxa" w:w="1872"/>
          </w:tcPr>
          <w:p>
            <w:r>
              <w:rPr>
                <w:sz w:val="20"/>
              </w:rPr>
              <w:t>358 (4.4%)</w:t>
            </w:r>
          </w:p>
        </w:tc>
        <w:tc>
          <w:tcPr>
            <w:tcW w:type="dxa" w:w="1872"/>
          </w:tcPr>
          <w:p>
            <w:r>
              <w:rPr>
                <w:sz w:val="20"/>
              </w:rPr>
              <w:t>224 (4.8%)</w:t>
            </w:r>
          </w:p>
        </w:tc>
        <w:tc>
          <w:tcPr>
            <w:tcW w:type="dxa" w:w="864"/>
          </w:tcPr>
          <w:p>
            <w:r>
              <w:rPr>
                <w:sz w:val="20"/>
              </w:rPr>
              <w:t>−0.4%</w:t>
            </w:r>
          </w:p>
        </w:tc>
        <w:tc>
          <w:tcPr>
            <w:tcW w:type="dxa" w:w="1728"/>
          </w:tcPr>
          <w:p>
            <w:r>
              <w:rPr>
                <w:sz w:val="20"/>
              </w:rPr>
              <w:t>0.92 (0.78–1.08)</w:t>
            </w:r>
          </w:p>
        </w:tc>
      </w:tr>
      <w:tr>
        <w:tc>
          <w:tcPr>
            <w:tcW w:type="dxa" w:w="1872"/>
          </w:tcPr>
          <w:p>
            <w:r>
              <w:rPr>
                <w:sz w:val="20"/>
              </w:rPr>
              <w:t>Diarrhea</w:t>
            </w:r>
          </w:p>
        </w:tc>
        <w:tc>
          <w:tcPr>
            <w:tcW w:type="dxa" w:w="1872"/>
          </w:tcPr>
          <w:p>
            <w:r>
              <w:rPr>
                <w:sz w:val="20"/>
              </w:rPr>
              <w:t>326 (4.0%)</w:t>
            </w:r>
          </w:p>
        </w:tc>
        <w:tc>
          <w:tcPr>
            <w:tcW w:type="dxa" w:w="1872"/>
          </w:tcPr>
          <w:p>
            <w:r>
              <w:rPr>
                <w:sz w:val="20"/>
              </w:rPr>
              <w:t>174 (3.7%)</w:t>
            </w:r>
          </w:p>
        </w:tc>
        <w:tc>
          <w:tcPr>
            <w:tcW w:type="dxa" w:w="864"/>
          </w:tcPr>
          <w:p>
            <w:r>
              <w:rPr>
                <w:sz w:val="20"/>
              </w:rPr>
              <w:t>+0.3%</w:t>
            </w:r>
          </w:p>
        </w:tc>
        <w:tc>
          <w:tcPr>
            <w:tcW w:type="dxa" w:w="1728"/>
          </w:tcPr>
          <w:p>
            <w:r>
              <w:rPr>
                <w:sz w:val="20"/>
              </w:rPr>
              <w:t>1.08 (0.90–1.30)</w:t>
            </w:r>
          </w:p>
        </w:tc>
      </w:tr>
      <w:tr>
        <w:tc>
          <w:tcPr>
            <w:tcW w:type="dxa" w:w="1872"/>
          </w:tcPr>
          <w:p>
            <w:r>
              <w:rPr>
                <w:sz w:val="20"/>
              </w:rPr>
              <w:t>Hypotension</w:t>
            </w:r>
          </w:p>
        </w:tc>
        <w:tc>
          <w:tcPr>
            <w:tcW w:type="dxa" w:w="1872"/>
          </w:tcPr>
          <w:p>
            <w:r>
              <w:rPr>
                <w:sz w:val="20"/>
              </w:rPr>
              <w:t>284 (3.5%)</w:t>
            </w:r>
          </w:p>
        </w:tc>
        <w:tc>
          <w:tcPr>
            <w:tcW w:type="dxa" w:w="1872"/>
          </w:tcPr>
          <w:p>
            <w:r>
              <w:rPr>
                <w:sz w:val="20"/>
              </w:rPr>
              <w:t>98 (2.1%)</w:t>
            </w:r>
          </w:p>
        </w:tc>
        <w:tc>
          <w:tcPr>
            <w:tcW w:type="dxa" w:w="864"/>
          </w:tcPr>
          <w:p>
            <w:r>
              <w:rPr>
                <w:sz w:val="20"/>
              </w:rPr>
              <w:t>+1.4%</w:t>
            </w:r>
          </w:p>
        </w:tc>
        <w:tc>
          <w:tcPr>
            <w:tcW w:type="dxa" w:w="1728"/>
          </w:tcPr>
          <w:p>
            <w:r>
              <w:rPr>
                <w:sz w:val="20"/>
              </w:rPr>
              <w:t>1.67 (1.34–2.09)</w:t>
            </w:r>
          </w:p>
        </w:tc>
      </w:tr>
      <w:tr>
        <w:tc>
          <w:tcPr>
            <w:tcW w:type="dxa" w:w="1872"/>
          </w:tcPr>
          <w:p>
            <w:r>
              <w:rPr>
                <w:sz w:val="20"/>
              </w:rPr>
              <w:t>Nausea</w:t>
            </w:r>
          </w:p>
        </w:tc>
        <w:tc>
          <w:tcPr>
            <w:tcW w:type="dxa" w:w="1872"/>
          </w:tcPr>
          <w:p>
            <w:r>
              <w:rPr>
                <w:sz w:val="20"/>
              </w:rPr>
              <w:t>268 (3.3%)</w:t>
            </w:r>
          </w:p>
        </w:tc>
        <w:tc>
          <w:tcPr>
            <w:tcW w:type="dxa" w:w="1872"/>
          </w:tcPr>
          <w:p>
            <w:r>
              <w:rPr>
                <w:sz w:val="20"/>
              </w:rPr>
              <w:t>148 (3.1%)</w:t>
            </w:r>
          </w:p>
        </w:tc>
        <w:tc>
          <w:tcPr>
            <w:tcW w:type="dxa" w:w="864"/>
          </w:tcPr>
          <w:p>
            <w:r>
              <w:rPr>
                <w:sz w:val="20"/>
              </w:rPr>
              <w:t>+0.2%</w:t>
            </w:r>
          </w:p>
        </w:tc>
        <w:tc>
          <w:tcPr>
            <w:tcW w:type="dxa" w:w="1728"/>
          </w:tcPr>
          <w:p>
            <w:r>
              <w:rPr>
                <w:sz w:val="20"/>
              </w:rPr>
              <w:t>1.05 (0.86–1.28)</w:t>
            </w:r>
          </w:p>
        </w:tc>
      </w:tr>
      <w:tr>
        <w:tc>
          <w:tcPr>
            <w:tcW w:type="dxa" w:w="1872"/>
          </w:tcPr>
          <w:p>
            <w:r>
              <w:rPr>
                <w:sz w:val="20"/>
              </w:rPr>
              <w:t>Dyspnea</w:t>
            </w:r>
          </w:p>
        </w:tc>
        <w:tc>
          <w:tcPr>
            <w:tcW w:type="dxa" w:w="1872"/>
          </w:tcPr>
          <w:p>
            <w:r>
              <w:rPr>
                <w:sz w:val="20"/>
              </w:rPr>
              <w:t>244 (3.0%)</w:t>
            </w:r>
          </w:p>
        </w:tc>
        <w:tc>
          <w:tcPr>
            <w:tcW w:type="dxa" w:w="1872"/>
          </w:tcPr>
          <w:p>
            <w:r>
              <w:rPr>
                <w:sz w:val="20"/>
              </w:rPr>
              <w:t>188 (4.0%)</w:t>
            </w:r>
          </w:p>
        </w:tc>
        <w:tc>
          <w:tcPr>
            <w:tcW w:type="dxa" w:w="864"/>
          </w:tcPr>
          <w:p>
            <w:r>
              <w:rPr>
                <w:sz w:val="20"/>
              </w:rPr>
              <w:t>−1.0%</w:t>
            </w:r>
          </w:p>
        </w:tc>
        <w:tc>
          <w:tcPr>
            <w:tcW w:type="dxa" w:w="1728"/>
          </w:tcPr>
          <w:p>
            <w:r>
              <w:rPr>
                <w:sz w:val="20"/>
              </w:rPr>
              <w:t>0.75 (0.62–0.90)</w:t>
            </w:r>
          </w:p>
        </w:tc>
      </w:tr>
      <w:tr>
        <w:tc>
          <w:tcPr>
            <w:tcW w:type="dxa" w:w="1872"/>
          </w:tcPr>
          <w:p>
            <w:r>
              <w:rPr>
                <w:sz w:val="20"/>
              </w:rPr>
              <w:t>Cold extremities</w:t>
            </w:r>
          </w:p>
        </w:tc>
        <w:tc>
          <w:tcPr>
            <w:tcW w:type="dxa" w:w="1872"/>
          </w:tcPr>
          <w:p>
            <w:r>
              <w:rPr>
                <w:sz w:val="20"/>
              </w:rPr>
              <w:t>212 (2.6%)</w:t>
            </w:r>
          </w:p>
        </w:tc>
        <w:tc>
          <w:tcPr>
            <w:tcW w:type="dxa" w:w="1872"/>
          </w:tcPr>
          <w:p>
            <w:r>
              <w:rPr>
                <w:sz w:val="20"/>
              </w:rPr>
              <w:t>56 (1.2%)</w:t>
            </w:r>
          </w:p>
        </w:tc>
        <w:tc>
          <w:tcPr>
            <w:tcW w:type="dxa" w:w="864"/>
          </w:tcPr>
          <w:p>
            <w:r>
              <w:rPr>
                <w:sz w:val="20"/>
              </w:rPr>
              <w:t>+1.4%</w:t>
            </w:r>
          </w:p>
        </w:tc>
        <w:tc>
          <w:tcPr>
            <w:tcW w:type="dxa" w:w="1728"/>
          </w:tcPr>
          <w:p>
            <w:r>
              <w:rPr>
                <w:sz w:val="20"/>
              </w:rPr>
              <w:t>2.19 (1.64–2.93)</w:t>
            </w:r>
          </w:p>
        </w:tc>
      </w:tr>
      <w:tr>
        <w:tc>
          <w:tcPr>
            <w:tcW w:type="dxa" w:w="1872"/>
          </w:tcPr>
          <w:p>
            <w:r>
              <w:rPr>
                <w:sz w:val="20"/>
              </w:rPr>
              <w:t>Insomnia</w:t>
            </w:r>
          </w:p>
        </w:tc>
        <w:tc>
          <w:tcPr>
            <w:tcW w:type="dxa" w:w="1872"/>
          </w:tcPr>
          <w:p>
            <w:r>
              <w:rPr>
                <w:sz w:val="20"/>
              </w:rPr>
              <w:t>196 (2.4%)</w:t>
            </w:r>
          </w:p>
        </w:tc>
        <w:tc>
          <w:tcPr>
            <w:tcW w:type="dxa" w:w="1872"/>
          </w:tcPr>
          <w:p>
            <w:r>
              <w:rPr>
                <w:sz w:val="20"/>
              </w:rPr>
              <w:t>104 (2.2%)</w:t>
            </w:r>
          </w:p>
        </w:tc>
        <w:tc>
          <w:tcPr>
            <w:tcW w:type="dxa" w:w="864"/>
          </w:tcPr>
          <w:p>
            <w:r>
              <w:rPr>
                <w:sz w:val="20"/>
              </w:rPr>
              <w:t>+0.2%</w:t>
            </w:r>
          </w:p>
        </w:tc>
        <w:tc>
          <w:tcPr>
            <w:tcW w:type="dxa" w:w="1728"/>
          </w:tcPr>
          <w:p>
            <w:r>
              <w:rPr>
                <w:sz w:val="20"/>
              </w:rPr>
              <w:t>1.09 (0.86–1.38)</w:t>
            </w:r>
          </w:p>
        </w:tc>
      </w:tr>
      <w:tr>
        <w:tc>
          <w:tcPr>
            <w:tcW w:type="dxa" w:w="1872"/>
          </w:tcPr>
          <w:p>
            <w:r>
              <w:rPr>
                <w:sz w:val="20"/>
              </w:rPr>
              <w:t>Depression</w:t>
            </w:r>
          </w:p>
        </w:tc>
        <w:tc>
          <w:tcPr>
            <w:tcW w:type="dxa" w:w="1872"/>
          </w:tcPr>
          <w:p>
            <w:r>
              <w:rPr>
                <w:sz w:val="20"/>
              </w:rPr>
              <w:t>178 (2.2%)</w:t>
            </w:r>
          </w:p>
        </w:tc>
        <w:tc>
          <w:tcPr>
            <w:tcW w:type="dxa" w:w="1872"/>
          </w:tcPr>
          <w:p>
            <w:r>
              <w:rPr>
                <w:sz w:val="20"/>
              </w:rPr>
              <w:t>94 (2.0%)</w:t>
            </w:r>
          </w:p>
        </w:tc>
        <w:tc>
          <w:tcPr>
            <w:tcW w:type="dxa" w:w="864"/>
          </w:tcPr>
          <w:p>
            <w:r>
              <w:rPr>
                <w:sz w:val="20"/>
              </w:rPr>
              <w:t>+0.2%</w:t>
            </w:r>
          </w:p>
        </w:tc>
        <w:tc>
          <w:tcPr>
            <w:tcW w:type="dxa" w:w="1728"/>
          </w:tcPr>
          <w:p>
            <w:r>
              <w:rPr>
                <w:sz w:val="20"/>
              </w:rPr>
              <w:t>1.09 (0.85–1.40)</w:t>
            </w:r>
          </w:p>
        </w:tc>
      </w:tr>
      <w:tr>
        <w:tc>
          <w:tcPr>
            <w:tcW w:type="dxa" w:w="1872"/>
          </w:tcPr>
          <w:p>
            <w:r>
              <w:rPr>
                <w:sz w:val="20"/>
              </w:rPr>
              <w:t>Peripheral edema</w:t>
            </w:r>
          </w:p>
        </w:tc>
        <w:tc>
          <w:tcPr>
            <w:tcW w:type="dxa" w:w="1872"/>
          </w:tcPr>
          <w:p>
            <w:r>
              <w:rPr>
                <w:sz w:val="20"/>
              </w:rPr>
              <w:t>164 (2.0%)</w:t>
            </w:r>
          </w:p>
        </w:tc>
        <w:tc>
          <w:tcPr>
            <w:tcW w:type="dxa" w:w="1872"/>
          </w:tcPr>
          <w:p>
            <w:r>
              <w:rPr>
                <w:sz w:val="20"/>
              </w:rPr>
              <w:t>82 (1.7%)</w:t>
            </w:r>
          </w:p>
        </w:tc>
        <w:tc>
          <w:tcPr>
            <w:tcW w:type="dxa" w:w="864"/>
          </w:tcPr>
          <w:p>
            <w:r>
              <w:rPr>
                <w:sz w:val="20"/>
              </w:rPr>
              <w:t>+0.3%</w:t>
            </w:r>
          </w:p>
        </w:tc>
        <w:tc>
          <w:tcPr>
            <w:tcW w:type="dxa" w:w="1728"/>
          </w:tcPr>
          <w:p>
            <w:r>
              <w:rPr>
                <w:sz w:val="20"/>
              </w:rPr>
              <w:t>1.16 (0.89–1.50)</w:t>
            </w:r>
          </w:p>
        </w:tc>
      </w:tr>
    </w:tbl>
    <w:p/>
    <w:p>
      <w:pPr>
        <w:pStyle w:val="Heading2"/>
      </w:pPr>
      <w:r>
        <w:t>13.2 Serious Adverse Events and Deaths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880"/>
            <w:shd w:fill="003366"/>
          </w:tcPr>
          <w:p>
            <w:pPr>
              <w:jc w:val="center"/>
            </w:pPr>
            <w:r>
              <w:rPr>
                <w:b/>
                <w:color w:val="FFFFFF"/>
                <w:sz w:val="20"/>
              </w:rPr>
              <w:t>SAE Category</w:t>
            </w:r>
          </w:p>
        </w:tc>
        <w:tc>
          <w:tcPr>
            <w:tcW w:type="dxa" w:w="2304"/>
            <w:shd w:fill="003366"/>
          </w:tcPr>
          <w:p>
            <w:pPr>
              <w:jc w:val="center"/>
            </w:pPr>
            <w:r>
              <w:rPr>
                <w:b/>
                <w:color w:val="FFFFFF"/>
                <w:sz w:val="20"/>
              </w:rPr>
              <w:t>Cardivex® (rate/100 PY)</w:t>
            </w:r>
          </w:p>
        </w:tc>
        <w:tc>
          <w:tcPr>
            <w:tcW w:type="dxa" w:w="2304"/>
            <w:shd w:fill="003366"/>
          </w:tcPr>
          <w:p>
            <w:pPr>
              <w:jc w:val="center"/>
            </w:pPr>
            <w:r>
              <w:rPr>
                <w:b/>
                <w:color w:val="FFFFFF"/>
                <w:sz w:val="20"/>
              </w:rPr>
              <w:t>Placebo (rate/100 PY)</w:t>
            </w:r>
          </w:p>
        </w:tc>
        <w:tc>
          <w:tcPr>
            <w:tcW w:type="dxa" w:w="1152"/>
            <w:shd w:fill="003366"/>
          </w:tcPr>
          <w:p>
            <w:pPr>
              <w:jc w:val="center"/>
            </w:pPr>
            <w:r>
              <w:rPr>
                <w:b/>
                <w:color w:val="FFFFFF"/>
                <w:sz w:val="20"/>
              </w:rPr>
              <w:t>p-value</w:t>
            </w:r>
          </w:p>
        </w:tc>
      </w:tr>
      <w:tr>
        <w:tc>
          <w:tcPr>
            <w:tcW w:type="dxa" w:w="2880"/>
          </w:tcPr>
          <w:p>
            <w:r>
              <w:rPr>
                <w:sz w:val="20"/>
              </w:rPr>
              <w:t>Any SAE</w:t>
            </w:r>
          </w:p>
        </w:tc>
        <w:tc>
          <w:tcPr>
            <w:tcW w:type="dxa" w:w="2304"/>
          </w:tcPr>
          <w:p>
            <w:r>
              <w:rPr>
                <w:sz w:val="20"/>
              </w:rPr>
              <w:t>486 (3.98)</w:t>
            </w:r>
          </w:p>
        </w:tc>
        <w:tc>
          <w:tcPr>
            <w:tcW w:type="dxa" w:w="2304"/>
          </w:tcPr>
          <w:p>
            <w:r>
              <w:rPr>
                <w:sz w:val="20"/>
              </w:rPr>
              <w:t>412 (5.84)</w:t>
            </w:r>
          </w:p>
        </w:tc>
        <w:tc>
          <w:tcPr>
            <w:tcW w:type="dxa" w:w="1152"/>
          </w:tcPr>
          <w:p>
            <w:r>
              <w:rPr>
                <w:sz w:val="20"/>
              </w:rPr>
              <w:t>0.002</w:t>
            </w:r>
          </w:p>
        </w:tc>
      </w:tr>
      <w:tr>
        <w:tc>
          <w:tcPr>
            <w:tcW w:type="dxa" w:w="2880"/>
          </w:tcPr>
          <w:p>
            <w:r>
              <w:rPr>
                <w:sz w:val="20"/>
              </w:rPr>
              <w:t>Symptomatic bradycardia &lt;45 bpm</w:t>
            </w:r>
          </w:p>
        </w:tc>
        <w:tc>
          <w:tcPr>
            <w:tcW w:type="dxa" w:w="2304"/>
          </w:tcPr>
          <w:p>
            <w:r>
              <w:rPr>
                <w:sz w:val="20"/>
              </w:rPr>
              <w:t>48 (0.39)</w:t>
            </w:r>
          </w:p>
        </w:tc>
        <w:tc>
          <w:tcPr>
            <w:tcW w:type="dxa" w:w="2304"/>
          </w:tcPr>
          <w:p>
            <w:r>
              <w:rPr>
                <w:sz w:val="20"/>
              </w:rPr>
              <w:t>8 (0.11)</w:t>
            </w:r>
          </w:p>
        </w:tc>
        <w:tc>
          <w:tcPr>
            <w:tcW w:type="dxa" w:w="1152"/>
          </w:tcPr>
          <w:p>
            <w:r>
              <w:rPr>
                <w:sz w:val="20"/>
              </w:rPr>
              <w:t>&lt;0.001</w:t>
            </w:r>
          </w:p>
        </w:tc>
      </w:tr>
      <w:tr>
        <w:tc>
          <w:tcPr>
            <w:tcW w:type="dxa" w:w="2880"/>
          </w:tcPr>
          <w:p>
            <w:r>
              <w:rPr>
                <w:sz w:val="20"/>
              </w:rPr>
              <w:t>2nd/3rd degree AV block</w:t>
            </w:r>
          </w:p>
        </w:tc>
        <w:tc>
          <w:tcPr>
            <w:tcW w:type="dxa" w:w="2304"/>
          </w:tcPr>
          <w:p>
            <w:r>
              <w:rPr>
                <w:sz w:val="20"/>
              </w:rPr>
              <w:t>18 (0.15)</w:t>
            </w:r>
          </w:p>
        </w:tc>
        <w:tc>
          <w:tcPr>
            <w:tcW w:type="dxa" w:w="2304"/>
          </w:tcPr>
          <w:p>
            <w:r>
              <w:rPr>
                <w:sz w:val="20"/>
              </w:rPr>
              <w:t>4 (0.06)</w:t>
            </w:r>
          </w:p>
        </w:tc>
        <w:tc>
          <w:tcPr>
            <w:tcW w:type="dxa" w:w="1152"/>
          </w:tcPr>
          <w:p>
            <w:r>
              <w:rPr>
                <w:sz w:val="20"/>
              </w:rPr>
              <w:t>0.08</w:t>
            </w:r>
          </w:p>
        </w:tc>
      </w:tr>
      <w:tr>
        <w:tc>
          <w:tcPr>
            <w:tcW w:type="dxa" w:w="2880"/>
          </w:tcPr>
          <w:p>
            <w:r>
              <w:rPr>
                <w:sz w:val="20"/>
              </w:rPr>
              <w:t>Cardiogenic shock</w:t>
            </w:r>
          </w:p>
        </w:tc>
        <w:tc>
          <w:tcPr>
            <w:tcW w:type="dxa" w:w="2304"/>
          </w:tcPr>
          <w:p>
            <w:r>
              <w:rPr>
                <w:sz w:val="20"/>
              </w:rPr>
              <w:t>6 (0.05)</w:t>
            </w:r>
          </w:p>
        </w:tc>
        <w:tc>
          <w:tcPr>
            <w:tcW w:type="dxa" w:w="2304"/>
          </w:tcPr>
          <w:p>
            <w:r>
              <w:rPr>
                <w:sz w:val="20"/>
              </w:rPr>
              <w:t>14 (0.20)</w:t>
            </w:r>
          </w:p>
        </w:tc>
        <w:tc>
          <w:tcPr>
            <w:tcW w:type="dxa" w:w="1152"/>
          </w:tcPr>
          <w:p>
            <w:r>
              <w:rPr>
                <w:sz w:val="20"/>
              </w:rPr>
              <w:t>0.02</w:t>
            </w:r>
          </w:p>
        </w:tc>
      </w:tr>
      <w:tr>
        <w:tc>
          <w:tcPr>
            <w:tcW w:type="dxa" w:w="2880"/>
          </w:tcPr>
          <w:p>
            <w:r>
              <w:rPr>
                <w:sz w:val="20"/>
              </w:rPr>
              <w:t>Severe hypotension &lt;80 mmHg</w:t>
            </w:r>
          </w:p>
        </w:tc>
        <w:tc>
          <w:tcPr>
            <w:tcW w:type="dxa" w:w="2304"/>
          </w:tcPr>
          <w:p>
            <w:r>
              <w:rPr>
                <w:sz w:val="20"/>
              </w:rPr>
              <w:t>24 (0.20)</w:t>
            </w:r>
          </w:p>
        </w:tc>
        <w:tc>
          <w:tcPr>
            <w:tcW w:type="dxa" w:w="2304"/>
          </w:tcPr>
          <w:p>
            <w:r>
              <w:rPr>
                <w:sz w:val="20"/>
              </w:rPr>
              <w:t>10 (0.14)</w:t>
            </w:r>
          </w:p>
        </w:tc>
        <w:tc>
          <w:tcPr>
            <w:tcW w:type="dxa" w:w="1152"/>
          </w:tcPr>
          <w:p>
            <w:r>
              <w:rPr>
                <w:sz w:val="20"/>
              </w:rPr>
              <w:t>0.38</w:t>
            </w:r>
          </w:p>
        </w:tc>
      </w:tr>
      <w:tr>
        <w:tc>
          <w:tcPr>
            <w:tcW w:type="dxa" w:w="2880"/>
          </w:tcPr>
          <w:p>
            <w:r>
              <w:rPr>
                <w:sz w:val="20"/>
              </w:rPr>
              <w:t>Worsening heart failure</w:t>
            </w:r>
          </w:p>
        </w:tc>
        <w:tc>
          <w:tcPr>
            <w:tcW w:type="dxa" w:w="2304"/>
          </w:tcPr>
          <w:p>
            <w:r>
              <w:rPr>
                <w:sz w:val="20"/>
              </w:rPr>
              <w:t>86 (0.70)</w:t>
            </w:r>
          </w:p>
        </w:tc>
        <w:tc>
          <w:tcPr>
            <w:tcW w:type="dxa" w:w="2304"/>
          </w:tcPr>
          <w:p>
            <w:r>
              <w:rPr>
                <w:sz w:val="20"/>
              </w:rPr>
              <w:t>142 (2.01)</w:t>
            </w:r>
          </w:p>
        </w:tc>
        <w:tc>
          <w:tcPr>
            <w:tcW w:type="dxa" w:w="1152"/>
          </w:tcPr>
          <w:p>
            <w:r>
              <w:rPr>
                <w:sz w:val="20"/>
              </w:rPr>
              <w:t>&lt;0.001</w:t>
            </w:r>
          </w:p>
        </w:tc>
      </w:tr>
      <w:tr>
        <w:tc>
          <w:tcPr>
            <w:tcW w:type="dxa" w:w="2880"/>
          </w:tcPr>
          <w:p>
            <w:r>
              <w:rPr>
                <w:sz w:val="20"/>
              </w:rPr>
              <w:t>Bronchospasm</w:t>
            </w:r>
          </w:p>
        </w:tc>
        <w:tc>
          <w:tcPr>
            <w:tcW w:type="dxa" w:w="2304"/>
          </w:tcPr>
          <w:p>
            <w:r>
              <w:rPr>
                <w:sz w:val="20"/>
              </w:rPr>
              <w:t>12 (0.10)</w:t>
            </w:r>
          </w:p>
        </w:tc>
        <w:tc>
          <w:tcPr>
            <w:tcW w:type="dxa" w:w="2304"/>
          </w:tcPr>
          <w:p>
            <w:r>
              <w:rPr>
                <w:sz w:val="20"/>
              </w:rPr>
              <w:t>6 (0.09)</w:t>
            </w:r>
          </w:p>
        </w:tc>
        <w:tc>
          <w:tcPr>
            <w:tcW w:type="dxa" w:w="1152"/>
          </w:tcPr>
          <w:p>
            <w:r>
              <w:rPr>
                <w:sz w:val="20"/>
              </w:rPr>
              <w:t>0.82</w:t>
            </w:r>
          </w:p>
        </w:tc>
      </w:tr>
      <w:tr>
        <w:tc>
          <w:tcPr>
            <w:tcW w:type="dxa" w:w="2880"/>
          </w:tcPr>
          <w:p>
            <w:r>
              <w:rPr>
                <w:sz w:val="20"/>
              </w:rPr>
              <w:t>All-cause death</w:t>
            </w:r>
          </w:p>
        </w:tc>
        <w:tc>
          <w:tcPr>
            <w:tcW w:type="dxa" w:w="2304"/>
          </w:tcPr>
          <w:p>
            <w:r>
              <w:rPr>
                <w:sz w:val="20"/>
              </w:rPr>
              <w:t>224 (1.83)</w:t>
            </w:r>
          </w:p>
        </w:tc>
        <w:tc>
          <w:tcPr>
            <w:tcW w:type="dxa" w:w="2304"/>
          </w:tcPr>
          <w:p>
            <w:r>
              <w:rPr>
                <w:sz w:val="20"/>
              </w:rPr>
              <w:t>310 (4.39)</w:t>
            </w:r>
          </w:p>
        </w:tc>
        <w:tc>
          <w:tcPr>
            <w:tcW w:type="dxa" w:w="1152"/>
          </w:tcPr>
          <w:p>
            <w:r>
              <w:rPr>
                <w:sz w:val="20"/>
              </w:rPr>
              <w:t>&lt;0.001</w:t>
            </w:r>
          </w:p>
        </w:tc>
      </w:tr>
    </w:tbl>
    <w:p/>
    <w:p>
      <w:pPr>
        <w:pStyle w:val="Heading2"/>
      </w:pPr>
      <w:r>
        <w:t>13.3 Discontinuation Rates</w:t>
      </w:r>
    </w:p>
    <w:p>
      <w:r>
        <w:t>Treatment discontinuation due to adverse events: Cardivex® 4.7% vs. placebo 3.9%. Leading causes in Cardivex® arm: symptomatic bradycardia (1.2%), fatigue (0.8%), hypotension (0.6%), dizziness (0.5%), depression (0.3%). (See CDR-CV-2026-001, Section 10.3 — Discontinuation Analysis)</w:t>
      </w:r>
    </w:p>
    <w:p>
      <w:r>
        <w:br w:type="page"/>
      </w:r>
    </w:p>
    <w:p>
      <w:pPr>
        <w:pStyle w:val="Heading1"/>
      </w:pPr>
      <w:r>
        <w:t>14. Drug Interactions</w:t>
      </w:r>
    </w:p>
    <w:p>
      <w:pPr>
        <w:pStyle w:val="Heading2"/>
      </w:pPr>
      <w:r>
        <w:t>14.1 Pharmacokinetic Drug Interactions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440"/>
            <w:shd w:fill="003366"/>
          </w:tcPr>
          <w:p>
            <w:pPr>
              <w:jc w:val="center"/>
            </w:pPr>
            <w:r>
              <w:rPr>
                <w:b/>
                <w:color w:val="FFFFFF"/>
                <w:sz w:val="20"/>
              </w:rPr>
              <w:t>Drug</w:t>
            </w:r>
          </w:p>
        </w:tc>
        <w:tc>
          <w:tcPr>
            <w:tcW w:type="dxa" w:w="1728"/>
            <w:shd w:fill="003366"/>
          </w:tcPr>
          <w:p>
            <w:pPr>
              <w:jc w:val="center"/>
            </w:pPr>
            <w:r>
              <w:rPr>
                <w:b/>
                <w:color w:val="FFFFFF"/>
                <w:sz w:val="20"/>
              </w:rPr>
              <w:t>Mechanism</w:t>
            </w:r>
          </w:p>
        </w:tc>
        <w:tc>
          <w:tcPr>
            <w:tcW w:type="dxa" w:w="1440"/>
            <w:shd w:fill="003366"/>
          </w:tcPr>
          <w:p>
            <w:pPr>
              <w:jc w:val="center"/>
            </w:pPr>
            <w:r>
              <w:rPr>
                <w:b/>
                <w:color w:val="FFFFFF"/>
                <w:sz w:val="20"/>
              </w:rPr>
              <w:t>Effect on Metopravil</w:t>
            </w:r>
          </w:p>
        </w:tc>
        <w:tc>
          <w:tcPr>
            <w:tcW w:type="dxa" w:w="1440"/>
            <w:shd w:fill="003366"/>
          </w:tcPr>
          <w:p>
            <w:pPr>
              <w:jc w:val="center"/>
            </w:pPr>
            <w:r>
              <w:rPr>
                <w:b/>
                <w:color w:val="FFFFFF"/>
                <w:sz w:val="20"/>
              </w:rPr>
              <w:t>Effect on Co-drug</w:t>
            </w:r>
          </w:p>
        </w:tc>
        <w:tc>
          <w:tcPr>
            <w:tcW w:type="dxa" w:w="2880"/>
            <w:shd w:fill="003366"/>
          </w:tcPr>
          <w:p>
            <w:pPr>
              <w:jc w:val="center"/>
            </w:pPr>
            <w:r>
              <w:rPr>
                <w:b/>
                <w:color w:val="FFFFFF"/>
                <w:sz w:val="20"/>
              </w:rPr>
              <w:t>Recommendation</w:t>
            </w:r>
          </w:p>
        </w:tc>
      </w:tr>
      <w:tr>
        <w:tc>
          <w:tcPr>
            <w:tcW w:type="dxa" w:w="1440"/>
          </w:tcPr>
          <w:p>
            <w:r>
              <w:rPr>
                <w:sz w:val="20"/>
              </w:rPr>
              <w:t>Fluoxetine</w:t>
            </w:r>
          </w:p>
        </w:tc>
        <w:tc>
          <w:tcPr>
            <w:tcW w:type="dxa" w:w="1728"/>
          </w:tcPr>
          <w:p>
            <w:r>
              <w:rPr>
                <w:sz w:val="20"/>
              </w:rPr>
              <w:t>CYP2D6 inhibition</w:t>
            </w:r>
          </w:p>
        </w:tc>
        <w:tc>
          <w:tcPr>
            <w:tcW w:type="dxa" w:w="1440"/>
          </w:tcPr>
          <w:p>
            <w:r>
              <w:rPr>
                <w:sz w:val="20"/>
              </w:rPr>
              <w:t>AUC ↑68%</w:t>
            </w:r>
          </w:p>
        </w:tc>
        <w:tc>
          <w:tcPr>
            <w:tcW w:type="dxa" w:w="1440"/>
          </w:tcPr>
          <w:p>
            <w:r>
              <w:rPr>
                <w:sz w:val="20"/>
              </w:rPr>
              <w:t>No change</w:t>
            </w:r>
          </w:p>
        </w:tc>
        <w:tc>
          <w:tcPr>
            <w:tcW w:type="dxa" w:w="2880"/>
          </w:tcPr>
          <w:p>
            <w:r>
              <w:rPr>
                <w:sz w:val="20"/>
              </w:rPr>
              <w:t>Reduce Cardivex® 50%; monitor HR</w:t>
            </w:r>
          </w:p>
        </w:tc>
      </w:tr>
      <w:tr>
        <w:tc>
          <w:tcPr>
            <w:tcW w:type="dxa" w:w="1440"/>
          </w:tcPr>
          <w:p>
            <w:r>
              <w:rPr>
                <w:sz w:val="20"/>
              </w:rPr>
              <w:t>Paroxetine</w:t>
            </w:r>
          </w:p>
        </w:tc>
        <w:tc>
          <w:tcPr>
            <w:tcW w:type="dxa" w:w="1728"/>
          </w:tcPr>
          <w:p>
            <w:r>
              <w:rPr>
                <w:sz w:val="20"/>
              </w:rPr>
              <w:t>CYP2D6 inhibition</w:t>
            </w:r>
          </w:p>
        </w:tc>
        <w:tc>
          <w:tcPr>
            <w:tcW w:type="dxa" w:w="1440"/>
          </w:tcPr>
          <w:p>
            <w:r>
              <w:rPr>
                <w:sz w:val="20"/>
              </w:rPr>
              <w:t>AUC ↑62%</w:t>
            </w:r>
          </w:p>
        </w:tc>
        <w:tc>
          <w:tcPr>
            <w:tcW w:type="dxa" w:w="1440"/>
          </w:tcPr>
          <w:p>
            <w:r>
              <w:rPr>
                <w:sz w:val="20"/>
              </w:rPr>
              <w:t>No change</w:t>
            </w:r>
          </w:p>
        </w:tc>
        <w:tc>
          <w:tcPr>
            <w:tcW w:type="dxa" w:w="2880"/>
          </w:tcPr>
          <w:p>
            <w:r>
              <w:rPr>
                <w:sz w:val="20"/>
              </w:rPr>
              <w:t>Reduce Cardivex® 50%; monitor HR</w:t>
            </w:r>
          </w:p>
        </w:tc>
      </w:tr>
      <w:tr>
        <w:tc>
          <w:tcPr>
            <w:tcW w:type="dxa" w:w="1440"/>
          </w:tcPr>
          <w:p>
            <w:r>
              <w:rPr>
                <w:sz w:val="20"/>
              </w:rPr>
              <w:t>Ketoconazole</w:t>
            </w:r>
          </w:p>
        </w:tc>
        <w:tc>
          <w:tcPr>
            <w:tcW w:type="dxa" w:w="1728"/>
          </w:tcPr>
          <w:p>
            <w:r>
              <w:rPr>
                <w:sz w:val="20"/>
              </w:rPr>
              <w:t>CYP3A4 inhibition</w:t>
            </w:r>
          </w:p>
        </w:tc>
        <w:tc>
          <w:tcPr>
            <w:tcW w:type="dxa" w:w="1440"/>
          </w:tcPr>
          <w:p>
            <w:r>
              <w:rPr>
                <w:sz w:val="20"/>
              </w:rPr>
              <w:t>AUC ↑24%</w:t>
            </w:r>
          </w:p>
        </w:tc>
        <w:tc>
          <w:tcPr>
            <w:tcW w:type="dxa" w:w="1440"/>
          </w:tcPr>
          <w:p>
            <w:r>
              <w:rPr>
                <w:sz w:val="20"/>
              </w:rPr>
              <w:t>No change</w:t>
            </w:r>
          </w:p>
        </w:tc>
        <w:tc>
          <w:tcPr>
            <w:tcW w:type="dxa" w:w="2880"/>
          </w:tcPr>
          <w:p>
            <w:r>
              <w:rPr>
                <w:sz w:val="20"/>
              </w:rPr>
              <w:t>Monitor; no dose change</w:t>
            </w:r>
          </w:p>
        </w:tc>
      </w:tr>
      <w:tr>
        <w:tc>
          <w:tcPr>
            <w:tcW w:type="dxa" w:w="1440"/>
          </w:tcPr>
          <w:p>
            <w:r>
              <w:rPr>
                <w:sz w:val="20"/>
              </w:rPr>
              <w:t>Rifampicin</w:t>
            </w:r>
          </w:p>
        </w:tc>
        <w:tc>
          <w:tcPr>
            <w:tcW w:type="dxa" w:w="1728"/>
          </w:tcPr>
          <w:p>
            <w:r>
              <w:rPr>
                <w:sz w:val="20"/>
              </w:rPr>
              <w:t>Pan-CYP induction</w:t>
            </w:r>
          </w:p>
        </w:tc>
        <w:tc>
          <w:tcPr>
            <w:tcW w:type="dxa" w:w="1440"/>
          </w:tcPr>
          <w:p>
            <w:r>
              <w:rPr>
                <w:sz w:val="20"/>
              </w:rPr>
              <w:t>AUC ↓58%</w:t>
            </w:r>
          </w:p>
        </w:tc>
        <w:tc>
          <w:tcPr>
            <w:tcW w:type="dxa" w:w="1440"/>
          </w:tcPr>
          <w:p>
            <w:r>
              <w:rPr>
                <w:sz w:val="20"/>
              </w:rPr>
              <w:t>No change</w:t>
            </w:r>
          </w:p>
        </w:tc>
        <w:tc>
          <w:tcPr>
            <w:tcW w:type="dxa" w:w="2880"/>
          </w:tcPr>
          <w:p>
            <w:r>
              <w:rPr>
                <w:sz w:val="20"/>
              </w:rPr>
              <w:t>May need dose increase</w:t>
            </w:r>
          </w:p>
        </w:tc>
      </w:tr>
      <w:tr>
        <w:tc>
          <w:tcPr>
            <w:tcW w:type="dxa" w:w="1440"/>
          </w:tcPr>
          <w:p>
            <w:r>
              <w:rPr>
                <w:sz w:val="20"/>
              </w:rPr>
              <w:t>Cimetidine</w:t>
            </w:r>
          </w:p>
        </w:tc>
        <w:tc>
          <w:tcPr>
            <w:tcW w:type="dxa" w:w="1728"/>
          </w:tcPr>
          <w:p>
            <w:r>
              <w:rPr>
                <w:sz w:val="20"/>
              </w:rPr>
              <w:t>Non-specific CYP inhibit</w:t>
            </w:r>
          </w:p>
        </w:tc>
        <w:tc>
          <w:tcPr>
            <w:tcW w:type="dxa" w:w="1440"/>
          </w:tcPr>
          <w:p>
            <w:r>
              <w:rPr>
                <w:sz w:val="20"/>
              </w:rPr>
              <w:t>AUC ↑32%</w:t>
            </w:r>
          </w:p>
        </w:tc>
        <w:tc>
          <w:tcPr>
            <w:tcW w:type="dxa" w:w="1440"/>
          </w:tcPr>
          <w:p>
            <w:r>
              <w:rPr>
                <w:sz w:val="20"/>
              </w:rPr>
              <w:t>No change</w:t>
            </w:r>
          </w:p>
        </w:tc>
        <w:tc>
          <w:tcPr>
            <w:tcW w:type="dxa" w:w="2880"/>
          </w:tcPr>
          <w:p>
            <w:r>
              <w:rPr>
                <w:sz w:val="20"/>
              </w:rPr>
              <w:t>Use alternative H2-blocker</w:t>
            </w:r>
          </w:p>
        </w:tc>
      </w:tr>
      <w:tr>
        <w:tc>
          <w:tcPr>
            <w:tcW w:type="dxa" w:w="1440"/>
          </w:tcPr>
          <w:p>
            <w:r>
              <w:rPr>
                <w:sz w:val="20"/>
              </w:rPr>
              <w:t>Warfarin</w:t>
            </w:r>
          </w:p>
        </w:tc>
        <w:tc>
          <w:tcPr>
            <w:tcW w:type="dxa" w:w="1728"/>
          </w:tcPr>
          <w:p>
            <w:r>
              <w:rPr>
                <w:sz w:val="20"/>
              </w:rPr>
              <w:t>None</w:t>
            </w:r>
          </w:p>
        </w:tc>
        <w:tc>
          <w:tcPr>
            <w:tcW w:type="dxa" w:w="1440"/>
          </w:tcPr>
          <w:p>
            <w:r>
              <w:rPr>
                <w:sz w:val="20"/>
              </w:rPr>
              <w:t>No change</w:t>
            </w:r>
          </w:p>
        </w:tc>
        <w:tc>
          <w:tcPr>
            <w:tcW w:type="dxa" w:w="1440"/>
          </w:tcPr>
          <w:p>
            <w:r>
              <w:rPr>
                <w:sz w:val="20"/>
              </w:rPr>
              <w:t>No change</w:t>
            </w:r>
          </w:p>
        </w:tc>
        <w:tc>
          <w:tcPr>
            <w:tcW w:type="dxa" w:w="2880"/>
          </w:tcPr>
          <w:p>
            <w:r>
              <w:rPr>
                <w:sz w:val="20"/>
              </w:rPr>
              <w:t>No change; monitor INR</w:t>
            </w:r>
          </w:p>
        </w:tc>
      </w:tr>
      <w:tr>
        <w:tc>
          <w:tcPr>
            <w:tcW w:type="dxa" w:w="1440"/>
          </w:tcPr>
          <w:p>
            <w:r>
              <w:rPr>
                <w:sz w:val="20"/>
              </w:rPr>
              <w:t>Digoxin</w:t>
            </w:r>
          </w:p>
        </w:tc>
        <w:tc>
          <w:tcPr>
            <w:tcW w:type="dxa" w:w="1728"/>
          </w:tcPr>
          <w:p>
            <w:r>
              <w:rPr>
                <w:sz w:val="20"/>
              </w:rPr>
              <w:t>P-gp interaction</w:t>
            </w:r>
          </w:p>
        </w:tc>
        <w:tc>
          <w:tcPr>
            <w:tcW w:type="dxa" w:w="1440"/>
          </w:tcPr>
          <w:p>
            <w:r>
              <w:rPr>
                <w:sz w:val="20"/>
              </w:rPr>
              <w:t>No change</w:t>
            </w:r>
          </w:p>
        </w:tc>
        <w:tc>
          <w:tcPr>
            <w:tcW w:type="dxa" w:w="1440"/>
          </w:tcPr>
          <w:p>
            <w:r>
              <w:rPr>
                <w:sz w:val="20"/>
              </w:rPr>
              <w:t>AUC ↑18%</w:t>
            </w:r>
          </w:p>
        </w:tc>
        <w:tc>
          <w:tcPr>
            <w:tcW w:type="dxa" w:w="2880"/>
          </w:tcPr>
          <w:p>
            <w:r>
              <w:rPr>
                <w:sz w:val="20"/>
              </w:rPr>
              <w:t>Monitor digoxin levels</w:t>
            </w:r>
          </w:p>
        </w:tc>
      </w:tr>
      <w:tr>
        <w:tc>
          <w:tcPr>
            <w:tcW w:type="dxa" w:w="1440"/>
          </w:tcPr>
          <w:p>
            <w:r>
              <w:rPr>
                <w:sz w:val="20"/>
              </w:rPr>
              <w:t>Omeprazole</w:t>
            </w:r>
          </w:p>
        </w:tc>
        <w:tc>
          <w:tcPr>
            <w:tcW w:type="dxa" w:w="1728"/>
          </w:tcPr>
          <w:p>
            <w:r>
              <w:rPr>
                <w:sz w:val="20"/>
              </w:rPr>
              <w:t>None</w:t>
            </w:r>
          </w:p>
        </w:tc>
        <w:tc>
          <w:tcPr>
            <w:tcW w:type="dxa" w:w="1440"/>
          </w:tcPr>
          <w:p>
            <w:r>
              <w:rPr>
                <w:sz w:val="20"/>
              </w:rPr>
              <w:t>No change</w:t>
            </w:r>
          </w:p>
        </w:tc>
        <w:tc>
          <w:tcPr>
            <w:tcW w:type="dxa" w:w="1440"/>
          </w:tcPr>
          <w:p>
            <w:r>
              <w:rPr>
                <w:sz w:val="20"/>
              </w:rPr>
              <w:t>No change</w:t>
            </w:r>
          </w:p>
        </w:tc>
        <w:tc>
          <w:tcPr>
            <w:tcW w:type="dxa" w:w="2880"/>
          </w:tcPr>
          <w:p>
            <w:r>
              <w:rPr>
                <w:sz w:val="20"/>
              </w:rPr>
              <w:t>No adjustment</w:t>
            </w:r>
          </w:p>
        </w:tc>
      </w:tr>
      <w:tr>
        <w:tc>
          <w:tcPr>
            <w:tcW w:type="dxa" w:w="1440"/>
          </w:tcPr>
          <w:p>
            <w:r>
              <w:rPr>
                <w:sz w:val="20"/>
              </w:rPr>
              <w:t>Ritonavir</w:t>
            </w:r>
          </w:p>
        </w:tc>
        <w:tc>
          <w:tcPr>
            <w:tcW w:type="dxa" w:w="1728"/>
          </w:tcPr>
          <w:p>
            <w:r>
              <w:rPr>
                <w:sz w:val="20"/>
              </w:rPr>
              <w:t>CYP3A4/2D6 inhibition</w:t>
            </w:r>
          </w:p>
        </w:tc>
        <w:tc>
          <w:tcPr>
            <w:tcW w:type="dxa" w:w="1440"/>
          </w:tcPr>
          <w:p>
            <w:r>
              <w:rPr>
                <w:sz w:val="20"/>
              </w:rPr>
              <w:t>AUC ↑82%</w:t>
            </w:r>
          </w:p>
        </w:tc>
        <w:tc>
          <w:tcPr>
            <w:tcW w:type="dxa" w:w="1440"/>
          </w:tcPr>
          <w:p>
            <w:r>
              <w:rPr>
                <w:sz w:val="20"/>
              </w:rPr>
              <w:t>No change</w:t>
            </w:r>
          </w:p>
        </w:tc>
        <w:tc>
          <w:tcPr>
            <w:tcW w:type="dxa" w:w="2880"/>
          </w:tcPr>
          <w:p>
            <w:r>
              <w:rPr>
                <w:sz w:val="20"/>
              </w:rPr>
              <w:t>Avoid; if essential, start at 25 mg</w:t>
            </w:r>
          </w:p>
        </w:tc>
      </w:tr>
    </w:tbl>
    <w:p/>
    <w:p>
      <w:pPr>
        <w:pStyle w:val="Heading2"/>
      </w:pPr>
      <w:r>
        <w:t>14.2 Pharmacodynamic Drug Interactions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016"/>
            <w:shd w:fill="003366"/>
          </w:tcPr>
          <w:p>
            <w:pPr>
              <w:jc w:val="center"/>
            </w:pPr>
            <w:r>
              <w:rPr>
                <w:b/>
                <w:color w:val="FFFFFF"/>
                <w:sz w:val="20"/>
              </w:rPr>
              <w:t>Drug/Class</w:t>
            </w:r>
          </w:p>
        </w:tc>
        <w:tc>
          <w:tcPr>
            <w:tcW w:type="dxa" w:w="2304"/>
            <w:shd w:fill="003366"/>
          </w:tcPr>
          <w:p>
            <w:pPr>
              <w:jc w:val="center"/>
            </w:pPr>
            <w:r>
              <w:rPr>
                <w:b/>
                <w:color w:val="FFFFFF"/>
                <w:sz w:val="20"/>
              </w:rPr>
              <w:t>Risk</w:t>
            </w:r>
          </w:p>
        </w:tc>
        <w:tc>
          <w:tcPr>
            <w:tcW w:type="dxa" w:w="1008"/>
            <w:shd w:fill="003366"/>
          </w:tcPr>
          <w:p>
            <w:pPr>
              <w:jc w:val="center"/>
            </w:pPr>
            <w:r>
              <w:rPr>
                <w:b/>
                <w:color w:val="FFFFFF"/>
                <w:sz w:val="20"/>
              </w:rPr>
              <w:t>Severity</w:t>
            </w:r>
          </w:p>
        </w:tc>
        <w:tc>
          <w:tcPr>
            <w:tcW w:type="dxa" w:w="3312"/>
            <w:shd w:fill="003366"/>
          </w:tcPr>
          <w:p>
            <w:pPr>
              <w:jc w:val="center"/>
            </w:pPr>
            <w:r>
              <w:rPr>
                <w:b/>
                <w:color w:val="FFFFFF"/>
                <w:sz w:val="20"/>
              </w:rPr>
              <w:t>Management</w:t>
            </w:r>
          </w:p>
        </w:tc>
      </w:tr>
      <w:tr>
        <w:tc>
          <w:tcPr>
            <w:tcW w:type="dxa" w:w="2016"/>
          </w:tcPr>
          <w:p>
            <w:r>
              <w:rPr>
                <w:sz w:val="20"/>
              </w:rPr>
              <w:t>Verapamil / Diltiazem</w:t>
            </w:r>
          </w:p>
        </w:tc>
        <w:tc>
          <w:tcPr>
            <w:tcW w:type="dxa" w:w="2304"/>
          </w:tcPr>
          <w:p>
            <w:r>
              <w:rPr>
                <w:sz w:val="20"/>
              </w:rPr>
              <w:t>Severe bradycardia, AV block, HF</w:t>
            </w:r>
          </w:p>
        </w:tc>
        <w:tc>
          <w:tcPr>
            <w:tcW w:type="dxa" w:w="1008"/>
          </w:tcPr>
          <w:p>
            <w:r>
              <w:rPr>
                <w:sz w:val="20"/>
              </w:rPr>
              <w:t>Major</w:t>
            </w:r>
          </w:p>
        </w:tc>
        <w:tc>
          <w:tcPr>
            <w:tcW w:type="dxa" w:w="3312"/>
          </w:tcPr>
          <w:p>
            <w:r>
              <w:rPr>
                <w:sz w:val="20"/>
              </w:rPr>
              <w:t>Avoid; ECG monitor if essential</w:t>
            </w:r>
          </w:p>
        </w:tc>
      </w:tr>
      <w:tr>
        <w:tc>
          <w:tcPr>
            <w:tcW w:type="dxa" w:w="2016"/>
          </w:tcPr>
          <w:p>
            <w:r>
              <w:rPr>
                <w:sz w:val="20"/>
              </w:rPr>
              <w:t>Clonidine</w:t>
            </w:r>
          </w:p>
        </w:tc>
        <w:tc>
          <w:tcPr>
            <w:tcW w:type="dxa" w:w="2304"/>
          </w:tcPr>
          <w:p>
            <w:r>
              <w:rPr>
                <w:sz w:val="20"/>
              </w:rPr>
              <w:t>Rebound hypertension on clonidine withdrawal</w:t>
            </w:r>
          </w:p>
        </w:tc>
        <w:tc>
          <w:tcPr>
            <w:tcW w:type="dxa" w:w="1008"/>
          </w:tcPr>
          <w:p>
            <w:r>
              <w:rPr>
                <w:sz w:val="20"/>
              </w:rPr>
              <w:t>Major</w:t>
            </w:r>
          </w:p>
        </w:tc>
        <w:tc>
          <w:tcPr>
            <w:tcW w:type="dxa" w:w="3312"/>
          </w:tcPr>
          <w:p>
            <w:r>
              <w:rPr>
                <w:sz w:val="20"/>
              </w:rPr>
              <w:t>D/C Cardivex® days before clonidine taper</w:t>
            </w:r>
          </w:p>
        </w:tc>
      </w:tr>
      <w:tr>
        <w:tc>
          <w:tcPr>
            <w:tcW w:type="dxa" w:w="2016"/>
          </w:tcPr>
          <w:p>
            <w:r>
              <w:rPr>
                <w:sz w:val="20"/>
              </w:rPr>
              <w:t>Insulin / OHA</w:t>
            </w:r>
          </w:p>
        </w:tc>
        <w:tc>
          <w:tcPr>
            <w:tcW w:type="dxa" w:w="2304"/>
          </w:tcPr>
          <w:p>
            <w:r>
              <w:rPr>
                <w:sz w:val="20"/>
              </w:rPr>
              <w:t>Masked hypoglycemia symptoms</w:t>
            </w:r>
          </w:p>
        </w:tc>
        <w:tc>
          <w:tcPr>
            <w:tcW w:type="dxa" w:w="1008"/>
          </w:tcPr>
          <w:p>
            <w:r>
              <w:rPr>
                <w:sz w:val="20"/>
              </w:rPr>
              <w:t>Moderate</w:t>
            </w:r>
          </w:p>
        </w:tc>
        <w:tc>
          <w:tcPr>
            <w:tcW w:type="dxa" w:w="3312"/>
          </w:tcPr>
          <w:p>
            <w:r>
              <w:rPr>
                <w:sz w:val="20"/>
              </w:rPr>
              <w:t>Glucose monitoring; patient education</w:t>
            </w:r>
          </w:p>
        </w:tc>
      </w:tr>
      <w:tr>
        <w:tc>
          <w:tcPr>
            <w:tcW w:type="dxa" w:w="2016"/>
          </w:tcPr>
          <w:p>
            <w:r>
              <w:rPr>
                <w:sz w:val="20"/>
              </w:rPr>
              <w:t>MAO inhibitors</w:t>
            </w:r>
          </w:p>
        </w:tc>
        <w:tc>
          <w:tcPr>
            <w:tcW w:type="dxa" w:w="2304"/>
          </w:tcPr>
          <w:p>
            <w:r>
              <w:rPr>
                <w:sz w:val="20"/>
              </w:rPr>
              <w:t>Hypertensive crisis</w:t>
            </w:r>
          </w:p>
        </w:tc>
        <w:tc>
          <w:tcPr>
            <w:tcW w:type="dxa" w:w="1008"/>
          </w:tcPr>
          <w:p>
            <w:r>
              <w:rPr>
                <w:sz w:val="20"/>
              </w:rPr>
              <w:t>Major</w:t>
            </w:r>
          </w:p>
        </w:tc>
        <w:tc>
          <w:tcPr>
            <w:tcW w:type="dxa" w:w="3312"/>
          </w:tcPr>
          <w:p>
            <w:r>
              <w:rPr>
                <w:sz w:val="20"/>
              </w:rPr>
              <w:t>Contraindicated; 14-day washout</w:t>
            </w:r>
          </w:p>
        </w:tc>
      </w:tr>
      <w:tr>
        <w:tc>
          <w:tcPr>
            <w:tcW w:type="dxa" w:w="2016"/>
          </w:tcPr>
          <w:p>
            <w:r>
              <w:rPr>
                <w:sz w:val="20"/>
              </w:rPr>
              <w:t>NSAIDs</w:t>
            </w:r>
          </w:p>
        </w:tc>
        <w:tc>
          <w:tcPr>
            <w:tcW w:type="dxa" w:w="2304"/>
          </w:tcPr>
          <w:p>
            <w:r>
              <w:rPr>
                <w:sz w:val="20"/>
              </w:rPr>
              <w:t>Attenuated BP lowering</w:t>
            </w:r>
          </w:p>
        </w:tc>
        <w:tc>
          <w:tcPr>
            <w:tcW w:type="dxa" w:w="1008"/>
          </w:tcPr>
          <w:p>
            <w:r>
              <w:rPr>
                <w:sz w:val="20"/>
              </w:rPr>
              <w:t>Moderate</w:t>
            </w:r>
          </w:p>
        </w:tc>
        <w:tc>
          <w:tcPr>
            <w:tcW w:type="dxa" w:w="3312"/>
          </w:tcPr>
          <w:p>
            <w:r>
              <w:rPr>
                <w:sz w:val="20"/>
              </w:rPr>
              <w:t>Monitor BP; consider alternative analgesic</w:t>
            </w:r>
          </w:p>
        </w:tc>
      </w:tr>
      <w:tr>
        <w:tc>
          <w:tcPr>
            <w:tcW w:type="dxa" w:w="2016"/>
          </w:tcPr>
          <w:p>
            <w:r>
              <w:rPr>
                <w:sz w:val="20"/>
              </w:rPr>
              <w:t>DHP CCBs (amlodipine)</w:t>
            </w:r>
          </w:p>
        </w:tc>
        <w:tc>
          <w:tcPr>
            <w:tcW w:type="dxa" w:w="2304"/>
          </w:tcPr>
          <w:p>
            <w:r>
              <w:rPr>
                <w:sz w:val="20"/>
              </w:rPr>
              <w:t>Additive BP reduction</w:t>
            </w:r>
          </w:p>
        </w:tc>
        <w:tc>
          <w:tcPr>
            <w:tcW w:type="dxa" w:w="1008"/>
          </w:tcPr>
          <w:p>
            <w:r>
              <w:rPr>
                <w:sz w:val="20"/>
              </w:rPr>
              <w:t>Minor</w:t>
            </w:r>
          </w:p>
        </w:tc>
        <w:tc>
          <w:tcPr>
            <w:tcW w:type="dxa" w:w="3312"/>
          </w:tcPr>
          <w:p>
            <w:r>
              <w:rPr>
                <w:sz w:val="20"/>
              </w:rPr>
              <w:t>Beneficial combination; monitor BP</w:t>
            </w:r>
          </w:p>
        </w:tc>
      </w:tr>
      <w:tr>
        <w:tc>
          <w:tcPr>
            <w:tcW w:type="dxa" w:w="2016"/>
          </w:tcPr>
          <w:p>
            <w:r>
              <w:rPr>
                <w:sz w:val="20"/>
              </w:rPr>
              <w:t>ACE-I / ARBs</w:t>
            </w:r>
          </w:p>
        </w:tc>
        <w:tc>
          <w:tcPr>
            <w:tcW w:type="dxa" w:w="2304"/>
          </w:tcPr>
          <w:p>
            <w:r>
              <w:rPr>
                <w:sz w:val="20"/>
              </w:rPr>
              <w:t>Additive cardioprotection</w:t>
            </w:r>
          </w:p>
        </w:tc>
        <w:tc>
          <w:tcPr>
            <w:tcW w:type="dxa" w:w="1008"/>
          </w:tcPr>
          <w:p>
            <w:r>
              <w:rPr>
                <w:sz w:val="20"/>
              </w:rPr>
              <w:t>Minor</w:t>
            </w:r>
          </w:p>
        </w:tc>
        <w:tc>
          <w:tcPr>
            <w:tcW w:type="dxa" w:w="3312"/>
          </w:tcPr>
          <w:p>
            <w:r>
              <w:rPr>
                <w:sz w:val="20"/>
              </w:rPr>
              <w:t>Standard HF combination</w:t>
            </w:r>
          </w:p>
        </w:tc>
      </w:tr>
      <w:tr>
        <w:tc>
          <w:tcPr>
            <w:tcW w:type="dxa" w:w="2016"/>
          </w:tcPr>
          <w:p>
            <w:r>
              <w:rPr>
                <w:sz w:val="20"/>
              </w:rPr>
              <w:t>Reserpine</w:t>
            </w:r>
          </w:p>
        </w:tc>
        <w:tc>
          <w:tcPr>
            <w:tcW w:type="dxa" w:w="2304"/>
          </w:tcPr>
          <w:p>
            <w:r>
              <w:rPr>
                <w:sz w:val="20"/>
              </w:rPr>
              <w:t>Excessive sympatholysis</w:t>
            </w:r>
          </w:p>
        </w:tc>
        <w:tc>
          <w:tcPr>
            <w:tcW w:type="dxa" w:w="1008"/>
          </w:tcPr>
          <w:p>
            <w:r>
              <w:rPr>
                <w:sz w:val="20"/>
              </w:rPr>
              <w:t>Major</w:t>
            </w:r>
          </w:p>
        </w:tc>
        <w:tc>
          <w:tcPr>
            <w:tcW w:type="dxa" w:w="3312"/>
          </w:tcPr>
          <w:p>
            <w:r>
              <w:rPr>
                <w:sz w:val="20"/>
              </w:rPr>
              <w:t>Avoid combination</w:t>
            </w:r>
          </w:p>
        </w:tc>
      </w:tr>
      <w:tr>
        <w:tc>
          <w:tcPr>
            <w:tcW w:type="dxa" w:w="2016"/>
          </w:tcPr>
          <w:p>
            <w:r>
              <w:rPr>
                <w:sz w:val="20"/>
              </w:rPr>
              <w:t>General anesthetics</w:t>
            </w:r>
          </w:p>
        </w:tc>
        <w:tc>
          <w:tcPr>
            <w:tcW w:type="dxa" w:w="2304"/>
          </w:tcPr>
          <w:p>
            <w:r>
              <w:rPr>
                <w:sz w:val="20"/>
              </w:rPr>
              <w:t>Additive myocardial depression</w:t>
            </w:r>
          </w:p>
        </w:tc>
        <w:tc>
          <w:tcPr>
            <w:tcW w:type="dxa" w:w="1008"/>
          </w:tcPr>
          <w:p>
            <w:r>
              <w:rPr>
                <w:sz w:val="20"/>
              </w:rPr>
              <w:t>Moderate</w:t>
            </w:r>
          </w:p>
        </w:tc>
        <w:tc>
          <w:tcPr>
            <w:tcW w:type="dxa" w:w="3312"/>
          </w:tcPr>
          <w:p>
            <w:r>
              <w:rPr>
                <w:sz w:val="20"/>
              </w:rPr>
              <w:t>Inform anesthesiologist</w:t>
            </w:r>
          </w:p>
        </w:tc>
      </w:tr>
      <w:tr>
        <w:tc>
          <w:tcPr>
            <w:tcW w:type="dxa" w:w="2016"/>
          </w:tcPr>
          <w:p>
            <w:r>
              <w:rPr>
                <w:sz w:val="20"/>
              </w:rPr>
              <w:t>Ergot alkaloids</w:t>
            </w:r>
          </w:p>
        </w:tc>
        <w:tc>
          <w:tcPr>
            <w:tcW w:type="dxa" w:w="2304"/>
          </w:tcPr>
          <w:p>
            <w:r>
              <w:rPr>
                <w:sz w:val="20"/>
              </w:rPr>
              <w:t>Peripheral vasoconstriction</w:t>
            </w:r>
          </w:p>
        </w:tc>
        <w:tc>
          <w:tcPr>
            <w:tcW w:type="dxa" w:w="1008"/>
          </w:tcPr>
          <w:p>
            <w:r>
              <w:rPr>
                <w:sz w:val="20"/>
              </w:rPr>
              <w:t>Moderate</w:t>
            </w:r>
          </w:p>
        </w:tc>
        <w:tc>
          <w:tcPr>
            <w:tcW w:type="dxa" w:w="3312"/>
          </w:tcPr>
          <w:p>
            <w:r>
              <w:rPr>
                <w:sz w:val="20"/>
              </w:rPr>
              <w:t>Avoid concomitant use</w:t>
            </w:r>
          </w:p>
        </w:tc>
      </w:tr>
    </w:tbl>
    <w:p/>
    <w:p>
      <w:r>
        <w:br w:type="page"/>
      </w:r>
    </w:p>
    <w:p>
      <w:pPr>
        <w:pStyle w:val="Heading1"/>
      </w:pPr>
      <w:r>
        <w:t>15. Contraindications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432"/>
            <w:shd w:fill="003366"/>
          </w:tcPr>
          <w:p>
            <w:pPr>
              <w:jc w:val="center"/>
            </w:pPr>
            <w:r>
              <w:rPr>
                <w:b/>
                <w:color w:val="FFFFFF"/>
                <w:sz w:val="20"/>
              </w:rPr>
              <w:t>#</w:t>
            </w:r>
          </w:p>
        </w:tc>
        <w:tc>
          <w:tcPr>
            <w:tcW w:type="dxa" w:w="3600"/>
            <w:shd w:fill="003366"/>
          </w:tcPr>
          <w:p>
            <w:pPr>
              <w:jc w:val="center"/>
            </w:pPr>
            <w:r>
              <w:rPr>
                <w:b/>
                <w:color w:val="FFFFFF"/>
                <w:sz w:val="20"/>
              </w:rPr>
              <w:t>Condition</w:t>
            </w:r>
          </w:p>
        </w:tc>
        <w:tc>
          <w:tcPr>
            <w:tcW w:type="dxa" w:w="5040"/>
            <w:shd w:fill="003366"/>
          </w:tcPr>
          <w:p>
            <w:pPr>
              <w:jc w:val="center"/>
            </w:pPr>
            <w:r>
              <w:rPr>
                <w:b/>
                <w:color w:val="FFFFFF"/>
                <w:sz w:val="20"/>
              </w:rPr>
              <w:t>Rationale</w:t>
            </w:r>
          </w:p>
        </w:tc>
      </w:tr>
      <w:tr>
        <w:tc>
          <w:tcPr>
            <w:tcW w:type="dxa" w:w="432"/>
          </w:tcPr>
          <w:p>
            <w:r>
              <w:rPr>
                <w:sz w:val="20"/>
              </w:rPr>
              <w:t>1</w:t>
            </w:r>
          </w:p>
        </w:tc>
        <w:tc>
          <w:tcPr>
            <w:tcW w:type="dxa" w:w="3600"/>
          </w:tcPr>
          <w:p>
            <w:r>
              <w:rPr>
                <w:sz w:val="20"/>
              </w:rPr>
              <w:t>Severe sinus bradycardia (HR &lt;45 bpm)</w:t>
            </w:r>
          </w:p>
        </w:tc>
        <w:tc>
          <w:tcPr>
            <w:tcW w:type="dxa" w:w="5040"/>
          </w:tcPr>
          <w:p>
            <w:r>
              <w:rPr>
                <w:sz w:val="20"/>
              </w:rPr>
              <w:t>Risk of symptomatic bradycardia/asystole</w:t>
            </w:r>
          </w:p>
        </w:tc>
      </w:tr>
      <w:tr>
        <w:tc>
          <w:tcPr>
            <w:tcW w:type="dxa" w:w="432"/>
          </w:tcPr>
          <w:p>
            <w:r>
              <w:rPr>
                <w:sz w:val="20"/>
              </w:rPr>
              <w:t>2</w:t>
            </w:r>
          </w:p>
        </w:tc>
        <w:tc>
          <w:tcPr>
            <w:tcW w:type="dxa" w:w="3600"/>
          </w:tcPr>
          <w:p>
            <w:r>
              <w:rPr>
                <w:sz w:val="20"/>
              </w:rPr>
              <w:t>Cardiogenic shock</w:t>
            </w:r>
          </w:p>
        </w:tc>
        <w:tc>
          <w:tcPr>
            <w:tcW w:type="dxa" w:w="5040"/>
          </w:tcPr>
          <w:p>
            <w:r>
              <w:rPr>
                <w:sz w:val="20"/>
              </w:rPr>
              <w:t>Further hemodynamic compromise</w:t>
            </w:r>
          </w:p>
        </w:tc>
      </w:tr>
      <w:tr>
        <w:tc>
          <w:tcPr>
            <w:tcW w:type="dxa" w:w="432"/>
          </w:tcPr>
          <w:p>
            <w:r>
              <w:rPr>
                <w:sz w:val="20"/>
              </w:rPr>
              <w:t>3</w:t>
            </w:r>
          </w:p>
        </w:tc>
        <w:tc>
          <w:tcPr>
            <w:tcW w:type="dxa" w:w="3600"/>
          </w:tcPr>
          <w:p>
            <w:r>
              <w:rPr>
                <w:sz w:val="20"/>
              </w:rPr>
              <w:t>Decompensated HF requiring IV inotropes</w:t>
            </w:r>
          </w:p>
        </w:tc>
        <w:tc>
          <w:tcPr>
            <w:tcW w:type="dxa" w:w="5040"/>
          </w:tcPr>
          <w:p>
            <w:r>
              <w:rPr>
                <w:sz w:val="20"/>
              </w:rPr>
              <w:t>Negative inotropy may worsen failure</w:t>
            </w:r>
          </w:p>
        </w:tc>
      </w:tr>
      <w:tr>
        <w:tc>
          <w:tcPr>
            <w:tcW w:type="dxa" w:w="432"/>
          </w:tcPr>
          <w:p>
            <w:r>
              <w:rPr>
                <w:sz w:val="20"/>
              </w:rPr>
              <w:t>4</w:t>
            </w:r>
          </w:p>
        </w:tc>
        <w:tc>
          <w:tcPr>
            <w:tcW w:type="dxa" w:w="3600"/>
          </w:tcPr>
          <w:p>
            <w:r>
              <w:rPr>
                <w:sz w:val="20"/>
              </w:rPr>
              <w:t>Sick sinus syndrome (without pacemaker)</w:t>
            </w:r>
          </w:p>
        </w:tc>
        <w:tc>
          <w:tcPr>
            <w:tcW w:type="dxa" w:w="5040"/>
          </w:tcPr>
          <w:p>
            <w:r>
              <w:rPr>
                <w:sz w:val="20"/>
              </w:rPr>
              <w:t>Risk of sinus arrest</w:t>
            </w:r>
          </w:p>
        </w:tc>
      </w:tr>
      <w:tr>
        <w:tc>
          <w:tcPr>
            <w:tcW w:type="dxa" w:w="432"/>
          </w:tcPr>
          <w:p>
            <w:r>
              <w:rPr>
                <w:sz w:val="20"/>
              </w:rPr>
              <w:t>5</w:t>
            </w:r>
          </w:p>
        </w:tc>
        <w:tc>
          <w:tcPr>
            <w:tcW w:type="dxa" w:w="3600"/>
          </w:tcPr>
          <w:p>
            <w:r>
              <w:rPr>
                <w:sz w:val="20"/>
              </w:rPr>
              <w:t>2nd/3rd degree AV block (without pacemaker)</w:t>
            </w:r>
          </w:p>
        </w:tc>
        <w:tc>
          <w:tcPr>
            <w:tcW w:type="dxa" w:w="5040"/>
          </w:tcPr>
          <w:p>
            <w:r>
              <w:rPr>
                <w:sz w:val="20"/>
              </w:rPr>
              <w:t>Risk of complete heart block</w:t>
            </w:r>
          </w:p>
        </w:tc>
      </w:tr>
      <w:tr>
        <w:tc>
          <w:tcPr>
            <w:tcW w:type="dxa" w:w="432"/>
          </w:tcPr>
          <w:p>
            <w:r>
              <w:rPr>
                <w:sz w:val="20"/>
              </w:rPr>
              <w:t>6</w:t>
            </w:r>
          </w:p>
        </w:tc>
        <w:tc>
          <w:tcPr>
            <w:tcW w:type="dxa" w:w="3600"/>
          </w:tcPr>
          <w:p>
            <w:r>
              <w:rPr>
                <w:sz w:val="20"/>
              </w:rPr>
              <w:t>Severe peripheral arterial disease</w:t>
            </w:r>
          </w:p>
        </w:tc>
        <w:tc>
          <w:tcPr>
            <w:tcW w:type="dxa" w:w="5040"/>
          </w:tcPr>
          <w:p>
            <w:r>
              <w:rPr>
                <w:sz w:val="20"/>
              </w:rPr>
              <w:t>β₂ blockade may worsen ischemia</w:t>
            </w:r>
          </w:p>
        </w:tc>
      </w:tr>
      <w:tr>
        <w:tc>
          <w:tcPr>
            <w:tcW w:type="dxa" w:w="432"/>
          </w:tcPr>
          <w:p>
            <w:r>
              <w:rPr>
                <w:sz w:val="20"/>
              </w:rPr>
              <w:t>7</w:t>
            </w:r>
          </w:p>
        </w:tc>
        <w:tc>
          <w:tcPr>
            <w:tcW w:type="dxa" w:w="3600"/>
          </w:tcPr>
          <w:p>
            <w:r>
              <w:rPr>
                <w:sz w:val="20"/>
              </w:rPr>
              <w:t>Pheochromocytoma without α-blockade</w:t>
            </w:r>
          </w:p>
        </w:tc>
        <w:tc>
          <w:tcPr>
            <w:tcW w:type="dxa" w:w="5040"/>
          </w:tcPr>
          <w:p>
            <w:r>
              <w:rPr>
                <w:sz w:val="20"/>
              </w:rPr>
              <w:t>Risk of hypertensive crisis</w:t>
            </w:r>
          </w:p>
        </w:tc>
      </w:tr>
      <w:tr>
        <w:tc>
          <w:tcPr>
            <w:tcW w:type="dxa" w:w="432"/>
          </w:tcPr>
          <w:p>
            <w:r>
              <w:rPr>
                <w:sz w:val="20"/>
              </w:rPr>
              <w:t>8</w:t>
            </w:r>
          </w:p>
        </w:tc>
        <w:tc>
          <w:tcPr>
            <w:tcW w:type="dxa" w:w="3600"/>
          </w:tcPr>
          <w:p>
            <w:r>
              <w:rPr>
                <w:sz w:val="20"/>
              </w:rPr>
              <w:t>Severe hepatic impairment (Child-Pugh C)</w:t>
            </w:r>
          </w:p>
        </w:tc>
        <w:tc>
          <w:tcPr>
            <w:tcW w:type="dxa" w:w="5040"/>
          </w:tcPr>
          <w:p>
            <w:r>
              <w:rPr>
                <w:sz w:val="20"/>
              </w:rPr>
              <w:t>AUC ↑145%; unpredictable exposure</w:t>
            </w:r>
          </w:p>
        </w:tc>
      </w:tr>
      <w:tr>
        <w:tc>
          <w:tcPr>
            <w:tcW w:type="dxa" w:w="432"/>
          </w:tcPr>
          <w:p>
            <w:r>
              <w:rPr>
                <w:sz w:val="20"/>
              </w:rPr>
              <w:t>9</w:t>
            </w:r>
          </w:p>
        </w:tc>
        <w:tc>
          <w:tcPr>
            <w:tcW w:type="dxa" w:w="3600"/>
          </w:tcPr>
          <w:p>
            <w:r>
              <w:rPr>
                <w:sz w:val="20"/>
              </w:rPr>
              <w:t>Hypersensitivity to metopravil or excipients</w:t>
            </w:r>
          </w:p>
        </w:tc>
        <w:tc>
          <w:tcPr>
            <w:tcW w:type="dxa" w:w="5040"/>
          </w:tcPr>
          <w:p>
            <w:r>
              <w:rPr>
                <w:sz w:val="20"/>
              </w:rPr>
              <w:t>Anaphylaxis/angioedema risk</w:t>
            </w:r>
          </w:p>
        </w:tc>
      </w:tr>
      <w:tr>
        <w:tc>
          <w:tcPr>
            <w:tcW w:type="dxa" w:w="432"/>
          </w:tcPr>
          <w:p>
            <w:r>
              <w:rPr>
                <w:sz w:val="20"/>
              </w:rPr>
              <w:t>10</w:t>
            </w:r>
          </w:p>
        </w:tc>
        <w:tc>
          <w:tcPr>
            <w:tcW w:type="dxa" w:w="3600"/>
          </w:tcPr>
          <w:p>
            <w:r>
              <w:rPr>
                <w:sz w:val="20"/>
              </w:rPr>
              <w:t>Severe metabolic acidosis</w:t>
            </w:r>
          </w:p>
        </w:tc>
        <w:tc>
          <w:tcPr>
            <w:tcW w:type="dxa" w:w="5040"/>
          </w:tcPr>
          <w:p>
            <w:r>
              <w:rPr>
                <w:sz w:val="20"/>
              </w:rPr>
              <w:t>Impaired cardiac contractility</w:t>
            </w:r>
          </w:p>
        </w:tc>
      </w:tr>
    </w:tbl>
    <w:p/>
    <w:p>
      <w:r>
        <w:br w:type="page"/>
      </w:r>
    </w:p>
    <w:p>
      <w:pPr>
        <w:pStyle w:val="Heading1"/>
      </w:pPr>
      <w:r>
        <w:t>16. Warnings and Precautions</w:t>
      </w:r>
    </w:p>
    <w:p>
      <w:pPr>
        <w:pStyle w:val="Heading2"/>
      </w:pPr>
      <w:r>
        <w:t>16.1 Abrupt Cessation</w:t>
      </w:r>
    </w:p>
    <w:p>
      <w:r>
        <w:t>Do NOT abruptly discontinue. Severe angina exacerbation, MI, and ventricular arrhythmias have been reported. Taper over 1–2 weeks with monitoring. If angina worsens, reinstate immediately.</w:t>
      </w:r>
    </w:p>
    <w:p>
      <w:pPr>
        <w:pStyle w:val="Heading2"/>
      </w:pPr>
      <w:r>
        <w:t>16.2 Bradycardia</w:t>
      </w:r>
    </w:p>
    <w:p>
      <w:r>
        <w:t>Symptomatic bradycardia (HR &lt;45 bpm) occurred in 5.0% of patients. Monitor HR. Do not initiate if resting HR &lt;50 bpm. If bradycardia develops: reduce dose, or discontinue, or consider pacing.</w:t>
      </w:r>
    </w:p>
    <w:p>
      <w:pPr>
        <w:pStyle w:val="Heading2"/>
      </w:pPr>
      <w:r>
        <w:t>16.3 Heart Failure Initiation</w:t>
      </w:r>
    </w:p>
    <w:p>
      <w:r>
        <w:t>May transiently worsen HF. Initiate at low dose in stable patients only. Titrate slowly. If HF worsens: increase diuretics; reduce or temporarily hold Cardivex®. Do not use in acute decompensation.</w:t>
      </w:r>
    </w:p>
    <w:p>
      <w:pPr>
        <w:pStyle w:val="Heading2"/>
      </w:pPr>
      <w:r>
        <w:t>16.4 Bronchospastic Disease</w:t>
      </w:r>
    </w:p>
    <w:p>
      <w:r>
        <w:t>High β₁-selectivity permits cautious use in reactive airway disease when alternatives are unsuitable. Use lowest dose; ensure rescue β₂-agonist available; monitor pulmonary function.</w:t>
      </w:r>
    </w:p>
    <w:p>
      <w:pPr>
        <w:pStyle w:val="Heading2"/>
      </w:pPr>
      <w:r>
        <w:t>16.5 Diabetes and Hypoglycemia</w:t>
      </w:r>
    </w:p>
    <w:p>
      <w:r>
        <w:t>May mask hypoglycemia-associated tachycardia (diaphoresis NOT masked). Does not impair glucose metabolism. Enhanced glucose monitoring recommended in insulin-treated diabetics.</w:t>
      </w:r>
    </w:p>
    <w:p>
      <w:pPr>
        <w:pStyle w:val="Heading2"/>
      </w:pPr>
      <w:r>
        <w:t>16.6 Thyrotoxicosis</w:t>
      </w:r>
    </w:p>
    <w:p>
      <w:r>
        <w:t>May mask tachycardia of thyrotoxicosis. Abrupt withdrawal can precipitate thyroid storm.</w:t>
      </w:r>
    </w:p>
    <w:p>
      <w:pPr>
        <w:pStyle w:val="Heading2"/>
      </w:pPr>
      <w:r>
        <w:t>16.7 Peripheral Vascular Disease</w:t>
      </w:r>
    </w:p>
    <w:p>
      <w:r>
        <w:t>Use cautiously in Raynaud's phenomenon or intermittent claudication.</w:t>
      </w:r>
    </w:p>
    <w:p>
      <w:pPr>
        <w:pStyle w:val="Heading2"/>
      </w:pPr>
      <w:r>
        <w:t>16.8 Major Surgery / Anesthesia</w:t>
      </w:r>
    </w:p>
    <w:p>
      <w:r>
        <w:t>Decision to continue perioperatively is individualized. Inform anesthesiologist of beta-blocker use. Monitor for intraoperative hypotension and bradycardia.</w:t>
      </w:r>
    </w:p>
    <w:p>
      <w:pPr>
        <w:pStyle w:val="Heading2"/>
      </w:pPr>
      <w:r>
        <w:t>16.9 Prinzmetal's Angina</w:t>
      </w:r>
    </w:p>
    <w:p>
      <w:r>
        <w:t>Beta-blockers may increase frequency and duration of vasospastic angina. Not studied in Cardivex® trials.</w:t>
      </w:r>
    </w:p>
    <w:p>
      <w:pPr>
        <w:pStyle w:val="Heading2"/>
      </w:pPr>
      <w:r>
        <w:t>16.10 Hepatotoxicity</w:t>
      </w:r>
    </w:p>
    <w:p>
      <w:r>
        <w:t>Rare reports of elevated transaminases (ALT/AST &gt;3× ULN) in 0.3% of patients. Monitor LFTs at baseline, 3 months, and periodically. Discontinue if jaundice or persistent ALT &gt;5× ULN develops.</w:t>
      </w:r>
    </w:p>
    <w:p>
      <w:r>
        <w:br w:type="page"/>
      </w:r>
    </w:p>
    <w:p>
      <w:pPr>
        <w:pStyle w:val="Heading1"/>
      </w:pPr>
      <w:r>
        <w:t>17. Use in Special Populations</w:t>
      </w:r>
    </w:p>
    <w:p>
      <w:pPr>
        <w:pStyle w:val="Heading2"/>
      </w:pPr>
      <w:r>
        <w:t>17.1 Pregnancy (Category C)</w:t>
      </w:r>
    </w:p>
    <w:p>
      <w:r>
        <w:t>Risk Summary: Beta-blockers cross the placenta and have been associated with IUGR, neonatal bradycardia, and hypoglycemia. Animal studies: reduced fetal weight at ≥150 mg/kg/day in rats (~12× MRHD mg/m²); no teratogenicity. No adequate, well-controlled human studies. Use only if benefit outweighs risk. Neonatal monitoring recommended for 48 hours post-delivery.</w:t>
      </w:r>
    </w:p>
    <w:p>
      <w:pPr>
        <w:pStyle w:val="Heading2"/>
      </w:pPr>
      <w:r>
        <w:t>17.2 Lactation</w:t>
      </w:r>
    </w:p>
    <w:p>
      <w:r>
        <w:t>Excreted in breast milk (M:P ratio ~3.5). Estimated infant dose: 1.2% of maternal weight-adjusted dose. Risk of neonatal bradycardia/hypotension. Decision: discontinue nursing or discontinue drug.</w:t>
      </w:r>
    </w:p>
    <w:p>
      <w:pPr>
        <w:pStyle w:val="Heading2"/>
      </w:pPr>
      <w:r>
        <w:t>17.3 Pediatric Use</w:t>
      </w:r>
    </w:p>
    <w:p>
      <w:r>
        <w:t>Safety and efficacy not established in patients &lt;18 years. A Phase II PK study (CV-204) in adolescents (12–17 y, N=36) showed comparable PK to adults. (See CDR-CV-2026-001, Section 5.7)</w:t>
      </w:r>
    </w:p>
    <w:p>
      <w:pPr>
        <w:pStyle w:val="Heading2"/>
      </w:pPr>
      <w:r>
        <w:t>17.4 Geriatric Use</w:t>
      </w:r>
    </w:p>
    <w:p>
      <w:r>
        <w:t>40.1% of clinical trial patients were ≥65 y; 14.0% were ≥75 y. Efficacy: no difference by age. Safety: higher rates of bradycardia (7.2% vs. 3.8%) and dizziness (8.4% vs. 4.6%). Start at lowest dose; titrate based on response.</w:t>
      </w:r>
    </w:p>
    <w:p>
      <w:pPr>
        <w:pStyle w:val="Heading2"/>
      </w:pPr>
      <w:r>
        <w:t>17.5 Race and Ethnicity</w:t>
      </w:r>
    </w:p>
    <w:p>
      <w:r>
        <w:t>Population PK analysis showed no clinically relevant differences in exposure across racial groups (White, Black, Asian, Hispanic). Antihypertensive response was slightly attenuated in Black patients as monotherapy (−15.2 vs. −18.4 mmHg) but equivalent when combined with a diuretic (−20.1 vs. −20.4 mmHg).</w:t>
      </w:r>
    </w:p>
    <w:p>
      <w:r>
        <w:br w:type="page"/>
      </w:r>
    </w:p>
    <w:p>
      <w:pPr>
        <w:pStyle w:val="Heading1"/>
      </w:pPr>
      <w:r>
        <w:t>18. Overdosage Management</w:t>
      </w:r>
    </w:p>
    <w:p>
      <w:pPr>
        <w:pStyle w:val="Heading2"/>
      </w:pPr>
      <w:r>
        <w:t>18.1 Signs and Symptoms</w:t>
      </w:r>
    </w:p>
    <w:p>
      <w:r>
        <w:t>Overdose produces severe bradycardia, hypotension, cardiogenic shock, heart failure, bronchospasm, coma, hypoglycemia, and cardiac arrest. Onset within 1–3 h (up to 6 h for ER).</w:t>
      </w:r>
    </w:p>
    <w:p>
      <w:pPr>
        <w:pStyle w:val="Heading2"/>
      </w:pPr>
      <w:r>
        <w:t>18.2 Treatment Protocol</w:t>
      </w:r>
    </w:p>
    <w:tbl>
      <w:tblPr>
        <w:tblStyle w:val="LightGrid-Accent1"/>
        <w:tblW w:type="auto" w:w="0"/>
        <w:jc w:val="center"/>
        <w:tblLook w:firstColumn="1" w:firstRow="1" w:lastColumn="0" w:lastRow="0" w:noHBand="0" w:noVBand="1" w:val="04A0"/>
      </w:tblPr>
      <w:tblGrid>
        <w:gridCol w:w="3120"/>
        <w:gridCol w:w="3120"/>
        <w:gridCol w:w="3120"/>
      </w:tblGrid>
      <w:tr>
        <w:tc>
          <w:tcPr>
            <w:tcW w:type="dxa" w:w="576"/>
            <w:shd w:fill="003366"/>
          </w:tcPr>
          <w:p>
            <w:pPr>
              <w:jc w:val="center"/>
            </w:pPr>
            <w:r>
              <w:rPr>
                <w:b/>
                <w:color w:val="FFFFFF"/>
                <w:sz w:val="20"/>
              </w:rPr>
              <w:t>Step</w:t>
            </w:r>
          </w:p>
        </w:tc>
        <w:tc>
          <w:tcPr>
            <w:tcW w:type="dxa" w:w="2304"/>
            <w:shd w:fill="003366"/>
          </w:tcPr>
          <w:p>
            <w:pPr>
              <w:jc w:val="center"/>
            </w:pPr>
            <w:r>
              <w:rPr>
                <w:b/>
                <w:color w:val="FFFFFF"/>
                <w:sz w:val="20"/>
              </w:rPr>
              <w:t>Intervention</w:t>
            </w:r>
          </w:p>
        </w:tc>
        <w:tc>
          <w:tcPr>
            <w:tcW w:type="dxa" w:w="6048"/>
            <w:shd w:fill="003366"/>
          </w:tcPr>
          <w:p>
            <w:pPr>
              <w:jc w:val="center"/>
            </w:pPr>
            <w:r>
              <w:rPr>
                <w:b/>
                <w:color w:val="FFFFFF"/>
                <w:sz w:val="20"/>
              </w:rPr>
              <w:t>Details</w:t>
            </w:r>
          </w:p>
        </w:tc>
      </w:tr>
      <w:tr>
        <w:tc>
          <w:tcPr>
            <w:tcW w:type="dxa" w:w="576"/>
          </w:tcPr>
          <w:p>
            <w:r>
              <w:rPr>
                <w:sz w:val="20"/>
              </w:rPr>
              <w:t>1</w:t>
            </w:r>
          </w:p>
        </w:tc>
        <w:tc>
          <w:tcPr>
            <w:tcW w:type="dxa" w:w="2304"/>
          </w:tcPr>
          <w:p>
            <w:r>
              <w:rPr>
                <w:sz w:val="20"/>
              </w:rPr>
              <w:t>Airway &amp; Monitoring</w:t>
            </w:r>
          </w:p>
        </w:tc>
        <w:tc>
          <w:tcPr>
            <w:tcW w:type="dxa" w:w="6048"/>
          </w:tcPr>
          <w:p>
            <w:r>
              <w:rPr>
                <w:sz w:val="20"/>
              </w:rPr>
              <w:t>Secure airway; continuous ECG and hemodynamic monitoring</w:t>
            </w:r>
          </w:p>
        </w:tc>
      </w:tr>
      <w:tr>
        <w:tc>
          <w:tcPr>
            <w:tcW w:type="dxa" w:w="576"/>
          </w:tcPr>
          <w:p>
            <w:r>
              <w:rPr>
                <w:sz w:val="20"/>
              </w:rPr>
              <w:t>2</w:t>
            </w:r>
          </w:p>
        </w:tc>
        <w:tc>
          <w:tcPr>
            <w:tcW w:type="dxa" w:w="2304"/>
          </w:tcPr>
          <w:p>
            <w:r>
              <w:rPr>
                <w:sz w:val="20"/>
              </w:rPr>
              <w:t>Decontamination</w:t>
            </w:r>
          </w:p>
        </w:tc>
        <w:tc>
          <w:tcPr>
            <w:tcW w:type="dxa" w:w="6048"/>
          </w:tcPr>
          <w:p>
            <w:r>
              <w:rPr>
                <w:sz w:val="20"/>
              </w:rPr>
              <w:t>Activated charcoal if &lt;2 hours; consider whole bowel irrigation for ER formulation</w:t>
            </w:r>
          </w:p>
        </w:tc>
      </w:tr>
      <w:tr>
        <w:tc>
          <w:tcPr>
            <w:tcW w:type="dxa" w:w="576"/>
          </w:tcPr>
          <w:p>
            <w:r>
              <w:rPr>
                <w:sz w:val="20"/>
              </w:rPr>
              <w:t>3</w:t>
            </w:r>
          </w:p>
        </w:tc>
        <w:tc>
          <w:tcPr>
            <w:tcW w:type="dxa" w:w="2304"/>
          </w:tcPr>
          <w:p>
            <w:r>
              <w:rPr>
                <w:sz w:val="20"/>
              </w:rPr>
              <w:t>Bradycardia</w:t>
            </w:r>
          </w:p>
        </w:tc>
        <w:tc>
          <w:tcPr>
            <w:tcW w:type="dxa" w:w="6048"/>
          </w:tcPr>
          <w:p>
            <w:r>
              <w:rPr>
                <w:sz w:val="20"/>
              </w:rPr>
              <w:t>Atropine 0.5–1.0 mg IV, repeat q3–5min up to 3 mg total</w:t>
            </w:r>
          </w:p>
        </w:tc>
      </w:tr>
      <w:tr>
        <w:tc>
          <w:tcPr>
            <w:tcW w:type="dxa" w:w="576"/>
          </w:tcPr>
          <w:p>
            <w:r>
              <w:rPr>
                <w:sz w:val="20"/>
              </w:rPr>
              <w:t>4</w:t>
            </w:r>
          </w:p>
        </w:tc>
        <w:tc>
          <w:tcPr>
            <w:tcW w:type="dxa" w:w="2304"/>
          </w:tcPr>
          <w:p>
            <w:r>
              <w:rPr>
                <w:sz w:val="20"/>
              </w:rPr>
              <w:t>Refractory bradycardia</w:t>
            </w:r>
          </w:p>
        </w:tc>
        <w:tc>
          <w:tcPr>
            <w:tcW w:type="dxa" w:w="6048"/>
          </w:tcPr>
          <w:p>
            <w:r>
              <w:rPr>
                <w:sz w:val="20"/>
              </w:rPr>
              <w:t>Glucagon 5–10 mg IV bolus → 1–5 mg/hr infusion</w:t>
            </w:r>
          </w:p>
        </w:tc>
      </w:tr>
      <w:tr>
        <w:tc>
          <w:tcPr>
            <w:tcW w:type="dxa" w:w="576"/>
          </w:tcPr>
          <w:p>
            <w:r>
              <w:rPr>
                <w:sz w:val="20"/>
              </w:rPr>
              <w:t>5</w:t>
            </w:r>
          </w:p>
        </w:tc>
        <w:tc>
          <w:tcPr>
            <w:tcW w:type="dxa" w:w="2304"/>
          </w:tcPr>
          <w:p>
            <w:r>
              <w:rPr>
                <w:sz w:val="20"/>
              </w:rPr>
              <w:t>Hypotension</w:t>
            </w:r>
          </w:p>
        </w:tc>
        <w:tc>
          <w:tcPr>
            <w:tcW w:type="dxa" w:w="6048"/>
          </w:tcPr>
          <w:p>
            <w:r>
              <w:rPr>
                <w:sz w:val="20"/>
              </w:rPr>
              <w:t>IV fluids; norepinephrine or dopamine infusion</w:t>
            </w:r>
          </w:p>
        </w:tc>
      </w:tr>
      <w:tr>
        <w:tc>
          <w:tcPr>
            <w:tcW w:type="dxa" w:w="576"/>
          </w:tcPr>
          <w:p>
            <w:r>
              <w:rPr>
                <w:sz w:val="20"/>
              </w:rPr>
              <w:t>6</w:t>
            </w:r>
          </w:p>
        </w:tc>
        <w:tc>
          <w:tcPr>
            <w:tcW w:type="dxa" w:w="2304"/>
          </w:tcPr>
          <w:p>
            <w:r>
              <w:rPr>
                <w:sz w:val="20"/>
              </w:rPr>
              <w:t>Inotropic support</w:t>
            </w:r>
          </w:p>
        </w:tc>
        <w:tc>
          <w:tcPr>
            <w:tcW w:type="dxa" w:w="6048"/>
          </w:tcPr>
          <w:p>
            <w:r>
              <w:rPr>
                <w:sz w:val="20"/>
              </w:rPr>
              <w:t>Dobutamine or isoproterenol infusion</w:t>
            </w:r>
          </w:p>
        </w:tc>
      </w:tr>
      <w:tr>
        <w:tc>
          <w:tcPr>
            <w:tcW w:type="dxa" w:w="576"/>
          </w:tcPr>
          <w:p>
            <w:r>
              <w:rPr>
                <w:sz w:val="20"/>
              </w:rPr>
              <w:t>7</w:t>
            </w:r>
          </w:p>
        </w:tc>
        <w:tc>
          <w:tcPr>
            <w:tcW w:type="dxa" w:w="2304"/>
          </w:tcPr>
          <w:p>
            <w:r>
              <w:rPr>
                <w:sz w:val="20"/>
              </w:rPr>
              <w:t>Heart block</w:t>
            </w:r>
          </w:p>
        </w:tc>
        <w:tc>
          <w:tcPr>
            <w:tcW w:type="dxa" w:w="6048"/>
          </w:tcPr>
          <w:p>
            <w:r>
              <w:rPr>
                <w:sz w:val="20"/>
              </w:rPr>
              <w:t>Temporary transvenous cardiac pacing</w:t>
            </w:r>
          </w:p>
        </w:tc>
      </w:tr>
      <w:tr>
        <w:tc>
          <w:tcPr>
            <w:tcW w:type="dxa" w:w="576"/>
          </w:tcPr>
          <w:p>
            <w:r>
              <w:rPr>
                <w:sz w:val="20"/>
              </w:rPr>
              <w:t>8</w:t>
            </w:r>
          </w:p>
        </w:tc>
        <w:tc>
          <w:tcPr>
            <w:tcW w:type="dxa" w:w="2304"/>
          </w:tcPr>
          <w:p>
            <w:r>
              <w:rPr>
                <w:sz w:val="20"/>
              </w:rPr>
              <w:t>Bronchospasm</w:t>
            </w:r>
          </w:p>
        </w:tc>
        <w:tc>
          <w:tcPr>
            <w:tcW w:type="dxa" w:w="6048"/>
          </w:tcPr>
          <w:p>
            <w:r>
              <w:rPr>
                <w:sz w:val="20"/>
              </w:rPr>
              <w:t>IV aminophylline or nebulized β₂-agonist</w:t>
            </w:r>
          </w:p>
        </w:tc>
      </w:tr>
      <w:tr>
        <w:tc>
          <w:tcPr>
            <w:tcW w:type="dxa" w:w="576"/>
          </w:tcPr>
          <w:p>
            <w:r>
              <w:rPr>
                <w:sz w:val="20"/>
              </w:rPr>
              <w:t>9</w:t>
            </w:r>
          </w:p>
        </w:tc>
        <w:tc>
          <w:tcPr>
            <w:tcW w:type="dxa" w:w="2304"/>
          </w:tcPr>
          <w:p>
            <w:r>
              <w:rPr>
                <w:sz w:val="20"/>
              </w:rPr>
              <w:t>Seizures</w:t>
            </w:r>
          </w:p>
        </w:tc>
        <w:tc>
          <w:tcPr>
            <w:tcW w:type="dxa" w:w="6048"/>
          </w:tcPr>
          <w:p>
            <w:r>
              <w:rPr>
                <w:sz w:val="20"/>
              </w:rPr>
              <w:t>IV diazepam 5–10 mg</w:t>
            </w:r>
          </w:p>
        </w:tc>
      </w:tr>
      <w:tr>
        <w:tc>
          <w:tcPr>
            <w:tcW w:type="dxa" w:w="576"/>
          </w:tcPr>
          <w:p>
            <w:r>
              <w:rPr>
                <w:sz w:val="20"/>
              </w:rPr>
              <w:t>10</w:t>
            </w:r>
          </w:p>
        </w:tc>
        <w:tc>
          <w:tcPr>
            <w:tcW w:type="dxa" w:w="2304"/>
          </w:tcPr>
          <w:p>
            <w:r>
              <w:rPr>
                <w:sz w:val="20"/>
              </w:rPr>
              <w:t>Refractory shock</w:t>
            </w:r>
          </w:p>
        </w:tc>
        <w:tc>
          <w:tcPr>
            <w:tcW w:type="dxa" w:w="6048"/>
          </w:tcPr>
          <w:p>
            <w:r>
              <w:rPr>
                <w:sz w:val="20"/>
              </w:rPr>
              <w:t>IABP or VA-ECMO in specialized center</w:t>
            </w:r>
          </w:p>
        </w:tc>
      </w:tr>
    </w:tbl>
    <w:p/>
    <w:p>
      <w:r>
        <w:t>Note: Hemodialysis NOT effective (large Vd, 74% protein bound).</w:t>
      </w:r>
    </w:p>
    <w:p>
      <w:r>
        <w:br w:type="page"/>
      </w:r>
    </w:p>
    <w:p>
      <w:pPr>
        <w:pStyle w:val="Heading1"/>
      </w:pPr>
      <w:r>
        <w:t>19. Nonclinical Toxicology</w:t>
      </w:r>
    </w:p>
    <w:p>
      <w:pPr>
        <w:pStyle w:val="Heading2"/>
      </w:pPr>
      <w:r>
        <w:t>19.1 Carcinogenesis</w:t>
      </w:r>
    </w:p>
    <w:p>
      <w:r>
        <w:t>Two-year carcinogenicity studies were conducted in mice (25, 75, 225 mg/kg/day) and rats (10, 50, 200 mg/kg/day). No evidence of carcinogenicity was observed at any dose in either species. The highest doses tested were approximately 18× (mouse) and 32× (rat) the MRHD of 200 mg on a mg/m² basis.</w:t>
      </w:r>
    </w:p>
    <w:p>
      <w:pPr>
        <w:pStyle w:val="Heading2"/>
      </w:pPr>
      <w:r>
        <w:t>19.2 Mutagenesis</w:t>
      </w:r>
    </w:p>
    <w:p>
      <w:r>
        <w:t>Metopravil was negative in the following genotoxicity assays: Ames test (S. typhimurium TA97, TA98, TA100, TA1535, TA1537; E. coli WP2uvrA); in vitro chromosomal aberration assay (CHO cells); in vivo mouse bone marrow micronucleus test. No evidence of mutagenic or clastogenic potential.</w:t>
      </w:r>
    </w:p>
    <w:p>
      <w:pPr>
        <w:pStyle w:val="Heading2"/>
      </w:pPr>
      <w:r>
        <w:t>19.3 Reproductive Toxicology</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20"/>
              </w:rPr>
              <w:t>Study Type</w:t>
            </w:r>
          </w:p>
        </w:tc>
        <w:tc>
          <w:tcPr>
            <w:tcW w:type="dxa" w:w="864"/>
            <w:shd w:fill="003366"/>
          </w:tcPr>
          <w:p>
            <w:pPr>
              <w:jc w:val="center"/>
            </w:pPr>
            <w:r>
              <w:rPr>
                <w:b/>
                <w:color w:val="FFFFFF"/>
                <w:sz w:val="20"/>
              </w:rPr>
              <w:t>Species</w:t>
            </w:r>
          </w:p>
        </w:tc>
        <w:tc>
          <w:tcPr>
            <w:tcW w:type="dxa" w:w="1440"/>
            <w:shd w:fill="003366"/>
          </w:tcPr>
          <w:p>
            <w:pPr>
              <w:jc w:val="center"/>
            </w:pPr>
            <w:r>
              <w:rPr>
                <w:b/>
                <w:color w:val="FFFFFF"/>
                <w:sz w:val="20"/>
              </w:rPr>
              <w:t>Doses (mg/kg/day)</w:t>
            </w:r>
          </w:p>
        </w:tc>
        <w:tc>
          <w:tcPr>
            <w:tcW w:type="dxa" w:w="1584"/>
            <w:shd w:fill="003366"/>
          </w:tcPr>
          <w:p>
            <w:pPr>
              <w:jc w:val="center"/>
            </w:pPr>
            <w:r>
              <w:rPr>
                <w:b/>
                <w:color w:val="FFFFFF"/>
                <w:sz w:val="20"/>
              </w:rPr>
              <w:t>NOAEL</w:t>
            </w:r>
          </w:p>
        </w:tc>
        <w:tc>
          <w:tcPr>
            <w:tcW w:type="dxa" w:w="3168"/>
            <w:shd w:fill="003366"/>
          </w:tcPr>
          <w:p>
            <w:pPr>
              <w:jc w:val="center"/>
            </w:pPr>
            <w:r>
              <w:rPr>
                <w:b/>
                <w:color w:val="FFFFFF"/>
                <w:sz w:val="20"/>
              </w:rPr>
              <w:t>Key Findings</w:t>
            </w:r>
          </w:p>
        </w:tc>
      </w:tr>
      <w:tr>
        <w:tc>
          <w:tcPr>
            <w:tcW w:type="dxa" w:w="1872"/>
          </w:tcPr>
          <w:p>
            <w:r>
              <w:rPr>
                <w:sz w:val="20"/>
              </w:rPr>
              <w:t>Fertility</w:t>
            </w:r>
          </w:p>
        </w:tc>
        <w:tc>
          <w:tcPr>
            <w:tcW w:type="dxa" w:w="864"/>
          </w:tcPr>
          <w:p>
            <w:r>
              <w:rPr>
                <w:sz w:val="20"/>
              </w:rPr>
              <w:t>Rat</w:t>
            </w:r>
          </w:p>
        </w:tc>
        <w:tc>
          <w:tcPr>
            <w:tcW w:type="dxa" w:w="1440"/>
          </w:tcPr>
          <w:p>
            <w:r>
              <w:rPr>
                <w:sz w:val="20"/>
              </w:rPr>
              <w:t>10, 50, 200</w:t>
            </w:r>
          </w:p>
        </w:tc>
        <w:tc>
          <w:tcPr>
            <w:tcW w:type="dxa" w:w="1584"/>
          </w:tcPr>
          <w:p>
            <w:r>
              <w:rPr>
                <w:sz w:val="20"/>
              </w:rPr>
              <w:t>200 mg/kg/day</w:t>
            </w:r>
          </w:p>
        </w:tc>
        <w:tc>
          <w:tcPr>
            <w:tcW w:type="dxa" w:w="3168"/>
          </w:tcPr>
          <w:p>
            <w:r>
              <w:rPr>
                <w:sz w:val="20"/>
              </w:rPr>
              <w:t>No effect on fertility or reproduction</w:t>
            </w:r>
          </w:p>
        </w:tc>
      </w:tr>
      <w:tr>
        <w:tc>
          <w:tcPr>
            <w:tcW w:type="dxa" w:w="1872"/>
          </w:tcPr>
          <w:p>
            <w:r>
              <w:rPr>
                <w:sz w:val="20"/>
              </w:rPr>
              <w:t>Embryo-fetal (GD 6–17)</w:t>
            </w:r>
          </w:p>
        </w:tc>
        <w:tc>
          <w:tcPr>
            <w:tcW w:type="dxa" w:w="864"/>
          </w:tcPr>
          <w:p>
            <w:r>
              <w:rPr>
                <w:sz w:val="20"/>
              </w:rPr>
              <w:t>Rat</w:t>
            </w:r>
          </w:p>
        </w:tc>
        <w:tc>
          <w:tcPr>
            <w:tcW w:type="dxa" w:w="1440"/>
          </w:tcPr>
          <w:p>
            <w:r>
              <w:rPr>
                <w:sz w:val="20"/>
              </w:rPr>
              <w:t>50, 150, 450</w:t>
            </w:r>
          </w:p>
        </w:tc>
        <w:tc>
          <w:tcPr>
            <w:tcW w:type="dxa" w:w="1584"/>
          </w:tcPr>
          <w:p>
            <w:r>
              <w:rPr>
                <w:sz w:val="20"/>
              </w:rPr>
              <w:t>50 mg/kg/day</w:t>
            </w:r>
          </w:p>
        </w:tc>
        <w:tc>
          <w:tcPr>
            <w:tcW w:type="dxa" w:w="3168"/>
          </w:tcPr>
          <w:p>
            <w:r>
              <w:rPr>
                <w:sz w:val="20"/>
              </w:rPr>
              <w:t>↓ Fetal weight, delayed ossification at ≥150</w:t>
            </w:r>
          </w:p>
        </w:tc>
      </w:tr>
      <w:tr>
        <w:tc>
          <w:tcPr>
            <w:tcW w:type="dxa" w:w="1872"/>
          </w:tcPr>
          <w:p>
            <w:r>
              <w:rPr>
                <w:sz w:val="20"/>
              </w:rPr>
              <w:t>Embryo-fetal (GD 6–18)</w:t>
            </w:r>
          </w:p>
        </w:tc>
        <w:tc>
          <w:tcPr>
            <w:tcW w:type="dxa" w:w="864"/>
          </w:tcPr>
          <w:p>
            <w:r>
              <w:rPr>
                <w:sz w:val="20"/>
              </w:rPr>
              <w:t>Rabbit</w:t>
            </w:r>
          </w:p>
        </w:tc>
        <w:tc>
          <w:tcPr>
            <w:tcW w:type="dxa" w:w="1440"/>
          </w:tcPr>
          <w:p>
            <w:r>
              <w:rPr>
                <w:sz w:val="20"/>
              </w:rPr>
              <w:t>25, 50, 100</w:t>
            </w:r>
          </w:p>
        </w:tc>
        <w:tc>
          <w:tcPr>
            <w:tcW w:type="dxa" w:w="1584"/>
          </w:tcPr>
          <w:p>
            <w:r>
              <w:rPr>
                <w:sz w:val="20"/>
              </w:rPr>
              <w:t>100 mg/kg/day</w:t>
            </w:r>
          </w:p>
        </w:tc>
        <w:tc>
          <w:tcPr>
            <w:tcW w:type="dxa" w:w="3168"/>
          </w:tcPr>
          <w:p>
            <w:r>
              <w:rPr>
                <w:sz w:val="20"/>
              </w:rPr>
              <w:t>No teratogenicity or adverse effects</w:t>
            </w:r>
          </w:p>
        </w:tc>
      </w:tr>
      <w:tr>
        <w:tc>
          <w:tcPr>
            <w:tcW w:type="dxa" w:w="1872"/>
          </w:tcPr>
          <w:p>
            <w:r>
              <w:rPr>
                <w:sz w:val="20"/>
              </w:rPr>
              <w:t>Pre-/postnatal (GD 6–LD 20)</w:t>
            </w:r>
          </w:p>
        </w:tc>
        <w:tc>
          <w:tcPr>
            <w:tcW w:type="dxa" w:w="864"/>
          </w:tcPr>
          <w:p>
            <w:r>
              <w:rPr>
                <w:sz w:val="20"/>
              </w:rPr>
              <w:t>Rat</w:t>
            </w:r>
          </w:p>
        </w:tc>
        <w:tc>
          <w:tcPr>
            <w:tcW w:type="dxa" w:w="1440"/>
          </w:tcPr>
          <w:p>
            <w:r>
              <w:rPr>
                <w:sz w:val="20"/>
              </w:rPr>
              <w:t>10, 50, 200</w:t>
            </w:r>
          </w:p>
        </w:tc>
        <w:tc>
          <w:tcPr>
            <w:tcW w:type="dxa" w:w="1584"/>
          </w:tcPr>
          <w:p>
            <w:r>
              <w:rPr>
                <w:sz w:val="20"/>
              </w:rPr>
              <w:t>50 mg/kg/day</w:t>
            </w:r>
          </w:p>
        </w:tc>
        <w:tc>
          <w:tcPr>
            <w:tcW w:type="dxa" w:w="3168"/>
          </w:tcPr>
          <w:p>
            <w:r>
              <w:rPr>
                <w:sz w:val="20"/>
              </w:rPr>
              <w:t>↓ Pup weight at 200; catch-up by PND 21</w:t>
            </w:r>
          </w:p>
        </w:tc>
      </w:tr>
    </w:tbl>
    <w:p/>
    <w:p>
      <w:r>
        <w:br w:type="page"/>
      </w:r>
    </w:p>
    <w:p>
      <w:pPr>
        <w:pStyle w:val="Heading1"/>
      </w:pPr>
      <w:r>
        <w:t>20. Storage, Handling, and Supply</w:t>
      </w:r>
    </w:p>
    <w:tbl>
      <w:tblPr>
        <w:tblStyle w:val="LightGrid-Accent1"/>
        <w:tblW w:type="auto" w:w="0"/>
        <w:jc w:val="center"/>
        <w:tblLook w:firstColumn="1" w:firstRow="1" w:lastColumn="0" w:lastRow="0" w:noHBand="0" w:noVBand="1" w:val="04A0"/>
      </w:tblPr>
      <w:tblGrid>
        <w:gridCol w:w="4680"/>
        <w:gridCol w:w="4680"/>
      </w:tblGrid>
      <w:tr>
        <w:tc>
          <w:tcPr>
            <w:tcW w:type="dxa" w:w="2880"/>
            <w:shd w:fill="003366"/>
          </w:tcPr>
          <w:p>
            <w:pPr>
              <w:jc w:val="center"/>
            </w:pPr>
            <w:r>
              <w:rPr>
                <w:b/>
                <w:color w:val="FFFFFF"/>
                <w:sz w:val="20"/>
              </w:rPr>
              <w:t>Parameter</w:t>
            </w:r>
          </w:p>
        </w:tc>
        <w:tc>
          <w:tcPr>
            <w:tcW w:type="dxa" w:w="6480"/>
            <w:shd w:fill="003366"/>
          </w:tcPr>
          <w:p>
            <w:pPr>
              <w:jc w:val="center"/>
            </w:pPr>
            <w:r>
              <w:rPr>
                <w:b/>
                <w:color w:val="FFFFFF"/>
                <w:sz w:val="20"/>
              </w:rPr>
              <w:t>Specification</w:t>
            </w:r>
          </w:p>
        </w:tc>
      </w:tr>
      <w:tr>
        <w:tc>
          <w:tcPr>
            <w:tcW w:type="dxa" w:w="2880"/>
          </w:tcPr>
          <w:p>
            <w:r>
              <w:rPr>
                <w:sz w:val="20"/>
              </w:rPr>
              <w:t>Storage temperature</w:t>
            </w:r>
          </w:p>
        </w:tc>
        <w:tc>
          <w:tcPr>
            <w:tcW w:type="dxa" w:w="6480"/>
          </w:tcPr>
          <w:p>
            <w:r>
              <w:rPr>
                <w:sz w:val="20"/>
              </w:rPr>
              <w:t>20–25°C (68–77°F)</w:t>
            </w:r>
          </w:p>
        </w:tc>
      </w:tr>
      <w:tr>
        <w:tc>
          <w:tcPr>
            <w:tcW w:type="dxa" w:w="2880"/>
          </w:tcPr>
          <w:p>
            <w:r>
              <w:rPr>
                <w:sz w:val="20"/>
              </w:rPr>
              <w:t>Permitted excursions</w:t>
            </w:r>
          </w:p>
        </w:tc>
        <w:tc>
          <w:tcPr>
            <w:tcW w:type="dxa" w:w="6480"/>
          </w:tcPr>
          <w:p>
            <w:r>
              <w:rPr>
                <w:sz w:val="20"/>
              </w:rPr>
              <w:t>15–30°C (59–86°F) up to 30 days</w:t>
            </w:r>
          </w:p>
        </w:tc>
      </w:tr>
      <w:tr>
        <w:tc>
          <w:tcPr>
            <w:tcW w:type="dxa" w:w="2880"/>
          </w:tcPr>
          <w:p>
            <w:r>
              <w:rPr>
                <w:sz w:val="20"/>
              </w:rPr>
              <w:t>Light protection</w:t>
            </w:r>
          </w:p>
        </w:tc>
        <w:tc>
          <w:tcPr>
            <w:tcW w:type="dxa" w:w="6480"/>
          </w:tcPr>
          <w:p>
            <w:r>
              <w:rPr>
                <w:sz w:val="20"/>
              </w:rPr>
              <w:t>Store in original container</w:t>
            </w:r>
          </w:p>
        </w:tc>
      </w:tr>
      <w:tr>
        <w:tc>
          <w:tcPr>
            <w:tcW w:type="dxa" w:w="2880"/>
          </w:tcPr>
          <w:p>
            <w:r>
              <w:rPr>
                <w:sz w:val="20"/>
              </w:rPr>
              <w:t>Moisture protection</w:t>
            </w:r>
          </w:p>
        </w:tc>
        <w:tc>
          <w:tcPr>
            <w:tcW w:type="dxa" w:w="6480"/>
          </w:tcPr>
          <w:p>
            <w:r>
              <w:rPr>
                <w:sz w:val="20"/>
              </w:rPr>
              <w:t>Keep tightly closed; do not remove desiccant</w:t>
            </w:r>
          </w:p>
        </w:tc>
      </w:tr>
      <w:tr>
        <w:tc>
          <w:tcPr>
            <w:tcW w:type="dxa" w:w="2880"/>
          </w:tcPr>
          <w:p>
            <w:r>
              <w:rPr>
                <w:sz w:val="20"/>
              </w:rPr>
              <w:t>Shelf life</w:t>
            </w:r>
          </w:p>
        </w:tc>
        <w:tc>
          <w:tcPr>
            <w:tcW w:type="dxa" w:w="6480"/>
          </w:tcPr>
          <w:p>
            <w:r>
              <w:rPr>
                <w:sz w:val="20"/>
              </w:rPr>
              <w:t>36 months from manufacture</w:t>
            </w:r>
          </w:p>
        </w:tc>
      </w:tr>
      <w:tr>
        <w:tc>
          <w:tcPr>
            <w:tcW w:type="dxa" w:w="2880"/>
          </w:tcPr>
          <w:p>
            <w:r>
              <w:rPr>
                <w:sz w:val="20"/>
              </w:rPr>
              <w:t>Container closure</w:t>
            </w:r>
          </w:p>
        </w:tc>
        <w:tc>
          <w:tcPr>
            <w:tcW w:type="dxa" w:w="6480"/>
          </w:tcPr>
          <w:p>
            <w:r>
              <w:rPr>
                <w:sz w:val="20"/>
              </w:rPr>
              <w:t>HDPE bottle, child-resistant PP cap, induction seal, desiccant</w:t>
            </w:r>
          </w:p>
        </w:tc>
      </w:tr>
      <w:tr>
        <w:tc>
          <w:tcPr>
            <w:tcW w:type="dxa" w:w="2880"/>
          </w:tcPr>
          <w:p>
            <w:r>
              <w:rPr>
                <w:sz w:val="20"/>
              </w:rPr>
              <w:t>Pack sizes</w:t>
            </w:r>
          </w:p>
        </w:tc>
        <w:tc>
          <w:tcPr>
            <w:tcW w:type="dxa" w:w="6480"/>
          </w:tcPr>
          <w:p>
            <w:r>
              <w:rPr>
                <w:sz w:val="20"/>
              </w:rPr>
              <w:t>30, 90, 500 count bottles</w:t>
            </w:r>
          </w:p>
        </w:tc>
      </w:tr>
      <w:tr>
        <w:tc>
          <w:tcPr>
            <w:tcW w:type="dxa" w:w="2880"/>
          </w:tcPr>
          <w:p>
            <w:r>
              <w:rPr>
                <w:sz w:val="20"/>
              </w:rPr>
              <w:t>NDC codes (100 mg)</w:t>
            </w:r>
          </w:p>
        </w:tc>
        <w:tc>
          <w:tcPr>
            <w:tcW w:type="dxa" w:w="6480"/>
          </w:tcPr>
          <w:p>
            <w:r>
              <w:rPr>
                <w:sz w:val="20"/>
              </w:rPr>
              <w:t>12345-678-30 (30-ct), 12345-678-90 (90-ct)</w:t>
            </w:r>
          </w:p>
        </w:tc>
      </w:tr>
      <w:tr>
        <w:tc>
          <w:tcPr>
            <w:tcW w:type="dxa" w:w="2880"/>
          </w:tcPr>
          <w:p>
            <w:r>
              <w:rPr>
                <w:sz w:val="20"/>
              </w:rPr>
              <w:t>Disposal</w:t>
            </w:r>
          </w:p>
        </w:tc>
        <w:tc>
          <w:tcPr>
            <w:tcW w:type="dxa" w:w="6480"/>
          </w:tcPr>
          <w:p>
            <w:r>
              <w:rPr>
                <w:sz w:val="20"/>
              </w:rPr>
              <w:t>Per FDA drug disposal guidelines; do not flush</w:t>
            </w:r>
          </w:p>
        </w:tc>
      </w:tr>
    </w:tbl>
    <w:p/>
    <w:p>
      <w:pPr>
        <w:pStyle w:val="Heading1"/>
      </w:pPr>
      <w:r>
        <w:t>21. Regulatory Approvals Worldwide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28"/>
            <w:shd w:fill="003366"/>
          </w:tcPr>
          <w:p>
            <w:pPr>
              <w:jc w:val="center"/>
            </w:pPr>
            <w:r>
              <w:rPr>
                <w:b/>
                <w:color w:val="FFFFFF"/>
                <w:sz w:val="20"/>
              </w:rPr>
              <w:t>Authority</w:t>
            </w:r>
          </w:p>
        </w:tc>
        <w:tc>
          <w:tcPr>
            <w:tcW w:type="dxa" w:w="2016"/>
            <w:shd w:fill="003366"/>
          </w:tcPr>
          <w:p>
            <w:pPr>
              <w:jc w:val="center"/>
            </w:pPr>
            <w:r>
              <w:rPr>
                <w:b/>
                <w:color w:val="FFFFFF"/>
                <w:sz w:val="20"/>
              </w:rPr>
              <w:t>Application</w:t>
            </w:r>
          </w:p>
        </w:tc>
        <w:tc>
          <w:tcPr>
            <w:tcW w:type="dxa" w:w="1296"/>
            <w:shd w:fill="003366"/>
          </w:tcPr>
          <w:p>
            <w:pPr>
              <w:jc w:val="center"/>
            </w:pPr>
            <w:r>
              <w:rPr>
                <w:b/>
                <w:color w:val="FFFFFF"/>
                <w:sz w:val="20"/>
              </w:rPr>
              <w:t>Date</w:t>
            </w:r>
          </w:p>
        </w:tc>
        <w:tc>
          <w:tcPr>
            <w:tcW w:type="dxa" w:w="1152"/>
            <w:shd w:fill="003366"/>
          </w:tcPr>
          <w:p>
            <w:pPr>
              <w:jc w:val="center"/>
            </w:pPr>
            <w:r>
              <w:rPr>
                <w:b/>
                <w:color w:val="FFFFFF"/>
                <w:sz w:val="20"/>
              </w:rPr>
              <w:t>Status</w:t>
            </w:r>
          </w:p>
        </w:tc>
        <w:tc>
          <w:tcPr>
            <w:tcW w:type="dxa" w:w="2160"/>
            <w:shd w:fill="003366"/>
          </w:tcPr>
          <w:p>
            <w:pPr>
              <w:jc w:val="center"/>
            </w:pPr>
            <w:r>
              <w:rPr>
                <w:b/>
                <w:color w:val="FFFFFF"/>
                <w:sz w:val="20"/>
              </w:rPr>
              <w:t>Indications</w:t>
            </w:r>
          </w:p>
        </w:tc>
      </w:tr>
      <w:tr>
        <w:tc>
          <w:tcPr>
            <w:tcW w:type="dxa" w:w="1728"/>
          </w:tcPr>
          <w:p>
            <w:r>
              <w:rPr>
                <w:sz w:val="20"/>
              </w:rPr>
              <w:t>FDA (USA)</w:t>
            </w:r>
          </w:p>
        </w:tc>
        <w:tc>
          <w:tcPr>
            <w:tcW w:type="dxa" w:w="2016"/>
          </w:tcPr>
          <w:p>
            <w:r>
              <w:rPr>
                <w:sz w:val="20"/>
              </w:rPr>
              <w:t>NDA 215-847</w:t>
            </w:r>
          </w:p>
        </w:tc>
        <w:tc>
          <w:tcPr>
            <w:tcW w:type="dxa" w:w="1296"/>
          </w:tcPr>
          <w:p>
            <w:r>
              <w:rPr>
                <w:sz w:val="20"/>
              </w:rPr>
              <w:t>Oct 14, 2025</w:t>
            </w:r>
          </w:p>
        </w:tc>
        <w:tc>
          <w:tcPr>
            <w:tcW w:type="dxa" w:w="1152"/>
          </w:tcPr>
          <w:p>
            <w:r>
              <w:rPr>
                <w:sz w:val="20"/>
              </w:rPr>
              <w:t>Approved</w:t>
            </w:r>
          </w:p>
        </w:tc>
        <w:tc>
          <w:tcPr>
            <w:tcW w:type="dxa" w:w="2160"/>
          </w:tcPr>
          <w:p>
            <w:r>
              <w:rPr>
                <w:sz w:val="20"/>
              </w:rPr>
              <w:t>HTN, HFrEF, Angina</w:t>
            </w:r>
          </w:p>
        </w:tc>
      </w:tr>
      <w:tr>
        <w:tc>
          <w:tcPr>
            <w:tcW w:type="dxa" w:w="1728"/>
          </w:tcPr>
          <w:p>
            <w:r>
              <w:rPr>
                <w:sz w:val="20"/>
              </w:rPr>
              <w:t>EMA (EU)</w:t>
            </w:r>
          </w:p>
        </w:tc>
        <w:tc>
          <w:tcPr>
            <w:tcW w:type="dxa" w:w="2016"/>
          </w:tcPr>
          <w:p>
            <w:r>
              <w:rPr>
                <w:sz w:val="20"/>
              </w:rPr>
              <w:t>EMEA/H/C/006284</w:t>
            </w:r>
          </w:p>
        </w:tc>
        <w:tc>
          <w:tcPr>
            <w:tcW w:type="dxa" w:w="1296"/>
          </w:tcPr>
          <w:p>
            <w:r>
              <w:rPr>
                <w:sz w:val="20"/>
              </w:rPr>
              <w:t>Dec 8, 2025</w:t>
            </w:r>
          </w:p>
        </w:tc>
        <w:tc>
          <w:tcPr>
            <w:tcW w:type="dxa" w:w="1152"/>
          </w:tcPr>
          <w:p>
            <w:r>
              <w:rPr>
                <w:sz w:val="20"/>
              </w:rPr>
              <w:t>Approved</w:t>
            </w:r>
          </w:p>
        </w:tc>
        <w:tc>
          <w:tcPr>
            <w:tcW w:type="dxa" w:w="2160"/>
          </w:tcPr>
          <w:p>
            <w:r>
              <w:rPr>
                <w:sz w:val="20"/>
              </w:rPr>
              <w:t>HTN, CHF, Angina</w:t>
            </w:r>
          </w:p>
        </w:tc>
      </w:tr>
      <w:tr>
        <w:tc>
          <w:tcPr>
            <w:tcW w:type="dxa" w:w="1728"/>
          </w:tcPr>
          <w:p>
            <w:r>
              <w:rPr>
                <w:sz w:val="20"/>
              </w:rPr>
              <w:t>MHRA (UK)</w:t>
            </w:r>
          </w:p>
        </w:tc>
        <w:tc>
          <w:tcPr>
            <w:tcW w:type="dxa" w:w="2016"/>
          </w:tcPr>
          <w:p>
            <w:r>
              <w:rPr>
                <w:sz w:val="20"/>
              </w:rPr>
              <w:t>PL 54321/0012</w:t>
            </w:r>
          </w:p>
        </w:tc>
        <w:tc>
          <w:tcPr>
            <w:tcW w:type="dxa" w:w="1296"/>
          </w:tcPr>
          <w:p>
            <w:r>
              <w:rPr>
                <w:sz w:val="20"/>
              </w:rPr>
              <w:t>Jan 15, 2026</w:t>
            </w:r>
          </w:p>
        </w:tc>
        <w:tc>
          <w:tcPr>
            <w:tcW w:type="dxa" w:w="1152"/>
          </w:tcPr>
          <w:p>
            <w:r>
              <w:rPr>
                <w:sz w:val="20"/>
              </w:rPr>
              <w:t>Approved</w:t>
            </w:r>
          </w:p>
        </w:tc>
        <w:tc>
          <w:tcPr>
            <w:tcW w:type="dxa" w:w="2160"/>
          </w:tcPr>
          <w:p>
            <w:r>
              <w:rPr>
                <w:sz w:val="20"/>
              </w:rPr>
              <w:t>HTN, HFrEF, Angina</w:t>
            </w:r>
          </w:p>
        </w:tc>
      </w:tr>
      <w:tr>
        <w:tc>
          <w:tcPr>
            <w:tcW w:type="dxa" w:w="1728"/>
          </w:tcPr>
          <w:p>
            <w:r>
              <w:rPr>
                <w:sz w:val="20"/>
              </w:rPr>
              <w:t>Health Canada</w:t>
            </w:r>
          </w:p>
        </w:tc>
        <w:tc>
          <w:tcPr>
            <w:tcW w:type="dxa" w:w="2016"/>
          </w:tcPr>
          <w:p>
            <w:r>
              <w:rPr>
                <w:sz w:val="20"/>
              </w:rPr>
              <w:t>DIN 02567890</w:t>
            </w:r>
          </w:p>
        </w:tc>
        <w:tc>
          <w:tcPr>
            <w:tcW w:type="dxa" w:w="1296"/>
          </w:tcPr>
          <w:p>
            <w:r>
              <w:rPr>
                <w:sz w:val="20"/>
              </w:rPr>
              <w:t>Mar 5, 2026</w:t>
            </w:r>
          </w:p>
        </w:tc>
        <w:tc>
          <w:tcPr>
            <w:tcW w:type="dxa" w:w="1152"/>
          </w:tcPr>
          <w:p>
            <w:r>
              <w:rPr>
                <w:sz w:val="20"/>
              </w:rPr>
              <w:t>Approved</w:t>
            </w:r>
          </w:p>
        </w:tc>
        <w:tc>
          <w:tcPr>
            <w:tcW w:type="dxa" w:w="2160"/>
          </w:tcPr>
          <w:p>
            <w:r>
              <w:rPr>
                <w:sz w:val="20"/>
              </w:rPr>
              <w:t>HTN, HFrEF, Angina</w:t>
            </w:r>
          </w:p>
        </w:tc>
      </w:tr>
      <w:tr>
        <w:tc>
          <w:tcPr>
            <w:tcW w:type="dxa" w:w="1728"/>
          </w:tcPr>
          <w:p>
            <w:r>
              <w:rPr>
                <w:sz w:val="20"/>
              </w:rPr>
              <w:t>TGA (Australia)</w:t>
            </w:r>
          </w:p>
        </w:tc>
        <w:tc>
          <w:tcPr>
            <w:tcW w:type="dxa" w:w="2016"/>
          </w:tcPr>
          <w:p>
            <w:r>
              <w:rPr>
                <w:sz w:val="20"/>
              </w:rPr>
              <w:t>AUST R 345678</w:t>
            </w:r>
          </w:p>
        </w:tc>
        <w:tc>
          <w:tcPr>
            <w:tcW w:type="dxa" w:w="1296"/>
          </w:tcPr>
          <w:p>
            <w:r>
              <w:rPr>
                <w:sz w:val="20"/>
              </w:rPr>
              <w:t>Feb 22, 2026</w:t>
            </w:r>
          </w:p>
        </w:tc>
        <w:tc>
          <w:tcPr>
            <w:tcW w:type="dxa" w:w="1152"/>
          </w:tcPr>
          <w:p>
            <w:r>
              <w:rPr>
                <w:sz w:val="20"/>
              </w:rPr>
              <w:t>Approved</w:t>
            </w:r>
          </w:p>
        </w:tc>
        <w:tc>
          <w:tcPr>
            <w:tcW w:type="dxa" w:w="2160"/>
          </w:tcPr>
          <w:p>
            <w:r>
              <w:rPr>
                <w:sz w:val="20"/>
              </w:rPr>
              <w:t>HTN, HF</w:t>
            </w:r>
          </w:p>
        </w:tc>
      </w:tr>
      <w:tr>
        <w:tc>
          <w:tcPr>
            <w:tcW w:type="dxa" w:w="1728"/>
          </w:tcPr>
          <w:p>
            <w:r>
              <w:rPr>
                <w:sz w:val="20"/>
              </w:rPr>
              <w:t>PMDA (Japan)</w:t>
            </w:r>
          </w:p>
        </w:tc>
        <w:tc>
          <w:tcPr>
            <w:tcW w:type="dxa" w:w="2016"/>
          </w:tcPr>
          <w:p>
            <w:r>
              <w:rPr>
                <w:sz w:val="20"/>
              </w:rPr>
              <w:t>CTD 2025-3456</w:t>
            </w:r>
          </w:p>
        </w:tc>
        <w:tc>
          <w:tcPr>
            <w:tcW w:type="dxa" w:w="1296"/>
          </w:tcPr>
          <w:p>
            <w:r>
              <w:rPr>
                <w:sz w:val="20"/>
              </w:rPr>
              <w:t>—</w:t>
            </w:r>
          </w:p>
        </w:tc>
        <w:tc>
          <w:tcPr>
            <w:tcW w:type="dxa" w:w="1152"/>
          </w:tcPr>
          <w:p>
            <w:r>
              <w:rPr>
                <w:sz w:val="20"/>
              </w:rPr>
              <w:t>Under review</w:t>
            </w:r>
          </w:p>
        </w:tc>
        <w:tc>
          <w:tcPr>
            <w:tcW w:type="dxa" w:w="2160"/>
          </w:tcPr>
          <w:p>
            <w:r>
              <w:rPr>
                <w:sz w:val="20"/>
              </w:rPr>
              <w:t>HTN, CHF</w:t>
            </w:r>
          </w:p>
        </w:tc>
      </w:tr>
      <w:tr>
        <w:tc>
          <w:tcPr>
            <w:tcW w:type="dxa" w:w="1728"/>
          </w:tcPr>
          <w:p>
            <w:r>
              <w:rPr>
                <w:sz w:val="20"/>
              </w:rPr>
              <w:t>NMPA (China)</w:t>
            </w:r>
          </w:p>
        </w:tc>
        <w:tc>
          <w:tcPr>
            <w:tcW w:type="dxa" w:w="2016"/>
          </w:tcPr>
          <w:p>
            <w:r>
              <w:rPr>
                <w:sz w:val="20"/>
              </w:rPr>
              <w:t>H20260045</w:t>
            </w:r>
          </w:p>
        </w:tc>
        <w:tc>
          <w:tcPr>
            <w:tcW w:type="dxa" w:w="1296"/>
          </w:tcPr>
          <w:p>
            <w:r>
              <w:rPr>
                <w:sz w:val="20"/>
              </w:rPr>
              <w:t>—</w:t>
            </w:r>
          </w:p>
        </w:tc>
        <w:tc>
          <w:tcPr>
            <w:tcW w:type="dxa" w:w="1152"/>
          </w:tcPr>
          <w:p>
            <w:r>
              <w:rPr>
                <w:sz w:val="20"/>
              </w:rPr>
              <w:t>Under review</w:t>
            </w:r>
          </w:p>
        </w:tc>
        <w:tc>
          <w:tcPr>
            <w:tcW w:type="dxa" w:w="2160"/>
          </w:tcPr>
          <w:p>
            <w:r>
              <w:rPr>
                <w:sz w:val="20"/>
              </w:rPr>
              <w:t>HTN</w:t>
            </w:r>
          </w:p>
        </w:tc>
      </w:tr>
      <w:tr>
        <w:tc>
          <w:tcPr>
            <w:tcW w:type="dxa" w:w="1728"/>
          </w:tcPr>
          <w:p>
            <w:r>
              <w:rPr>
                <w:sz w:val="20"/>
              </w:rPr>
              <w:t>ANVISA (Brazil)</w:t>
            </w:r>
          </w:p>
        </w:tc>
        <w:tc>
          <w:tcPr>
            <w:tcW w:type="dxa" w:w="2016"/>
          </w:tcPr>
          <w:p>
            <w:r>
              <w:rPr>
                <w:sz w:val="20"/>
              </w:rPr>
              <w:t>25351.123456/2026</w:t>
            </w:r>
          </w:p>
        </w:tc>
        <w:tc>
          <w:tcPr>
            <w:tcW w:type="dxa" w:w="1296"/>
          </w:tcPr>
          <w:p>
            <w:r>
              <w:rPr>
                <w:sz w:val="20"/>
              </w:rPr>
              <w:t>—</w:t>
            </w:r>
          </w:p>
        </w:tc>
        <w:tc>
          <w:tcPr>
            <w:tcW w:type="dxa" w:w="1152"/>
          </w:tcPr>
          <w:p>
            <w:r>
              <w:rPr>
                <w:sz w:val="20"/>
              </w:rPr>
              <w:t>Submitted</w:t>
            </w:r>
          </w:p>
        </w:tc>
        <w:tc>
          <w:tcPr>
            <w:tcW w:type="dxa" w:w="2160"/>
          </w:tcPr>
          <w:p>
            <w:r>
              <w:rPr>
                <w:sz w:val="20"/>
              </w:rPr>
              <w:t>HTN, HF, Angina</w:t>
            </w:r>
          </w:p>
        </w:tc>
      </w:tr>
      <w:tr>
        <w:tc>
          <w:tcPr>
            <w:tcW w:type="dxa" w:w="1728"/>
          </w:tcPr>
          <w:p>
            <w:r>
              <w:rPr>
                <w:sz w:val="20"/>
              </w:rPr>
              <w:t>CDSCO (India)</w:t>
            </w:r>
          </w:p>
        </w:tc>
        <w:tc>
          <w:tcPr>
            <w:tcW w:type="dxa" w:w="2016"/>
          </w:tcPr>
          <w:p>
            <w:r>
              <w:rPr>
                <w:sz w:val="20"/>
              </w:rPr>
              <w:t>CT/NOC/2026/001234</w:t>
            </w:r>
          </w:p>
        </w:tc>
        <w:tc>
          <w:tcPr>
            <w:tcW w:type="dxa" w:w="1296"/>
          </w:tcPr>
          <w:p>
            <w:r>
              <w:rPr>
                <w:sz w:val="20"/>
              </w:rPr>
              <w:t>—</w:t>
            </w:r>
          </w:p>
        </w:tc>
        <w:tc>
          <w:tcPr>
            <w:tcW w:type="dxa" w:w="1152"/>
          </w:tcPr>
          <w:p>
            <w:r>
              <w:rPr>
                <w:sz w:val="20"/>
              </w:rPr>
              <w:t>Submitted</w:t>
            </w:r>
          </w:p>
        </w:tc>
        <w:tc>
          <w:tcPr>
            <w:tcW w:type="dxa" w:w="2160"/>
          </w:tcPr>
          <w:p>
            <w:r>
              <w:rPr>
                <w:sz w:val="20"/>
              </w:rPr>
              <w:t>HTN, HFrEF</w:t>
            </w:r>
          </w:p>
        </w:tc>
      </w:tr>
    </w:tbl>
    <w:p/>
    <w:p>
      <w:r>
        <w:br w:type="page"/>
      </w:r>
    </w:p>
    <w:p>
      <w:pPr>
        <w:pStyle w:val="Heading1"/>
      </w:pPr>
      <w:r>
        <w:t>22. Patient Counseling Information</w:t>
      </w:r>
    </w:p>
    <w:p>
      <w:r>
        <w:rPr>
          <w:b/>
        </w:rPr>
        <w:t xml:space="preserve">Do Not Stop Suddenly: </w:t>
      </w:r>
      <w:r>
        <w:t>Never stop taking Cardivex® without your doctor's guidance. Stopping suddenly can cause serious heart problems including chest pain or heart attack.</w:t>
      </w:r>
    </w:p>
    <w:p>
      <w:r>
        <w:rPr>
          <w:b/>
        </w:rPr>
        <w:t xml:space="preserve">Heart Rate Monitoring: </w:t>
      </w:r>
      <w:r>
        <w:t>Learn to check your pulse. Contact your doctor if resting heart rate drops below 50 beats per minute or you feel unusually dizzy or faint.</w:t>
      </w:r>
    </w:p>
    <w:p>
      <w:r>
        <w:rPr>
          <w:b/>
        </w:rPr>
        <w:t xml:space="preserve">Missed Dose: </w:t>
      </w:r>
      <w:r>
        <w:t>Take as soon as you remember. If your next dose is within 8 hours, skip the missed dose. Never double up.</w:t>
      </w:r>
    </w:p>
    <w:p>
      <w:r>
        <w:rPr>
          <w:b/>
        </w:rPr>
        <w:t xml:space="preserve">Driving and Machinery: </w:t>
      </w:r>
      <w:r>
        <w:t>This medicine may cause dizziness or tiredness. Avoid driving or operating machinery until you know how it affects you.</w:t>
      </w:r>
    </w:p>
    <w:p>
      <w:r>
        <w:rPr>
          <w:b/>
        </w:rPr>
        <w:t xml:space="preserve">Diabetes: </w:t>
      </w:r>
      <w:r>
        <w:t>Cardivex® may hide some symptoms of low blood sugar (fast heartbeat) but will NOT hide sweating. Check your blood sugar regularly.</w:t>
      </w:r>
    </w:p>
    <w:p>
      <w:r>
        <w:rPr>
          <w:b/>
        </w:rPr>
        <w:t xml:space="preserve">Surgery: </w:t>
      </w:r>
      <w:r>
        <w:t>Tell your surgeon/anesthesiologist that you take Cardivex® before any procedure.</w:t>
      </w:r>
    </w:p>
    <w:p>
      <w:r>
        <w:rPr>
          <w:b/>
        </w:rPr>
        <w:t xml:space="preserve">Pregnancy/Breastfeeding: </w:t>
      </w:r>
      <w:r>
        <w:t>Use effective contraception. Notify your doctor immediately if you become pregnant or plan to breastfeed.</w:t>
      </w:r>
    </w:p>
    <w:p>
      <w:r>
        <w:rPr>
          <w:b/>
        </w:rPr>
        <w:t xml:space="preserve">Alcohol: </w:t>
      </w:r>
      <w:r>
        <w:t>Limit alcohol; it can increase dizziness and blood pressure lowering.</w:t>
      </w:r>
    </w:p>
    <w:p>
      <w:r>
        <w:rPr>
          <w:b/>
        </w:rPr>
        <w:t xml:space="preserve">Weight Monitoring: </w:t>
      </w:r>
      <w:r>
        <w:t>Report weight gain &gt;2 kg in one week (may indicate fluid retention).</w:t>
      </w:r>
    </w:p>
    <w:p>
      <w:r>
        <w:rPr>
          <w:b/>
        </w:rPr>
        <w:t xml:space="preserve">Cold Weather: </w:t>
      </w:r>
      <w:r>
        <w:t>You may notice cold hands and feet. Dress warmly and avoid prolonged cold exposure.</w:t>
      </w:r>
    </w:p>
    <w:p>
      <w:r>
        <w:br w:type="page"/>
      </w:r>
    </w:p>
    <w:p>
      <w:pPr>
        <w:pStyle w:val="Heading1"/>
      </w:pPr>
      <w:r>
        <w:t>23. Cross-Reference Map to Clinical Development Report</w:t>
      </w:r>
    </w:p>
    <w:p>
      <w:r>
        <w:t>The following table maps sections of this Drug Product Monograph (DPM-CV-2026-001) to the corresponding sections of the companion Clinical Development Report (CDR-CV-2026-001) for detailed clinical data, statistical analyses, and patient-level narratives.</w:t>
      </w:r>
    </w:p>
    <w:tbl>
      <w:tblPr>
        <w:tblStyle w:val="LightGrid-Accent1"/>
        <w:tblW w:type="auto" w:w="0"/>
        <w:jc w:val="center"/>
        <w:tblLook w:firstColumn="1" w:firstRow="1" w:lastColumn="0" w:lastRow="0" w:noHBand="0" w:noVBand="1" w:val="04A0"/>
      </w:tblPr>
      <w:tblGrid>
        <w:gridCol w:w="3120"/>
        <w:gridCol w:w="3120"/>
        <w:gridCol w:w="3120"/>
      </w:tblGrid>
      <w:tr>
        <w:tc>
          <w:tcPr>
            <w:tcW w:type="dxa" w:w="2592"/>
            <w:shd w:fill="003366"/>
          </w:tcPr>
          <w:p>
            <w:pPr>
              <w:jc w:val="center"/>
            </w:pPr>
            <w:r>
              <w:rPr>
                <w:b/>
                <w:color w:val="FFFFFF"/>
                <w:sz w:val="20"/>
              </w:rPr>
              <w:t>This Document (DPM)</w:t>
            </w:r>
          </w:p>
        </w:tc>
        <w:tc>
          <w:tcPr>
            <w:tcW w:type="dxa" w:w="2592"/>
            <w:shd w:fill="003366"/>
          </w:tcPr>
          <w:p>
            <w:pPr>
              <w:jc w:val="center"/>
            </w:pPr>
            <w:r>
              <w:rPr>
                <w:b/>
                <w:color w:val="FFFFFF"/>
                <w:sz w:val="20"/>
              </w:rPr>
              <w:t>Companion Document (CDR)</w:t>
            </w:r>
          </w:p>
        </w:tc>
        <w:tc>
          <w:tcPr>
            <w:tcW w:type="dxa" w:w="3600"/>
            <w:shd w:fill="003366"/>
          </w:tcPr>
          <w:p>
            <w:pPr>
              <w:jc w:val="center"/>
            </w:pPr>
            <w:r>
              <w:rPr>
                <w:b/>
                <w:color w:val="FFFFFF"/>
                <w:sz w:val="20"/>
              </w:rPr>
              <w:t>CDR Content</w:t>
            </w:r>
          </w:p>
        </w:tc>
      </w:tr>
      <w:tr>
        <w:tc>
          <w:tcPr>
            <w:tcW w:type="dxa" w:w="2592"/>
          </w:tcPr>
          <w:p>
            <w:r>
              <w:rPr>
                <w:sz w:val="20"/>
              </w:rPr>
              <w:t>§1 Executive Summary</w:t>
            </w:r>
          </w:p>
        </w:tc>
        <w:tc>
          <w:tcPr>
            <w:tcW w:type="dxa" w:w="2592"/>
          </w:tcPr>
          <w:p>
            <w:r>
              <w:rPr>
                <w:sz w:val="20"/>
              </w:rPr>
              <w:t>§1 Program Overview</w:t>
            </w:r>
          </w:p>
        </w:tc>
        <w:tc>
          <w:tcPr>
            <w:tcW w:type="dxa" w:w="3600"/>
          </w:tcPr>
          <w:p>
            <w:r>
              <w:rPr>
                <w:sz w:val="20"/>
              </w:rPr>
              <w:t>Full development timeline and rationale</w:t>
            </w:r>
          </w:p>
        </w:tc>
      </w:tr>
      <w:tr>
        <w:tc>
          <w:tcPr>
            <w:tcW w:type="dxa" w:w="2592"/>
          </w:tcPr>
          <w:p>
            <w:r>
              <w:rPr>
                <w:sz w:val="20"/>
              </w:rPr>
              <w:t>§6 Mechanism of Action</w:t>
            </w:r>
          </w:p>
        </w:tc>
        <w:tc>
          <w:tcPr>
            <w:tcW w:type="dxa" w:w="2592"/>
          </w:tcPr>
          <w:p>
            <w:r>
              <w:rPr>
                <w:sz w:val="20"/>
              </w:rPr>
              <w:t>§3 Nonclinical Pharmacology</w:t>
            </w:r>
          </w:p>
        </w:tc>
        <w:tc>
          <w:tcPr>
            <w:tcW w:type="dxa" w:w="3600"/>
          </w:tcPr>
          <w:p>
            <w:r>
              <w:rPr>
                <w:sz w:val="20"/>
              </w:rPr>
              <w:t>In vitro/in vivo pharmacology details</w:t>
            </w:r>
          </w:p>
        </w:tc>
      </w:tr>
      <w:tr>
        <w:tc>
          <w:tcPr>
            <w:tcW w:type="dxa" w:w="2592"/>
          </w:tcPr>
          <w:p>
            <w:r>
              <w:rPr>
                <w:sz w:val="20"/>
              </w:rPr>
              <w:t>§7 Pharmacodynamics</w:t>
            </w:r>
          </w:p>
        </w:tc>
        <w:tc>
          <w:tcPr>
            <w:tcW w:type="dxa" w:w="2592"/>
          </w:tcPr>
          <w:p>
            <w:r>
              <w:rPr>
                <w:sz w:val="20"/>
              </w:rPr>
              <w:t>§4–5 Phase I Studies</w:t>
            </w:r>
          </w:p>
        </w:tc>
        <w:tc>
          <w:tcPr>
            <w:tcW w:type="dxa" w:w="3600"/>
          </w:tcPr>
          <w:p>
            <w:r>
              <w:rPr>
                <w:sz w:val="20"/>
              </w:rPr>
              <w:t>Individual study reports and raw PD data</w:t>
            </w:r>
          </w:p>
        </w:tc>
      </w:tr>
      <w:tr>
        <w:tc>
          <w:tcPr>
            <w:tcW w:type="dxa" w:w="2592"/>
          </w:tcPr>
          <w:p>
            <w:r>
              <w:rPr>
                <w:sz w:val="20"/>
              </w:rPr>
              <w:t>§8–9 Pharmacokinetics</w:t>
            </w:r>
          </w:p>
        </w:tc>
        <w:tc>
          <w:tcPr>
            <w:tcW w:type="dxa" w:w="2592"/>
          </w:tcPr>
          <w:p>
            <w:r>
              <w:rPr>
                <w:sz w:val="20"/>
              </w:rPr>
              <w:t>§4–5 Phase I, §3.2 Biopharma</w:t>
            </w:r>
          </w:p>
        </w:tc>
        <w:tc>
          <w:tcPr>
            <w:tcW w:type="dxa" w:w="3600"/>
          </w:tcPr>
          <w:p>
            <w:r>
              <w:rPr>
                <w:sz w:val="20"/>
              </w:rPr>
              <w:t>Full PK modeling, popPK, IVIVC</w:t>
            </w:r>
          </w:p>
        </w:tc>
      </w:tr>
      <w:tr>
        <w:tc>
          <w:tcPr>
            <w:tcW w:type="dxa" w:w="2592"/>
          </w:tcPr>
          <w:p>
            <w:r>
              <w:rPr>
                <w:sz w:val="20"/>
              </w:rPr>
              <w:t>§12 Efficacy Summary</w:t>
            </w:r>
          </w:p>
        </w:tc>
        <w:tc>
          <w:tcPr>
            <w:tcW w:type="dxa" w:w="2592"/>
          </w:tcPr>
          <w:p>
            <w:r>
              <w:rPr>
                <w:sz w:val="20"/>
              </w:rPr>
              <w:t>§6–9 Phase II–III Studies</w:t>
            </w:r>
          </w:p>
        </w:tc>
        <w:tc>
          <w:tcPr>
            <w:tcW w:type="dxa" w:w="3600"/>
          </w:tcPr>
          <w:p>
            <w:r>
              <w:rPr>
                <w:sz w:val="20"/>
              </w:rPr>
              <w:t>Complete protocols, SAPs, CONSORT diagrams</w:t>
            </w:r>
          </w:p>
        </w:tc>
      </w:tr>
      <w:tr>
        <w:tc>
          <w:tcPr>
            <w:tcW w:type="dxa" w:w="2592"/>
          </w:tcPr>
          <w:p>
            <w:r>
              <w:rPr>
                <w:sz w:val="20"/>
              </w:rPr>
              <w:t>§12.2 CARDIAC-SHIELD</w:t>
            </w:r>
          </w:p>
        </w:tc>
        <w:tc>
          <w:tcPr>
            <w:tcW w:type="dxa" w:w="2592"/>
          </w:tcPr>
          <w:p>
            <w:r>
              <w:rPr>
                <w:sz w:val="20"/>
              </w:rPr>
              <w:t>§7 CARDIAC-SHIELD</w:t>
            </w:r>
          </w:p>
        </w:tc>
        <w:tc>
          <w:tcPr>
            <w:tcW w:type="dxa" w:w="3600"/>
          </w:tcPr>
          <w:p>
            <w:r>
              <w:rPr>
                <w:sz w:val="20"/>
              </w:rPr>
              <w:t>Full study report, KM curves, forest plots</w:t>
            </w:r>
          </w:p>
        </w:tc>
      </w:tr>
      <w:tr>
        <w:tc>
          <w:tcPr>
            <w:tcW w:type="dxa" w:w="2592"/>
          </w:tcPr>
          <w:p>
            <w:r>
              <w:rPr>
                <w:sz w:val="20"/>
              </w:rPr>
              <w:t>§12 CARDIO-PRESS</w:t>
            </w:r>
          </w:p>
        </w:tc>
        <w:tc>
          <w:tcPr>
            <w:tcW w:type="dxa" w:w="2592"/>
          </w:tcPr>
          <w:p>
            <w:r>
              <w:rPr>
                <w:sz w:val="20"/>
              </w:rPr>
              <w:t>§8 CARDIO-PRESS</w:t>
            </w:r>
          </w:p>
        </w:tc>
        <w:tc>
          <w:tcPr>
            <w:tcW w:type="dxa" w:w="3600"/>
          </w:tcPr>
          <w:p>
            <w:r>
              <w:rPr>
                <w:sz w:val="20"/>
              </w:rPr>
              <w:t>Full study report, ABPM data</w:t>
            </w:r>
          </w:p>
        </w:tc>
      </w:tr>
      <w:tr>
        <w:tc>
          <w:tcPr>
            <w:tcW w:type="dxa" w:w="2592"/>
          </w:tcPr>
          <w:p>
            <w:r>
              <w:rPr>
                <w:sz w:val="20"/>
              </w:rPr>
              <w:t>§12 ANGI-RESOLVE</w:t>
            </w:r>
          </w:p>
        </w:tc>
        <w:tc>
          <w:tcPr>
            <w:tcW w:type="dxa" w:w="2592"/>
          </w:tcPr>
          <w:p>
            <w:r>
              <w:rPr>
                <w:sz w:val="20"/>
              </w:rPr>
              <w:t>§9 ANGI-RESOLVE</w:t>
            </w:r>
          </w:p>
        </w:tc>
        <w:tc>
          <w:tcPr>
            <w:tcW w:type="dxa" w:w="3600"/>
          </w:tcPr>
          <w:p>
            <w:r>
              <w:rPr>
                <w:sz w:val="20"/>
              </w:rPr>
              <w:t>Full crossover data, exercise test details</w:t>
            </w:r>
          </w:p>
        </w:tc>
      </w:tr>
      <w:tr>
        <w:tc>
          <w:tcPr>
            <w:tcW w:type="dxa" w:w="2592"/>
          </w:tcPr>
          <w:p>
            <w:r>
              <w:rPr>
                <w:sz w:val="20"/>
              </w:rPr>
              <w:t>§13 Safety Profile</w:t>
            </w:r>
          </w:p>
        </w:tc>
        <w:tc>
          <w:tcPr>
            <w:tcW w:type="dxa" w:w="2592"/>
          </w:tcPr>
          <w:p>
            <w:r>
              <w:rPr>
                <w:sz w:val="20"/>
              </w:rPr>
              <w:t>§10 Integrated Safety</w:t>
            </w:r>
          </w:p>
        </w:tc>
        <w:tc>
          <w:tcPr>
            <w:tcW w:type="dxa" w:w="3600"/>
          </w:tcPr>
          <w:p>
            <w:r>
              <w:rPr>
                <w:sz w:val="20"/>
              </w:rPr>
              <w:t>Patient-level AE listings, narratives, CIOMS</w:t>
            </w:r>
          </w:p>
        </w:tc>
      </w:tr>
      <w:tr>
        <w:tc>
          <w:tcPr>
            <w:tcW w:type="dxa" w:w="2592"/>
          </w:tcPr>
          <w:p>
            <w:r>
              <w:rPr>
                <w:sz w:val="20"/>
              </w:rPr>
              <w:t>§14 Drug Interactions</w:t>
            </w:r>
          </w:p>
        </w:tc>
        <w:tc>
          <w:tcPr>
            <w:tcW w:type="dxa" w:w="2592"/>
          </w:tcPr>
          <w:p>
            <w:r>
              <w:rPr>
                <w:sz w:val="20"/>
              </w:rPr>
              <w:t>§5.6 DDI Studies</w:t>
            </w:r>
          </w:p>
        </w:tc>
        <w:tc>
          <w:tcPr>
            <w:tcW w:type="dxa" w:w="3600"/>
          </w:tcPr>
          <w:p>
            <w:r>
              <w:rPr>
                <w:sz w:val="20"/>
              </w:rPr>
              <w:t>Full PK/PD interaction study reports</w:t>
            </w:r>
          </w:p>
        </w:tc>
      </w:tr>
      <w:tr>
        <w:tc>
          <w:tcPr>
            <w:tcW w:type="dxa" w:w="2592"/>
          </w:tcPr>
          <w:p>
            <w:r>
              <w:rPr>
                <w:sz w:val="20"/>
              </w:rPr>
              <w:t>§19 Nonclinical Toxicology</w:t>
            </w:r>
          </w:p>
        </w:tc>
        <w:tc>
          <w:tcPr>
            <w:tcW w:type="dxa" w:w="2592"/>
          </w:tcPr>
          <w:p>
            <w:r>
              <w:rPr>
                <w:sz w:val="20"/>
              </w:rPr>
              <w:t>§3.3 Toxicology</w:t>
            </w:r>
          </w:p>
        </w:tc>
        <w:tc>
          <w:tcPr>
            <w:tcW w:type="dxa" w:w="3600"/>
          </w:tcPr>
          <w:p>
            <w:r>
              <w:rPr>
                <w:sz w:val="20"/>
              </w:rPr>
              <w:t>Full GLP study reports</w:t>
            </w:r>
          </w:p>
        </w:tc>
      </w:tr>
    </w:tbl>
    <w:p/>
    <w:p>
      <w:r>
        <w:br w:type="page"/>
      </w:r>
    </w:p>
    <w:p>
      <w:pPr>
        <w:pStyle w:val="Heading1"/>
      </w:pPr>
      <w:r>
        <w:t>24. References</w:t>
      </w:r>
    </w:p>
    <w:p>
      <w:r>
        <w:t>1. Anderson JL, et al. Metopravil succinate in HFrEF: CARDIAC-SHIELD trial. N Engl J Med. 2025;393(18):1684–96.</w:t>
      </w:r>
    </w:p>
    <w:p>
      <w:r>
        <w:t>2. Chen W, et al. PK/PD of metopravil ER tablets: Phase I dose-escalation. Clin Pharmacol Ther. 2024;116(4):892–904.</w:t>
      </w:r>
    </w:p>
    <w:p>
      <w:r>
        <w:t>3. Davidson MH, et al. Dose-ranging in hypertension: CARDINAL study. J Hypertens. 2025;43(2):312–24.</w:t>
      </w:r>
    </w:p>
    <w:p>
      <w:r>
        <w:t>4. EMA. Cardivex SmPC. EMEA/H/C/006284. Dec 2025.</w:t>
      </w:r>
    </w:p>
    <w:p>
      <w:r>
        <w:t>5. FDA CDER. Cardivex NDA 215-847 Prescribing Information. Oct 2025.</w:t>
      </w:r>
    </w:p>
    <w:p>
      <w:r>
        <w:t>6. Goldstein RE, et al. Comparative hemodynamics of selective β₁-antagonists. Eur Heart J. 2025;46(8):622–35.</w:t>
      </w:r>
    </w:p>
    <w:p>
      <w:r>
        <w:t>7. Harrison DG, et al. β₁ selectivity and clinical outcomes. Pharmacol Rev. 2024;76(3):401–28.</w:t>
      </w:r>
    </w:p>
    <w:p>
      <w:r>
        <w:t>8. Ibrahim M, et al. ANGI-RESOLVE crossover trial. Am J Cardiol. 2025;186:42–51.</w:t>
      </w:r>
    </w:p>
    <w:p>
      <w:r>
        <w:t>9. Jackson EK, et al. CYP2D6 pharmacogenomics and beta-blockers. Clin Pharmacol Drug Dev. 2025;14(1):68–79.</w:t>
      </w:r>
    </w:p>
    <w:p>
      <w:r>
        <w:t>10. Kim JH, et al. CARDIO-PRESS non-inferiority trial. Lancet. 2026;407(10324):456–68.</w:t>
      </w:r>
    </w:p>
    <w:p>
      <w:r>
        <w:t>11. Lee S, et al. TQT study of metopravil. Br J Clin Pharmacol. 2024;90(12):3024–36.</w:t>
      </w:r>
    </w:p>
    <w:p>
      <w:r>
        <w:t>12. McMurray JJV, et al. Beta-blocker therapy in HF: 2025 position statement. Eur J Heart Fail. 2025;27(4):512–28.</w:t>
      </w:r>
    </w:p>
    <w:p>
      <w:r>
        <w:t>13. NHLBI. JNC 9 Hypertension Guidelines. 2025.</w:t>
      </w:r>
    </w:p>
    <w:p>
      <w:r>
        <w:t>14. Opie LH, Gersh BJ. Drugs for the Heart. 10th ed. Elsevier; 2025.</w:t>
      </w:r>
    </w:p>
    <w:p>
      <w:r>
        <w:t>15. Pharmacore Therapeutics. Cardivex Investigator's Brochure v8.0. Mar 2025.</w:t>
      </w:r>
    </w:p>
    <w:p>
      <w:r>
        <w:t>16. Rodriguez B, et al. CARDIAC-SHIELD OLE safety. Circulation. 2026;153(8):e42–55.</w:t>
      </w:r>
    </w:p>
    <w:p>
      <w:r>
        <w:t>17. Smith GD, et al. β₁-selectivity and bronchospasm risk. Chest. 2025;168(5):1342–51.</w:t>
      </w:r>
    </w:p>
    <w:p>
      <w:r>
        <w:t>18. Thompson PL, et al. Perioperative beta-blocker guidelines. J Am Coll Cardiol. 2025;86(14):1588–602.</w:t>
      </w:r>
    </w:p>
    <w:p>
      <w:r>
        <w:t>19. US DHHS. CTCAE Version 6.0. Nov 2024.</w:t>
      </w:r>
    </w:p>
    <w:p>
      <w:r>
        <w:t>20. WHO. Model List of Essential Medicines, 24th Ed. 2025.</w:t>
      </w:r>
    </w:p>
    <w:p>
      <w:r>
        <w:br w:type="page"/>
      </w:r>
    </w:p>
    <w:p>
      <w:pPr>
        <w:pStyle w:val="Heading1"/>
      </w:pPr>
      <w:r>
        <w:t>25. Document Revision History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864"/>
            <w:shd w:fill="003366"/>
          </w:tcPr>
          <w:p>
            <w:pPr>
              <w:jc w:val="center"/>
            </w:pPr>
            <w:r>
              <w:rPr>
                <w:b/>
                <w:color w:val="FFFFFF"/>
                <w:sz w:val="20"/>
              </w:rPr>
              <w:t>Version</w:t>
            </w:r>
          </w:p>
        </w:tc>
        <w:tc>
          <w:tcPr>
            <w:tcW w:type="dxa" w:w="1152"/>
            <w:shd w:fill="003366"/>
          </w:tcPr>
          <w:p>
            <w:pPr>
              <w:jc w:val="center"/>
            </w:pPr>
            <w:r>
              <w:rPr>
                <w:b/>
                <w:color w:val="FFFFFF"/>
                <w:sz w:val="20"/>
              </w:rPr>
              <w:t>Date</w:t>
            </w:r>
          </w:p>
        </w:tc>
        <w:tc>
          <w:tcPr>
            <w:tcW w:type="dxa" w:w="2592"/>
            <w:shd w:fill="003366"/>
          </w:tcPr>
          <w:p>
            <w:pPr>
              <w:jc w:val="center"/>
            </w:pPr>
            <w:r>
              <w:rPr>
                <w:b/>
                <w:color w:val="FFFFFF"/>
                <w:sz w:val="20"/>
              </w:rPr>
              <w:t>Author</w:t>
            </w:r>
          </w:p>
        </w:tc>
        <w:tc>
          <w:tcPr>
            <w:tcW w:type="dxa" w:w="4320"/>
            <w:shd w:fill="003366"/>
          </w:tcPr>
          <w:p>
            <w:pPr>
              <w:jc w:val="center"/>
            </w:pPr>
            <w:r>
              <w:rPr>
                <w:b/>
                <w:color w:val="FFFFFF"/>
                <w:sz w:val="20"/>
              </w:rPr>
              <w:t>Description</w:t>
            </w:r>
          </w:p>
        </w:tc>
      </w:tr>
      <w:tr>
        <w:tc>
          <w:tcPr>
            <w:tcW w:type="dxa" w:w="864"/>
          </w:tcPr>
          <w:p>
            <w:r>
              <w:rPr>
                <w:sz w:val="20"/>
              </w:rPr>
              <w:t>1.0</w:t>
            </w:r>
          </w:p>
        </w:tc>
        <w:tc>
          <w:tcPr>
            <w:tcW w:type="dxa" w:w="1152"/>
          </w:tcPr>
          <w:p>
            <w:r>
              <w:rPr>
                <w:sz w:val="20"/>
              </w:rPr>
              <w:t>Jan 2024</w:t>
            </w:r>
          </w:p>
        </w:tc>
        <w:tc>
          <w:tcPr>
            <w:tcW w:type="dxa" w:w="2592"/>
          </w:tcPr>
          <w:p>
            <w:r>
              <w:rPr>
                <w:sz w:val="20"/>
              </w:rPr>
              <w:t>Dr. Sarah Mitchell</w:t>
            </w:r>
          </w:p>
        </w:tc>
        <w:tc>
          <w:tcPr>
            <w:tcW w:type="dxa" w:w="4320"/>
          </w:tcPr>
          <w:p>
            <w:r>
              <w:rPr>
                <w:sz w:val="20"/>
              </w:rPr>
              <w:t>Initial draft</w:t>
            </w:r>
          </w:p>
        </w:tc>
      </w:tr>
      <w:tr>
        <w:tc>
          <w:tcPr>
            <w:tcW w:type="dxa" w:w="864"/>
          </w:tcPr>
          <w:p>
            <w:r>
              <w:rPr>
                <w:sz w:val="20"/>
              </w:rPr>
              <w:t>2.0</w:t>
            </w:r>
          </w:p>
        </w:tc>
        <w:tc>
          <w:tcPr>
            <w:tcW w:type="dxa" w:w="1152"/>
          </w:tcPr>
          <w:p>
            <w:r>
              <w:rPr>
                <w:sz w:val="20"/>
              </w:rPr>
              <w:t>Jun 2024</w:t>
            </w:r>
          </w:p>
        </w:tc>
        <w:tc>
          <w:tcPr>
            <w:tcW w:type="dxa" w:w="2592"/>
          </w:tcPr>
          <w:p>
            <w:r>
              <w:rPr>
                <w:sz w:val="20"/>
              </w:rPr>
              <w:t>Dr. James Thompson</w:t>
            </w:r>
          </w:p>
        </w:tc>
        <w:tc>
          <w:tcPr>
            <w:tcW w:type="dxa" w:w="4320"/>
          </w:tcPr>
          <w:p>
            <w:r>
              <w:rPr>
                <w:sz w:val="20"/>
              </w:rPr>
              <w:t>Phase II data incorporated</w:t>
            </w:r>
          </w:p>
        </w:tc>
      </w:tr>
      <w:tr>
        <w:tc>
          <w:tcPr>
            <w:tcW w:type="dxa" w:w="864"/>
          </w:tcPr>
          <w:p>
            <w:r>
              <w:rPr>
                <w:sz w:val="20"/>
              </w:rPr>
              <w:t>3.0</w:t>
            </w:r>
          </w:p>
        </w:tc>
        <w:tc>
          <w:tcPr>
            <w:tcW w:type="dxa" w:w="1152"/>
          </w:tcPr>
          <w:p>
            <w:r>
              <w:rPr>
                <w:sz w:val="20"/>
              </w:rPr>
              <w:t>Dec 2024</w:t>
            </w:r>
          </w:p>
        </w:tc>
        <w:tc>
          <w:tcPr>
            <w:tcW w:type="dxa" w:w="2592"/>
          </w:tcPr>
          <w:p>
            <w:r>
              <w:rPr>
                <w:sz w:val="20"/>
              </w:rPr>
              <w:t>Dr. Elena Rodriguez</w:t>
            </w:r>
          </w:p>
        </w:tc>
        <w:tc>
          <w:tcPr>
            <w:tcW w:type="dxa" w:w="4320"/>
          </w:tcPr>
          <w:p>
            <w:r>
              <w:rPr>
                <w:sz w:val="20"/>
              </w:rPr>
              <w:t>Phase III CARDIAC-SHIELD results added</w:t>
            </w:r>
          </w:p>
        </w:tc>
      </w:tr>
      <w:tr>
        <w:tc>
          <w:tcPr>
            <w:tcW w:type="dxa" w:w="864"/>
          </w:tcPr>
          <w:p>
            <w:r>
              <w:rPr>
                <w:sz w:val="20"/>
              </w:rPr>
              <w:t>3.1</w:t>
            </w:r>
          </w:p>
        </w:tc>
        <w:tc>
          <w:tcPr>
            <w:tcW w:type="dxa" w:w="1152"/>
          </w:tcPr>
          <w:p>
            <w:r>
              <w:rPr>
                <w:sz w:val="20"/>
              </w:rPr>
              <w:t>Mar 2025</w:t>
            </w:r>
          </w:p>
        </w:tc>
        <w:tc>
          <w:tcPr>
            <w:tcW w:type="dxa" w:w="2592"/>
          </w:tcPr>
          <w:p>
            <w:r>
              <w:rPr>
                <w:sz w:val="20"/>
              </w:rPr>
              <w:t>Dr. Sarah Mitchell</w:t>
            </w:r>
          </w:p>
        </w:tc>
        <w:tc>
          <w:tcPr>
            <w:tcW w:type="dxa" w:w="4320"/>
          </w:tcPr>
          <w:p>
            <w:r>
              <w:rPr>
                <w:sz w:val="20"/>
              </w:rPr>
              <w:t>PK tables revised per FDA review</w:t>
            </w:r>
          </w:p>
        </w:tc>
      </w:tr>
      <w:tr>
        <w:tc>
          <w:tcPr>
            <w:tcW w:type="dxa" w:w="864"/>
          </w:tcPr>
          <w:p>
            <w:r>
              <w:rPr>
                <w:sz w:val="20"/>
              </w:rPr>
              <w:t>4.0</w:t>
            </w:r>
          </w:p>
        </w:tc>
        <w:tc>
          <w:tcPr>
            <w:tcW w:type="dxa" w:w="1152"/>
          </w:tcPr>
          <w:p>
            <w:r>
              <w:rPr>
                <w:sz w:val="20"/>
              </w:rPr>
              <w:t>Oct 2025</w:t>
            </w:r>
          </w:p>
        </w:tc>
        <w:tc>
          <w:tcPr>
            <w:tcW w:type="dxa" w:w="2592"/>
          </w:tcPr>
          <w:p>
            <w:r>
              <w:rPr>
                <w:sz w:val="20"/>
              </w:rPr>
              <w:t>Dr. James Thompson</w:t>
            </w:r>
          </w:p>
        </w:tc>
        <w:tc>
          <w:tcPr>
            <w:tcW w:type="dxa" w:w="4320"/>
          </w:tcPr>
          <w:p>
            <w:r>
              <w:rPr>
                <w:sz w:val="20"/>
              </w:rPr>
              <w:t>FDA-approved prescribing information</w:t>
            </w:r>
          </w:p>
        </w:tc>
      </w:tr>
      <w:tr>
        <w:tc>
          <w:tcPr>
            <w:tcW w:type="dxa" w:w="864"/>
          </w:tcPr>
          <w:p>
            <w:r>
              <w:rPr>
                <w:sz w:val="20"/>
              </w:rPr>
              <w:t>4.1</w:t>
            </w:r>
          </w:p>
        </w:tc>
        <w:tc>
          <w:tcPr>
            <w:tcW w:type="dxa" w:w="1152"/>
          </w:tcPr>
          <w:p>
            <w:r>
              <w:rPr>
                <w:sz w:val="20"/>
              </w:rPr>
              <w:t>Jan 2026</w:t>
            </w:r>
          </w:p>
        </w:tc>
        <w:tc>
          <w:tcPr>
            <w:tcW w:type="dxa" w:w="2592"/>
          </w:tcPr>
          <w:p>
            <w:r>
              <w:rPr>
                <w:sz w:val="20"/>
              </w:rPr>
              <w:t>Dr. Elena Rodriguez</w:t>
            </w:r>
          </w:p>
        </w:tc>
        <w:tc>
          <w:tcPr>
            <w:tcW w:type="dxa" w:w="4320"/>
          </w:tcPr>
          <w:p>
            <w:r>
              <w:rPr>
                <w:sz w:val="20"/>
              </w:rPr>
              <w:t>EU/UK approvals added</w:t>
            </w:r>
          </w:p>
        </w:tc>
      </w:tr>
      <w:tr>
        <w:tc>
          <w:tcPr>
            <w:tcW w:type="dxa" w:w="864"/>
          </w:tcPr>
          <w:p>
            <w:r>
              <w:rPr>
                <w:sz w:val="20"/>
              </w:rPr>
              <w:t>4.2</w:t>
            </w:r>
          </w:p>
        </w:tc>
        <w:tc>
          <w:tcPr>
            <w:tcW w:type="dxa" w:w="1152"/>
          </w:tcPr>
          <w:p>
            <w:r>
              <w:rPr>
                <w:sz w:val="20"/>
              </w:rPr>
              <w:t>Mar 2026</w:t>
            </w:r>
          </w:p>
        </w:tc>
        <w:tc>
          <w:tcPr>
            <w:tcW w:type="dxa" w:w="2592"/>
          </w:tcPr>
          <w:p>
            <w:r>
              <w:rPr>
                <w:sz w:val="20"/>
              </w:rPr>
              <w:t>Dr. Sarah Mitchell</w:t>
            </w:r>
          </w:p>
        </w:tc>
        <w:tc>
          <w:tcPr>
            <w:tcW w:type="dxa" w:w="4320"/>
          </w:tcPr>
          <w:p>
            <w:r>
              <w:rPr>
                <w:sz w:val="20"/>
              </w:rPr>
              <w:t>Updated integrated safety data</w:t>
            </w:r>
          </w:p>
        </w:tc>
      </w:tr>
      <w:tr>
        <w:tc>
          <w:tcPr>
            <w:tcW w:type="dxa" w:w="864"/>
          </w:tcPr>
          <w:p>
            <w:r>
              <w:rPr>
                <w:sz w:val="20"/>
              </w:rPr>
              <w:t>5.0</w:t>
            </w:r>
          </w:p>
        </w:tc>
        <w:tc>
          <w:tcPr>
            <w:tcW w:type="dxa" w:w="1152"/>
          </w:tcPr>
          <w:p>
            <w:r>
              <w:rPr>
                <w:sz w:val="20"/>
              </w:rPr>
              <w:t>Apr 2026</w:t>
            </w:r>
          </w:p>
        </w:tc>
        <w:tc>
          <w:tcPr>
            <w:tcW w:type="dxa" w:w="2592"/>
          </w:tcPr>
          <w:p>
            <w:r>
              <w:rPr>
                <w:sz w:val="20"/>
              </w:rPr>
              <w:t>Dr. James Thompson</w:t>
            </w:r>
          </w:p>
        </w:tc>
        <w:tc>
          <w:tcPr>
            <w:tcW w:type="dxa" w:w="4320"/>
          </w:tcPr>
          <w:p>
            <w:r>
              <w:rPr>
                <w:sz w:val="20"/>
              </w:rPr>
              <w:t>Full monograph with companion CDR cross-references</w:t>
            </w:r>
          </w:p>
        </w:tc>
      </w:tr>
    </w:tbl>
    <w:p/>
    <w:p/>
    <w:p>
      <w:pPr>
        <w:jc w:val="center"/>
      </w:pPr>
      <w:r>
        <w:rPr>
          <w:b/>
          <w:color w:val="003366"/>
          <w:sz w:val="28"/>
        </w:rPr>
        <w:t>— END OF DRUG PRODUCT MONOGRAPH (DPM-CV-2026-001) —</w:t>
      </w:r>
    </w:p>
    <w:p>
      <w:pPr>
        <w:jc w:val="center"/>
      </w:pPr>
      <w:r>
        <w:rPr>
          <w:i/>
          <w:color w:val="006699"/>
          <w:sz w:val="22"/>
        </w:rPr>
        <w:t>For detailed clinical trial data, refer to companion document: CDR-CV-2026-001</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Pharmacore Therapeutics, Inc.  |  Companion: CDR-CV-2026-001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808080"/>
        <w:sz w:val="16"/>
      </w:rPr>
      <w:t>DPM-CV-2026-001  |  CARDIVEX® (Metopravil Succinate)  |  Drug Product Monograph v5.0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