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4466"/>
          <w:sz w:val="64"/>
        </w:rPr>
        <w:t>CARDIVEX® (Metopravil Succinate)</w:t>
      </w:r>
    </w:p>
    <w:p>
      <w:pPr>
        <w:jc w:val="center"/>
      </w:pPr>
      <w:r>
        <w:rPr>
          <w:b/>
          <w:color w:val="006699"/>
          <w:sz w:val="48"/>
        </w:rPr>
        <w:t>CLINICAL DEVELOPMENT REPORT</w:t>
      </w:r>
    </w:p>
    <w:p/>
    <w:p>
      <w:pPr>
        <w:jc w:val="center"/>
      </w:pPr>
      <w:r>
        <w:rPr>
          <w:color w:val="505050"/>
          <w:sz w:val="32"/>
        </w:rPr>
        <w:t>Comprehensive Clinical Trial Data Package</w:t>
        <w:br/>
        <w:t>Phase I through Phase III Studies</w:t>
      </w:r>
    </w:p>
    <w:p/>
    <w:p>
      <w:pPr>
        <w:jc w:val="center"/>
      </w:pPr>
      <w:r>
        <w:rPr>
          <w:color w:val="006699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sz w:val="24"/>
        </w:rPr>
        <w:t>Document ID: CDR-CV-2026-001</w:t>
      </w:r>
    </w:p>
    <w:p>
      <w:pPr>
        <w:jc w:val="center"/>
      </w:pPr>
      <w:r>
        <w:rPr>
          <w:sz w:val="24"/>
        </w:rPr>
        <w:t>Version: 3.0  |  Effective Date: April 2026</w:t>
      </w:r>
    </w:p>
    <w:p>
      <w:pPr>
        <w:jc w:val="center"/>
      </w:pPr>
      <w:r>
        <w:rPr>
          <w:sz w:val="24"/>
        </w:rPr>
        <w:t>NDA Number: 215-847  |  IND Number: 142,863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Companion Document:</w:t>
      </w:r>
    </w:p>
    <w:p>
      <w:pPr>
        <w:jc w:val="center"/>
      </w:pPr>
      <w:r>
        <w:rPr>
          <w:b/>
          <w:color w:val="006699"/>
          <w:sz w:val="24"/>
        </w:rPr>
        <w:t>Drug Product Monograph — DPM-CV-2026-001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Pharmacore Therapeutics, Inc.</w:t>
      </w:r>
    </w:p>
    <w:p>
      <w:pPr>
        <w:jc w:val="center"/>
      </w:pPr>
      <w:r>
        <w:rPr>
          <w:sz w:val="24"/>
        </w:rPr>
        <w:t>Clinical Development &amp; Biostatistics Division</w:t>
      </w:r>
    </w:p>
    <w:p>
      <w:pPr>
        <w:jc w:val="center"/>
      </w:pPr>
      <w:r>
        <w:rPr>
          <w:sz w:val="24"/>
        </w:rPr>
        <w:t>500 Research Boulevard, Cambridge, MA 02142, USA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color w:val="B40000"/>
          <w:sz w:val="24"/>
        </w:rPr>
        <w:t>CONFIDENTIAL — FOR REGULATORY USE ONLY</w:t>
      </w:r>
    </w:p>
    <w:p>
      <w:r>
        <w:br w:type="page"/>
      </w:r>
    </w:p>
    <w:p>
      <w:pPr>
        <w:pStyle w:val="Heading1"/>
      </w:pPr>
      <w:r>
        <w:t>TABLE OF CONTENTS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</w:tcPr>
          <w:p>
            <w:r>
              <w:t>1.</w:t>
            </w:r>
          </w:p>
        </w:tc>
        <w:tc>
          <w:tcPr>
            <w:tcW w:type="dxa" w:w="7920"/>
          </w:tcPr>
          <w:p>
            <w:r>
              <w:t>Clinical Development Program Overview</w:t>
            </w:r>
          </w:p>
        </w:tc>
      </w:tr>
      <w:tr>
        <w:tc>
          <w:tcPr>
            <w:tcW w:type="dxa" w:w="720"/>
          </w:tcPr>
          <w:p>
            <w:r>
              <w:t>2.</w:t>
            </w:r>
          </w:p>
        </w:tc>
        <w:tc>
          <w:tcPr>
            <w:tcW w:type="dxa" w:w="7920"/>
          </w:tcPr>
          <w:p>
            <w:r>
              <w:t>Regulatory History and Milestones</w:t>
            </w:r>
          </w:p>
        </w:tc>
      </w:tr>
      <w:tr>
        <w:tc>
          <w:tcPr>
            <w:tcW w:type="dxa" w:w="720"/>
          </w:tcPr>
          <w:p>
            <w:r>
              <w:t>3.</w:t>
            </w:r>
          </w:p>
        </w:tc>
        <w:tc>
          <w:tcPr>
            <w:tcW w:type="dxa" w:w="7920"/>
          </w:tcPr>
          <w:p>
            <w:r>
              <w:t>Nonclinical Pharmacology and Biopharmaceutics</w:t>
            </w:r>
          </w:p>
        </w:tc>
      </w:tr>
      <w:tr>
        <w:tc>
          <w:tcPr>
            <w:tcW w:type="dxa" w:w="720"/>
          </w:tcPr>
          <w:p>
            <w:r>
              <w:t>4.</w:t>
            </w:r>
          </w:p>
        </w:tc>
        <w:tc>
          <w:tcPr>
            <w:tcW w:type="dxa" w:w="7920"/>
          </w:tcPr>
          <w:p>
            <w:r>
              <w:t>Phase I Clinical Studies — Overview</w:t>
            </w:r>
          </w:p>
        </w:tc>
      </w:tr>
      <w:tr>
        <w:tc>
          <w:tcPr>
            <w:tcW w:type="dxa" w:w="720"/>
          </w:tcPr>
          <w:p>
            <w:r>
              <w:t>5.</w:t>
            </w:r>
          </w:p>
        </w:tc>
        <w:tc>
          <w:tcPr>
            <w:tcW w:type="dxa" w:w="7920"/>
          </w:tcPr>
          <w:p>
            <w:r>
              <w:t>Phase I — Individual Study Reports</w:t>
            </w:r>
          </w:p>
        </w:tc>
      </w:tr>
      <w:tr>
        <w:tc>
          <w:tcPr>
            <w:tcW w:type="dxa" w:w="720"/>
          </w:tcPr>
          <w:p>
            <w:r>
              <w:t>6.</w:t>
            </w:r>
          </w:p>
        </w:tc>
        <w:tc>
          <w:tcPr>
            <w:tcW w:type="dxa" w:w="7920"/>
          </w:tcPr>
          <w:p>
            <w:r>
              <w:t>Phase II Clinical Studies</w:t>
            </w:r>
          </w:p>
        </w:tc>
      </w:tr>
      <w:tr>
        <w:tc>
          <w:tcPr>
            <w:tcW w:type="dxa" w:w="720"/>
          </w:tcPr>
          <w:p>
            <w:r>
              <w:t>7.</w:t>
            </w:r>
          </w:p>
        </w:tc>
        <w:tc>
          <w:tcPr>
            <w:tcW w:type="dxa" w:w="7920"/>
          </w:tcPr>
          <w:p>
            <w:r>
              <w:t>Phase III — CARDIAC-SHIELD (CV-301)</w:t>
            </w:r>
          </w:p>
        </w:tc>
      </w:tr>
      <w:tr>
        <w:tc>
          <w:tcPr>
            <w:tcW w:type="dxa" w:w="720"/>
          </w:tcPr>
          <w:p>
            <w:r>
              <w:t>8.</w:t>
            </w:r>
          </w:p>
        </w:tc>
        <w:tc>
          <w:tcPr>
            <w:tcW w:type="dxa" w:w="7920"/>
          </w:tcPr>
          <w:p>
            <w:r>
              <w:t>Phase III — CARDIO-PRESS (CV-302)</w:t>
            </w:r>
          </w:p>
        </w:tc>
      </w:tr>
      <w:tr>
        <w:tc>
          <w:tcPr>
            <w:tcW w:type="dxa" w:w="720"/>
          </w:tcPr>
          <w:p>
            <w:r>
              <w:t>9.</w:t>
            </w:r>
          </w:p>
        </w:tc>
        <w:tc>
          <w:tcPr>
            <w:tcW w:type="dxa" w:w="7920"/>
          </w:tcPr>
          <w:p>
            <w:r>
              <w:t>Phase III — ANGI-RESOLVE (CV-303)</w:t>
            </w:r>
          </w:p>
        </w:tc>
      </w:tr>
      <w:tr>
        <w:tc>
          <w:tcPr>
            <w:tcW w:type="dxa" w:w="720"/>
          </w:tcPr>
          <w:p>
            <w:r>
              <w:t>10.</w:t>
            </w:r>
          </w:p>
        </w:tc>
        <w:tc>
          <w:tcPr>
            <w:tcW w:type="dxa" w:w="7920"/>
          </w:tcPr>
          <w:p>
            <w:r>
              <w:t>Integrated Safety Analysis</w:t>
            </w:r>
          </w:p>
        </w:tc>
      </w:tr>
      <w:tr>
        <w:tc>
          <w:tcPr>
            <w:tcW w:type="dxa" w:w="720"/>
          </w:tcPr>
          <w:p>
            <w:r>
              <w:t>11.</w:t>
            </w:r>
          </w:p>
        </w:tc>
        <w:tc>
          <w:tcPr>
            <w:tcW w:type="dxa" w:w="7920"/>
          </w:tcPr>
          <w:p>
            <w:r>
              <w:t>Population Pharmacokinetic Modeling</w:t>
            </w:r>
          </w:p>
        </w:tc>
      </w:tr>
      <w:tr>
        <w:tc>
          <w:tcPr>
            <w:tcW w:type="dxa" w:w="720"/>
          </w:tcPr>
          <w:p>
            <w:r>
              <w:t>12.</w:t>
            </w:r>
          </w:p>
        </w:tc>
        <w:tc>
          <w:tcPr>
            <w:tcW w:type="dxa" w:w="7920"/>
          </w:tcPr>
          <w:p>
            <w:r>
              <w:t>Exposure-Response Analyses</w:t>
            </w:r>
          </w:p>
        </w:tc>
      </w:tr>
      <w:tr>
        <w:tc>
          <w:tcPr>
            <w:tcW w:type="dxa" w:w="720"/>
          </w:tcPr>
          <w:p>
            <w:r>
              <w:t>13.</w:t>
            </w:r>
          </w:p>
        </w:tc>
        <w:tc>
          <w:tcPr>
            <w:tcW w:type="dxa" w:w="7920"/>
          </w:tcPr>
          <w:p>
            <w:r>
              <w:t>Benefit-Risk Assessment</w:t>
            </w:r>
          </w:p>
        </w:tc>
      </w:tr>
      <w:tr>
        <w:tc>
          <w:tcPr>
            <w:tcW w:type="dxa" w:w="720"/>
          </w:tcPr>
          <w:p>
            <w:r>
              <w:t>14.</w:t>
            </w:r>
          </w:p>
        </w:tc>
        <w:tc>
          <w:tcPr>
            <w:tcW w:type="dxa" w:w="7920"/>
          </w:tcPr>
          <w:p>
            <w:r>
              <w:t>Post-Marketing Commitments and Ongoing Studies</w:t>
            </w:r>
          </w:p>
        </w:tc>
      </w:tr>
      <w:tr>
        <w:tc>
          <w:tcPr>
            <w:tcW w:type="dxa" w:w="720"/>
          </w:tcPr>
          <w:p>
            <w:r>
              <w:t>15.</w:t>
            </w:r>
          </w:p>
        </w:tc>
        <w:tc>
          <w:tcPr>
            <w:tcW w:type="dxa" w:w="7920"/>
          </w:tcPr>
          <w:p>
            <w:r>
              <w:t>Cross-Reference Map to Drug Product Monograph</w:t>
            </w:r>
          </w:p>
        </w:tc>
      </w:tr>
      <w:tr>
        <w:tc>
          <w:tcPr>
            <w:tcW w:type="dxa" w:w="720"/>
          </w:tcPr>
          <w:p>
            <w:r>
              <w:t>16.</w:t>
            </w:r>
          </w:p>
        </w:tc>
        <w:tc>
          <w:tcPr>
            <w:tcW w:type="dxa" w:w="7920"/>
          </w:tcPr>
          <w:p>
            <w:r>
              <w:t>Appendices and Data Listings</w:t>
            </w:r>
          </w:p>
        </w:tc>
      </w:tr>
    </w:tbl>
    <w:p>
      <w:r>
        <w:br w:type="page"/>
      </w:r>
    </w:p>
    <w:p>
      <w:pPr>
        <w:pStyle w:val="Heading1"/>
      </w:pPr>
      <w:r>
        <w:t>1. Clinical Development Program Overview</w:t>
      </w:r>
    </w:p>
    <w:p>
      <w:pPr>
        <w:pStyle w:val="Heading2"/>
      </w:pPr>
      <w:r>
        <w:t>1.1 Development Rationale</w:t>
      </w:r>
    </w:p>
    <w:p>
      <w:r>
        <w:t>The clinical development program for Cardivex® (metopravil succinate) was designed to establish the efficacy, safety, and pharmacokinetic profile of a novel highly selective beta-1 adrenergic receptor antagonist across three cardiovascular indications: hypertension, heart failure with reduced ejection fraction (HFrEF), and chronic stable angina pectoris. The program was guided by FDA Pre-IND meeting feedback (Type B meeting, June 2022) and EMA Scientific Advice (October 2022), incorporating agreed-upon endpoints, trial designs, and statistical approaches. (See DPM-CV-2026-001, §1)</w:t>
      </w:r>
    </w:p>
    <w:p>
      <w:pPr>
        <w:pStyle w:val="Heading2"/>
      </w:pPr>
      <w:r>
        <w:t>1.2 Program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57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Population</w:t>
            </w:r>
          </w:p>
        </w:tc>
        <w:tc>
          <w:tcPr>
            <w:tcW w:type="dxa" w:w="57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Endpoint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CV-101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SAD, DB, PC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Healthy volunteers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Safety, 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CV-102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MAD, DB, PC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Healthy volunteers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Safety, 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14 days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CV-103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Elderly healthy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CV-104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Food effect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2-period XO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CV-105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PC, XO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Healthy (TQT)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ΔΔQTcF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4-period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CV-106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Hepatic impairment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CV-107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Renal impairment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CV-108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CYP2D6 phenotypes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CV-109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Obese subjects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Single dose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CV-201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PC, PG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Hypertension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680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ΔSBP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 weeks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CV-202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PC, PG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Heart failure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ΔLVEF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24 weeks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CV-204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Open-label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Adolescents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PK, Safety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 weeks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CV-301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PC, PG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HFrEF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4,218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CV composite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Event-driven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CV-302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AC, PG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Hypertension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2,842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24h ABPM SBP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 weeks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CV-303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DB, PC, XO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Stable angina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Exercise time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 wk × 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Complete</w:t>
            </w:r>
          </w:p>
        </w:tc>
      </w:tr>
    </w:tbl>
    <w:p/>
    <w:p>
      <w:r>
        <w:t>DB=double-blind; PC=placebo-controlled; AC=active-controlled; PG=parallel-group; XO=crossover; SAD=single ascending dose; MAD=multiple ascending dose; TQT=thorough QT.</w:t>
      </w:r>
    </w:p>
    <w:p>
      <w:pPr>
        <w:pStyle w:val="Heading2"/>
      </w:pPr>
      <w:r>
        <w:t>1.3 Overall Patient Exposure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Exposure Category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Placebo/Comparator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patients randomized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8,648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5,203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13,851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Patients receiving ≥1 dose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8,146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4,701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12,847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Exposure ≥6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5,842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3,124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8,966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Exposure ≥12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3,876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5,962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Exposure ≥24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2,142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1,186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3,328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patient-years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12,218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7,052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19,270</w:t>
            </w:r>
          </w:p>
        </w:tc>
      </w:tr>
    </w:tbl>
    <w:p/>
    <w:p>
      <w:r>
        <w:br w:type="page"/>
      </w:r>
    </w:p>
    <w:p>
      <w:pPr>
        <w:pStyle w:val="Heading1"/>
      </w:pPr>
      <w:r>
        <w:t>2. Regulatory History and 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6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Authority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Jun 2022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Pre-IND Meeting (Type 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Agreement on Phase I–III development plan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Oct 2022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Scientific Advice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Endorsement of CARDIAC-SHIELD endpoint/design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Jan 2023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IND Submission (142,863)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 effective (30-day default)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Mar 2023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CTA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 (multiple EU MSs)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 for Phase I–III conduct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Apr 2023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Phase I initiation (CV-101)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FIH dosing in healthy volunteers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Nov 2023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End-of-Phase I meeting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Agreement on Phase II dose-ranging design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Feb 2024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Phase II initiation (CV-201)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FDA/EMA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CARDINAL trial enrollment begins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Aug 2024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End-of-Phase II meeting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III design agreed; SPA for CV-301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Sep 2024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Special Protocol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 agreement for CARDIAC-SHIELD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Oct 2024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Phase III initiation (CV-301)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CARDIAC-SHIELD FPI at 312 sites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Jun 2025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NDA Submission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Rolling submission completed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Jul 2025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MAA Submission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procedure initiated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Oct 2025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FDA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NDA 215-847 approved for 3 indications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Dec 2025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EMA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MA granted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Mar 2026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Post-marketing commitments agreed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PMR studies CV-401, CV-402 initiated</w:t>
            </w:r>
          </w:p>
        </w:tc>
      </w:tr>
    </w:tbl>
    <w:p/>
    <w:p>
      <w:r>
        <w:br w:type="page"/>
      </w:r>
    </w:p>
    <w:p>
      <w:pPr>
        <w:pStyle w:val="Heading1"/>
      </w:pPr>
      <w:r>
        <w:t>3. Nonclinical Pharmacology and Biopharmaceutics</w:t>
      </w:r>
    </w:p>
    <w:p>
      <w:pPr>
        <w:pStyle w:val="Heading2"/>
      </w:pPr>
      <w:r>
        <w:t>3.1 In Vitro Pharmacology</w:t>
      </w:r>
    </w:p>
    <w:p>
      <w:r>
        <w:t>Radioligand binding assays using [³H]-CGP 12177 confirmed high-affinity binding to human β₁-adrenergic receptors (Ki = 2.4 ± 0.3 nM) with 380-fold selectivity over β₂ receptors. Functional assays (cAMP inhibition in CHO cells expressing human β₁ receptors) yielded an IC₅₀ of 4.8 ± 0.6 nM. A comprehensive off-target selectivity screen (CEREP panel, 68 targets) showed no significant activity (&gt;10 µM) at any non-adrenergic target. (See DPM-CV-2026-001, §6)</w:t>
      </w:r>
    </w:p>
    <w:p>
      <w:pPr>
        <w:pStyle w:val="Heading2"/>
      </w:pPr>
      <w:r>
        <w:t>3.2 Biopharmaceutics and IVIVC</w:t>
      </w:r>
    </w:p>
    <w:p>
      <w:r>
        <w:t>BCS Classification: Class I (high solubility, high permeability). Caco-2 Papp(A→B): 28.4 × 10⁻⁶ cm/s, indicating high intestinal permeability. No significant efflux by P-glycoprotein (efflux ratio 1.2). A Level A IVIVC was established correlating in vitro dissolution (USP Apparatus II) with in vivo absorption fraction (Levy plot, R² = 0.987). This IVIVC supports dissolution specifications as validated bioequivalence surrogates for minor formulation changes. (See DPM-CV-2026-001, §4.3)</w:t>
      </w:r>
    </w:p>
    <w:p>
      <w:pPr>
        <w:pStyle w:val="Heading2"/>
      </w:pPr>
      <w:r>
        <w:t>3.3 Nonclinical Toxicology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Species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Doses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NOAEL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Findings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Acute toxicity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Rat/Mouse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14-day obs.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Up to 2000 mg/kg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500 mg/kg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LD₅₀ &gt;2000 mg/kg oral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Repeat-dose (GLP)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26 weeks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10, 50, 200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50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Bradycardia, ↓BP at 200; reversible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Repeat-dose (GLP)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Dog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39 weeks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5, 25, 100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25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Bradycardia at 100; reversible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Carcinogenicity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Mouse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104 weeks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25, 75, 225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225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carcinogenic potential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Carcinogenicity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104 weeks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10, 50, 200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200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carcinogenic potential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Ames test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In vitro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Up to 5000 µg/plate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Negative ± S9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Chromosomal aberration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CHO cells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Up to 500 µg/mL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Negative ± S9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Micronucleus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Mouse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In vivo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Up to 500 mg/kg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Fertility (GLP)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GD −70 to LD 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10, 50, 200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200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effect on fertility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Embryo-fetal (GLP)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GD 6–17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50, 150, 450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50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↓ Fetal wt at ≥150; no terata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Embryo-fetal (GLP)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Rabbit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GD 6–18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25, 50, 100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100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adverse findings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Juvenile toxicity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Rat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PND 21–90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5, 25, 100 mg/kg/day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25 mg/kg/day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↓ Growth at 100; reversible</w:t>
            </w:r>
          </w:p>
        </w:tc>
      </w:tr>
    </w:tbl>
    <w:p/>
    <w:p>
      <w:r>
        <w:br w:type="page"/>
      </w:r>
    </w:p>
    <w:p>
      <w:pPr>
        <w:pStyle w:val="Heading1"/>
      </w:pPr>
      <w:r>
        <w:t>4. Phase I Clinical Studies — Overview</w:t>
      </w:r>
    </w:p>
    <w:p>
      <w:r>
        <w:t>Nine Phase I studies were conducted to characterize the safety, tolerability, and pharmacokinetics of metopravil succinate in healthy volunteers and special populations. All Phase I studies were conducted at PAREXEL Early Phase Clinical Unit (Baltimore, MD) and Covance CRU (Madison, WI) under GCP compliance.</w:t>
      </w:r>
    </w:p>
    <w:p>
      <w:pPr>
        <w:pStyle w:val="Heading2"/>
      </w:pPr>
      <w:r>
        <w:t>4.1 Phase I Program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3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Result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Safety Summary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CV-101 (SAD)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MTD, PK linearity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MTD 400 mg; linear 10–400 mg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DLT at 600 mg (bradycardia HR 38)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CV-102 (MAD)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Steady-state PK, safety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 Day 3–4; RI 1.25–1.35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DLTs; AEs: fatigue, dizziness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CV-103 (Elderly)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 in elderly ≥65 y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AUC ↑28%; Cmax ↑22%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Well tolerated; 1 mild dizziness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CV-104 (Food)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Food effect on PK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Cmax ↑15%, AUC ↑10%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safety concerns; not clinically significant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CV-105 (TQT)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Cardiac repolarization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ΔΔQTcF +3.2 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Assay sensitivity confirmed (moxi +12.4 ms)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CV-106 (Hepatic)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 in hepatic impairment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CP-C: AUC ↑145%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Severe impairment contraindicated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CV-107 (Renal)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 in renal impairment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ESRD: AUC ↑56%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Dose cap 50 mg for ESRD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CV-108 (CYP2D6)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 by CYP2D6 phenotype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PM: AUC ↑42%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dose adjustment (wide TI)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CV-109 (Obesity)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 in BMI &gt;35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AUC ↑8%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dose adjustment 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Phase I — Individual Study Reports</w:t>
      </w:r>
    </w:p>
    <w:p>
      <w:pPr>
        <w:pStyle w:val="Heading2"/>
      </w:pPr>
      <w:r>
        <w:t>5.1 Study CV-101: Single Ascending Dose</w:t>
      </w:r>
    </w:p>
    <w:p>
      <w:pPr>
        <w:pStyle w:val="Heading3"/>
      </w:pPr>
      <w:r>
        <w:t>5.1.1 Study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Title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 Phase I, Randomized, Double-Blind, Placebo-Controlled, Single Ascending Dose Study to Evaluate the Safety, Tolerability, and Pharmacokinetics of Metopravil Succinate in Healthy Adult Volunteers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Randomized, double-blind, placebo-controlled, sequential dose-escalation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Healthy male and female volunteers, 18–45 years, BMI 18.5–30.0 kg/m²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Dose Cohorts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10, 25, 50, 100, 200, 400, 600 mg (7 cohorts)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Randomization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6 active : 2 placebo per cohort (3:1 ratio)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Single dose; 72-hour PK sampling; 14-day safety follow-up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2 Phase I units (USA)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April 2023 – August 2023</w:t>
            </w:r>
          </w:p>
        </w:tc>
      </w:tr>
    </w:tbl>
    <w:p/>
    <w:p>
      <w:pPr>
        <w:pStyle w:val="Heading3"/>
      </w:pPr>
      <w:r>
        <w:t>5.1.2 PK Results by Cohort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Cohort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Dose (mg)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Cmax (ng/mL)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Tmax (h)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AUC₀₋∞ (ng·h/mL)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t½ (h)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CL/F (L/h)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Vd/F (L)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4.8 ± 1.2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3.6 ± 0.8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52 ± 14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12.1 ± 2.0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198 ± 48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3,420 ± 820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12.4 ± 2.8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3.8 ± 0.9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138 ± 28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12.8 ± 1.8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186 ± 38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3,380 ± 740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42.6 ± 8.4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4.2 ± 1.1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528 ± 84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13.8 ± 2.4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96 ± 18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1,920 ± 380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88.3 ± 14.2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4.8 ± 1.3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1,112 ± 162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14.6 ± 2.6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91 ± 17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1,860 ± 340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172.5 ± 28.6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5.4 ± 1.2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2,248 ± 346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15.2 ± 2.8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90 ± 14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1,840 ± 320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338.4 ± 52.0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5.8 ± 1.4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4,620 ± 680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16.1 ± 3.2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88 ± 14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1,980 ± 360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498.2 ± 76.4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6.2 ± 1.6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7,128 ± 1042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16.8 ± 3.4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86 ± 12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2,040 ± 380</w:t>
            </w:r>
          </w:p>
        </w:tc>
      </w:tr>
    </w:tbl>
    <w:p/>
    <w:p>
      <w:pPr>
        <w:pStyle w:val="Heading3"/>
      </w:pPr>
      <w:r>
        <w:t>5.1.3 Dose Linearity Assessment</w:t>
      </w:r>
    </w:p>
    <w:p>
      <w:r>
        <w:t>Power model analysis: AUC₀₋∞ = α × Dose^β. Estimated β = 1.02 (90% CI: 0.96, 1.08), confirming dose-proportional exposure from 10–400 mg. At 600 mg, slight supra-proportionality was observed (β = 1.08), possibly due to saturation of first-pass metabolism.</w:t>
      </w:r>
    </w:p>
    <w:p>
      <w:pPr>
        <w:pStyle w:val="Heading3"/>
      </w:pPr>
      <w:r>
        <w:t>5.1.4 Safety and Tolerability (CV-101)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Adverse Event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25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50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100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400 mg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600 mg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Any AE, n (%)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 (17%)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 (17%)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 (33%)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 (33%)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 (50%)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 (67%)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 (83%)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 (21%)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Headache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Dizziness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Fatigue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Bradycardia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3*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Nausea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Hypotension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t>*One DLT: symptomatic bradycardia (HR 38 bpm, 4 hours post-dose) requiring atropine. Resolved within 1 hour.</w:t>
      </w:r>
    </w:p>
    <w:p>
      <w:r>
        <w:br w:type="page"/>
      </w:r>
    </w:p>
    <w:p>
      <w:pPr>
        <w:pStyle w:val="Heading2"/>
      </w:pPr>
      <w:r>
        <w:t>5.2 Study CV-102: Multiple Ascending Dose</w:t>
      </w:r>
    </w:p>
    <w:p>
      <w:r>
        <w:t>Four dose cohorts (25, 50, 100, 200 mg once daily × 14 days) in 48 subjects (12/cohort; 9:3 active:placebo). Steady-state was confirmed by Day 3–4. Accumulation ratio: 1.25–1.35. (See DPM-CV-2026-001, §8)</w:t>
      </w:r>
    </w:p>
    <w:p>
      <w:pPr>
        <w:pStyle w:val="Heading3"/>
      </w:pPr>
      <w:r>
        <w:t>5.2.1 Steady-State PK Parameters (Day 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25 mg (N=9)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50 mg (N=9)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100 mg (N=9)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 mg (N=9)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Cmax,ss (ng/mL)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15.8 ± 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54.2 ± 9.8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112.4 ± 18.6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218.6 ± 36.2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Cmin,ss (ng/mL)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4.2 ± 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14.6 ± 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30.8 ± 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62.4 ± 12.8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AUCτ,ss (ng·h/mL)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168 ± 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612 ± 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1,286 ± 186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2,642 ± 392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Fluctuation 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1.42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Accumulation Ratio (Rac)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1.35 ± 0.12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1.30 ± 0.10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1.28 ± 0.08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1.25 ± 0.06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PTF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58.6%</w:t>
            </w:r>
          </w:p>
        </w:tc>
      </w:tr>
    </w:tbl>
    <w:p/>
    <w:p>
      <w:r>
        <w:t>PTF = Peak-trough fluctuation.</w:t>
      </w:r>
    </w:p>
    <w:p>
      <w:pPr>
        <w:pStyle w:val="Heading2"/>
      </w:pPr>
      <w:r>
        <w:t>5.3 Study CV-105: Thorough QT/QTc Study</w:t>
      </w:r>
    </w:p>
    <w:p>
      <w:r>
        <w:t>A 4-period Williams Latin square crossover in 180 subjects: placebo, Cardivex® 100 mg, Cardivex® 400 mg (supra-therapeutic), and moxifloxacin 400 mg (positive control). Primary endpoint: time-matched ΔΔQTcF. Pre-specified non-inferiority margin: upper bound of two-sided 90% CI &lt;10 ms at all 12 time points post-dose. (See DPM-CV-2026-001, §7.1)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 Post-dose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ΔΔQTcF 100 mg (90% CI)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ΔΔQTcF 400 mg (90% CI)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Moxifloxacin (90% CI)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 (−1.2, 2.0)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 (−0.4, 2.8)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5.8 (4.2, 7.4)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 (−0.8, 2.4)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 (0.4, 3.6)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8.6 (7.0, 10.2)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 (−0.6, 2.6)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2.6 (1.0, 4.2)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10.4 (8.8, 12.0)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 (−1.0, 2.2)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 (1.1, 5.3)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12.4 (10.8, 14.0)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 (−1.4, 1.8)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 (1.2, 4.4)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11.2 (9.6, 12.8)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−0.4 (−2.0, 1.2)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2.2 (0.6, 3.8)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9.4 (7.8, 11.0)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−0.8 (−2.4, 0.8)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 (−0.2, 3.0)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 (4.6, 7.8)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24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−0.2 (−1.8, 1.4)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 (−1.0, 2.2)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2.4 (0.8, 4.0)</w:t>
            </w:r>
          </w:p>
        </w:tc>
      </w:tr>
    </w:tbl>
    <w:p/>
    <w:p>
      <w:r>
        <w:t>Conclusion: No QTc prolongation concern. Positive control validated assay sensitivity.</w:t>
      </w:r>
    </w:p>
    <w:p>
      <w:pPr>
        <w:pStyle w:val="Heading2"/>
      </w:pPr>
      <w:r>
        <w:t>5.4 Drug-Drug Interaction Studies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Interacting Drug</w:t>
            </w:r>
          </w:p>
        </w:tc>
        <w:tc>
          <w:tcPr>
            <w:tcW w:type="dxa" w:w="43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Metopravil AUC Change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Metopravil Cmax Change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Conclusion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Fluoxetine 20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↑68%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↑42%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Reduce Cardivex® dose 50%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Paroxetine 20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↑62%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↑38%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Reduce Cardivex® dose 50%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Ketoconazole 400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↑24%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↑18%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dose adjustment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Rifampicin 600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↓58%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↓45%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May need dose increase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Cimetidine 800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↑32%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↑22%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Consider alternative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Ritonavir 100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↑82%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↑56%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Avoid; start 25 mg if essential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Digoxin 0.25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change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Digoxin AUC ↑18%; monitor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CV-117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Warfarin 25 mg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change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 interaction; INR unchanged</w:t>
            </w:r>
          </w:p>
        </w:tc>
      </w:tr>
    </w:tbl>
    <w:p/>
    <w:p>
      <w:r>
        <w:br w:type="page"/>
      </w:r>
    </w:p>
    <w:p>
      <w:pPr>
        <w:pStyle w:val="Heading1"/>
      </w:pPr>
      <w:r>
        <w:t>6. Phase II Clinical Studies</w:t>
      </w:r>
    </w:p>
    <w:p>
      <w:pPr>
        <w:pStyle w:val="Heading2"/>
      </w:pPr>
      <w:r>
        <w:t>6.1 Study CV-201: CARDINAL — Dose-Ranging in Hypertension</w:t>
      </w:r>
    </w:p>
    <w:p>
      <w:pPr>
        <w:pStyle w:val="Heading3"/>
      </w:pPr>
      <w:r>
        <w:t>6.1.1 Study Synopsis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Title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 Multicenter, Randomized, Double-Blind, Placebo-Controlled, Parallel-Group, Dose-Ranging Study of Metopravil Succinate ER in Patients with Mild to Moderate Essential Hypertension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Establish dose-response for SBP reduction; determine optimal Phase III dose range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Adults 18–75 y; sitting SBP 140–179, DBP 90–109 mmHg; BMI ≤40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Treatments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Placebo or Cardivex® 25, 50, 100, 200 mg QD × 12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Randomization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1:1:1:1:1 stratified by baseline SBP (&lt;160 vs ≥160) and diabetes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Primary Endpoint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Change from baseline in mean sitting SBP at Week 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Secondary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SBP responder rate (&lt;140 mmHg); ΔDBP; 24h ABPM (subset, N=200)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Statistical Method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ANCOVA; Dunnett's multiple comparisons; MMRM for longitudinal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28 sites in 6 countries (USA, Canada, UK, Germany, Australia, Brazil)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February 2024 – October 2024</w:t>
            </w:r>
          </w:p>
        </w:tc>
      </w:tr>
    </w:tbl>
    <w:p/>
    <w:p>
      <w:pPr>
        <w:pStyle w:val="Heading3"/>
      </w:pPr>
      <w:r>
        <w:t>6.1.2 Patient Disposition (CONSORT)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25 mg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50 mg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100 mg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 mg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Screened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924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Screen failures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244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Randomized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Completed 12 weeks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644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Discontinued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 (5.9%)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 (6.0%)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 (4.3%)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 (4.4%)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 (5.9%)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36 (5.3%)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— Adverse events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— Withdrew consent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— Lost to follow-up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</w:t>
            </w:r>
          </w:p>
        </w:tc>
      </w:tr>
    </w:tbl>
    <w:p/>
    <w:p>
      <w:pPr>
        <w:pStyle w:val="Heading3"/>
      </w:pPr>
      <w:r>
        <w:t>6.1.3 Efficacy — SBP Change at Week 12 (Primary)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57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Baseline (mmHg)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12 (mmHg)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ΔSBP (mmHg)</w:t>
            </w:r>
          </w:p>
        </w:tc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vs Placebo (95% CI)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Placebo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154.2 ± 8.6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150.0 ± 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−4.2 ± 6.8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25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153.8 ± 8.2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145.2 ± 8.4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−8.6 ± 6.2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−4.4 (−6.2, −2.6)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0.0014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154.6 ± 8.8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140.8 ± 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−13.8 ± 5.8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−9.6 (−11.4, −7.8)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&lt;0.0001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100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153.4 ± 8.4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135.0 ± 6.8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−18.4 ± 5.4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−14.2 (−16.0, −12.4)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&lt;0.0001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200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154.8 ± 9.0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132.6 ± 7.2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−22.2 ± 5.6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−18.0 (−19.8, −16.2)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&lt;0.0001</w:t>
            </w:r>
          </w:p>
        </w:tc>
      </w:tr>
    </w:tbl>
    <w:p/>
    <w:p>
      <w:r>
        <w:t>ANCOVA model with baseline SBP, diabetes, and region as covariates. Dunnett-adjusted p-values.</w:t>
      </w:r>
    </w:p>
    <w:p>
      <w:r>
        <w:br w:type="page"/>
      </w:r>
    </w:p>
    <w:p>
      <w:pPr>
        <w:pStyle w:val="Heading2"/>
      </w:pPr>
      <w:r>
        <w:t>6.2 Study CV-202: CARDIAC-PILOT — Dose-Finding in Heart Failure</w:t>
      </w:r>
    </w:p>
    <w:p>
      <w:pPr>
        <w:pStyle w:val="Heading3"/>
      </w:pPr>
      <w:r>
        <w:t>6.2.1 Study Design</w:t>
      </w:r>
    </w:p>
    <w:p>
      <w:r>
        <w:t>Randomized, double-blind, placebo-controlled, parallel-group, dose-finding study in 420 patients with NYHA Class II–III HF (LVEF ≤35%) on stable background therapy (ACE-I/ARB + diuretic ≥4 weeks). Patients randomized 1:1:1:1 to placebo, Cardivex® 50, 100, or 200 mg QD with mandatory 4-week up-titration. Primary endpoint: ΔLVEF at Week 24 by echocardiography.</w:t>
      </w:r>
    </w:p>
    <w:p>
      <w:pPr>
        <w:pStyle w:val="Heading3"/>
      </w:pPr>
      <w:r>
        <w:t>6.2.2 LVEF Results at Week 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57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 LVEF (%)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24 LVEF (%)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ΔLVEF (%)</w:t>
            </w:r>
          </w:p>
        </w:tc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vs Placebo (95% CI)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Placebo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28.2 ± 5.8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29.4 ± 6.0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+1.2 ± 4.2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27.8 ± 5.6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31.4 ± 5.8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+3.6 ± 3.8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+2.4 (0.8, 4.0)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0.008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100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28.4 ± 6.0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34.2 ± 5.4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+5.8 ± 4.0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+4.6 (3.0, 6.2)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200 mg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28.0 ± 5.4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34.2 ± 5.6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+6.2 ± 4.4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+5.0 (3.2, 6.8)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pPr>
        <w:pStyle w:val="Heading3"/>
      </w:pPr>
      <w:r>
        <w:t>6.2.3 Heart Failure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50 mg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100 mg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 mg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NYHA improvement ≥1 class (%)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14.3%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24.8%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36.2%*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38.1%*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6-MWD change (m)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+8.4 ± 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+28.6 ± 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+48.2 ± 36*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+52.4 ± 40*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NT-proBNP change (%)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−6.2%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−18.4%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−32.6%*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−36.8%*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KCCQ-OSS change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+2.4 ± 8.2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+6.8 ± 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+12.4 ± 6.8*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+13.2 ± 7.2*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HF hospitalization (%)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12.4%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8.6%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5.7%*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5.2%*</w:t>
            </w:r>
          </w:p>
        </w:tc>
      </w:tr>
    </w:tbl>
    <w:p/>
    <w:p>
      <w:r>
        <w:t>*p&lt;0.01 vs placebo. 6-MWD = 6-minute walk distance; KCCQ-OSS = Kansas City Cardiomyopathy Questionnaire Overall Summary Score.</w:t>
      </w:r>
    </w:p>
    <w:p>
      <w:r>
        <w:t>The 100 mg dose was selected as the optimal target dose for Phase III, providing near-maximal efficacy with a more favorable tolerability profile than 200 mg (symptomatic bradycardia: 2.9% vs. 6.7% at 200 mg). The 50–200 mg range was carried forward for Phase III.</w:t>
      </w:r>
    </w:p>
    <w:p>
      <w:r>
        <w:br w:type="page"/>
      </w:r>
    </w:p>
    <w:p>
      <w:pPr>
        <w:pStyle w:val="Heading1"/>
      </w:pPr>
      <w:r>
        <w:t>7. Phase III — CARDIAC-SHIELD (CV-301) — Heart Failure Outcomes</w:t>
      </w:r>
    </w:p>
    <w:p>
      <w:pPr>
        <w:pStyle w:val="Heading2"/>
      </w:pPr>
      <w:r>
        <w:t>7.1 Study Synopsis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Full Title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CARDIAC-SHIELD: A Multicenter, Randomized, Double-Blind, Placebo-Controlled, Event-Driven Trial of Metopravil Succinate ER in Patients with Heart Failure and Reduced Ejection Fraction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Superiority of Cardivex® vs. placebo for composite CV death, non-fatal MI, and HF hospitalization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Randomized, double-blind, placebo-controlled, parallel-group, event-driven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Adults ≥18 y; NYHA II–IV; LVEF ≤40%; stable on ACE-I/ARB + diuretic ≥4 wk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 Exclusions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Recent MI/ACS (&lt;90 days); cardiac surgery planned; SBP &lt;95 mmHg; HR &lt;50 bpm; severe COPD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Randomization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1:1 Cardivex® : Placebo; stratified by NYHA class, LVEF (≤30 vs 31–40%), region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Treatment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Titration: 25→50→100→200 mg over 8 weeks; target: 200 mg QD; maintain ≥50 mg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Primary Endpoint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Time to first event of composite: CV death, non-fatal MI, HF hospitalization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 Secondary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All-cause mortality; each composite component individually; ΔNYHA; ΔNT-proBNP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Statistical Plan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Log-rank test; Cox proportional hazards; hierarchical testing for secondaries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Event Target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842 primary events (90% power, α=0.05, HR=0.80)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312 sites in 28 countries across NA, EU, LATAM, APAC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FPI: October 2024; LPI: February 2025; Data cutoff: October 2025; Median f/u: 28 months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DSMB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Independent DSMB with 3 interim analyses (O'Brien-Fleming boundaries)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FDA SPA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Special Protocol Assessment agreement obtained August 2024</w:t>
            </w:r>
          </w:p>
        </w:tc>
      </w:tr>
    </w:tbl>
    <w:p/>
    <w:p>
      <w:r>
        <w:br w:type="page"/>
      </w:r>
    </w:p>
    <w:p>
      <w:pPr>
        <w:pStyle w:val="Heading2"/>
      </w:pPr>
      <w:r>
        <w:t>7.2 Baseline Demographics and Disease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Characteristic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(N=2,112)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(N=2,106)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Age, mean ± SD (years)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64.2 ± 11.4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63.8 ± 11.6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 ≥65,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886 (42.0%)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862 (40.9%)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 ≥75,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298 (14.1%)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286 (13.6%)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Male,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1,478 (70.0%)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1,464 (69.5%)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Race: White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1,584 (75.0%)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1,580 (75.0%)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Race: Black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316 (15.0%)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326 (15.5%)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Race: Asian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148 (7.0%)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136 (6.5%)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Race: Other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 (3.0%)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 (3.0%)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BMI, mean ± SD (kg/m²)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28.4 ± 5.2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28.2 ± 5.0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NYHA II,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1,330 (63.0%)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1,348 (64.0%)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NYHA III,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698 (33.0%)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674 (32.0%)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0.46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NYHA IV,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84 (4.0%)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84 (4.0%)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LVEF, mean ± SD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28.4 ± 6.8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28.6 ± 7.0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Ischemic etiology,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1,310 (62.0%)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1,286 (61.1%)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SBP, mean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122.4 ± 16.2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122.8 ± 16.0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HR, mean (bpm)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76.4 ± 12.8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76.8 ± 12.4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eGFR, mean (mL/min/1.73m²)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68.4 ± 22.6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67.8 ± 22.2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NT-proBNP, median (pg/mL)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1,842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1,786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Diabetes,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634 (30.0%)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652 (31.0%)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Hypertension,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1,478 (70.0%)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1,474 (70.0%)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Prior MI,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824 (39.0%)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812 (38.6%)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ACE-I/ARB,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1,944 (92.0%)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1,936 (91.9%)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Diuretic,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1,754 (83.1%)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1,726 (82.0%)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0.34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MRA,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1,056 (50.0%)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1,042 (49.5%)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ICD/CRT, n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422 (20.0%)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428 (20.3%)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0.78</w:t>
            </w:r>
          </w:p>
        </w:tc>
      </w:tr>
    </w:tbl>
    <w:p/>
    <w:p>
      <w:r>
        <w:br w:type="page"/>
      </w:r>
    </w:p>
    <w:p>
      <w:pPr>
        <w:pStyle w:val="Heading2"/>
      </w:pPr>
      <w:r>
        <w:t>7.3 Primary and Secondary Efficacy Results</w:t>
      </w:r>
    </w:p>
    <w:p>
      <w:pPr>
        <w:pStyle w:val="Heading3"/>
      </w:pPr>
      <w:r>
        <w:t>7.3.1 Primary Composite Endpoint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n (%)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n (%)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HR (95% CI)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ARR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PRIMARY COMPOSITE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412 (19.5%)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564 (26.8%)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0.72 (0.63–0.82)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7.3%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CV death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168 (8.0%)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242 (11.5%)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0.68 (0.56–0.83)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3.5%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Non-fatal MI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98 (4.6%)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126 (6.0%)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0.77 (0.59–1.00)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1.4%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HF hospitalization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218 (10.3%)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312 (14.8%)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0.69 (0.58–0.82)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4.5%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22</w:t>
            </w:r>
          </w:p>
        </w:tc>
      </w:tr>
    </w:tbl>
    <w:p/>
    <w:p>
      <w:pPr>
        <w:pStyle w:val="Heading3"/>
      </w:pPr>
      <w:r>
        <w:t>7.3.2 Key Secondary Endpoints (Hierarchical Testing)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 (95% CI)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All-cause mortality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224 (10.6%)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310 (14.7%)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HR 0.71 (0.60–0.84)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CV death + HF hospitalization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336 (15.9%)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482 (22.9%)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HR 0.69 (0.60–0.79)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Total HF hospitalizations (recurrent)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RR 0.65 (0.56–0.76)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NYHA improvement ≥1 class at 12 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648 (30.7%)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432 (20.5%)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OR 1.72 (1.48–2.00)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NT-proBNP % change at 12 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−38.2%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−8.4%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Ratio 0.67 (0.62–0.73)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6-MWD change at 12 mo (m)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+42.6 ± 38.4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+12.8 ± 34.2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Δ 29.8 (24.2, 35.4)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KCCQ-OSS change at 12 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+14.2 ± 12.6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+4.8 ± 10.4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Δ 9.4 (7.8, 11.0)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LVEF change at 12 mo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+6.4 ± 4.8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+1.8 ± 3.6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Δ 4.6 (3.8, 5.4)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pPr>
        <w:pStyle w:val="Heading2"/>
      </w:pPr>
      <w:r>
        <w:t>7.4 Subgroup Analyses (Forest Plot Data)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Subgroup</w:t>
            </w:r>
          </w:p>
        </w:tc>
        <w:tc>
          <w:tcPr>
            <w:tcW w:type="dxa" w:w="57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Events Cardivex®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Events Placebo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HR (95% CI)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Interaction 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Age &lt;65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2,186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 (0.58–0.84)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0.62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Age ≥65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2,032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0.74 (0.61–0.90)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Male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2,942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0.71 (0.61–0.83)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Female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1,276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0.74 (0.58–0.94)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LVEF ≤30%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2,614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0.68 (0.58–0.80)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LVEF 31–40%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1,604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0.78 (0.63–0.96)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Ischemic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2,596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 (0.60–0.82)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0.48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Non-ischemic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1,622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0.76 (0.61–0.95)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NYHA II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2,678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0.73 (0.61–0.87)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NYHA III–IV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1,540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 (0.60–0.86)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With diabetes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1,286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0.73 (0.59–0.90)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0.86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Without diabetes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2,932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0.71 (0.60–0.84)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eGFR ≥60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2,842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 (0.61–0.85)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0.92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eGFR &lt;60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1,376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0.73 (0.58–0.92)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SBP &lt;120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1,648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0.74 (0.60–0.91)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0.68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SBP ≥120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2,570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0.71 (0.60–0.84)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Prior beta-blocker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862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 (0.54–0.96)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0.96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 prior BB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3,356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 (0.62–0.83)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With ICD/CRT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850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0.71 (0.53–0.95)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0.88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Without ICD/CRT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  <w:t>3,368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 (0.63–0.83)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</w:tbl>
    <w:p/>
    <w:p>
      <w:r>
        <w:t>No significant treatment-by-subgroup interactions. Benefit consistent across all subgroups.</w:t>
      </w:r>
    </w:p>
    <w:p>
      <w:r>
        <w:br w:type="page"/>
      </w:r>
    </w:p>
    <w:p>
      <w:pPr>
        <w:pStyle w:val="Heading1"/>
      </w:pPr>
      <w:r>
        <w:t>8. Phase III — CARDIO-PRESS (CV-302) — Hypertension</w:t>
      </w:r>
    </w:p>
    <w:p>
      <w:pPr>
        <w:pStyle w:val="Heading2"/>
      </w:pPr>
      <w:r>
        <w:t>8.1 Study Synopsis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Title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CARDIO-PRESS: A Randomized, Double-Blind, Active-Controlled, Non-Inferiority Trial Comparing Metopravil Succinate ER 100 mg to Amlodipine 5 mg in Patients with Essential Hypertension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Non-inferiority of Cardivex® 100 mg vs. amlodipine 5 mg for 24h ABPM SBP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Randomized, double-blind, double-dummy, parallel-group, non-inferiority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Non-inferiority margin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3 mmHg (upper bound of 95% CI for Δ24h SBP)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Adults 18–80 y; Stage 1–2 HTN (SBP 140–179 mmHg)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2,842 randomized (1,424 Cardivex® : 1,418 amlodipine)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12 weeks treatment; 4-week follow-up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Primary Endpoint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Change from baseline in 24-hour mean ambulatory SBP at Week 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186 sites in 18 countries</w:t>
            </w:r>
          </w:p>
        </w:tc>
      </w:tr>
    </w:tbl>
    <w:p/>
    <w:p>
      <w:pPr>
        <w:pStyle w:val="Heading2"/>
      </w:pPr>
      <w:r>
        <w:t>8.2 Efficacy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100 mg (N=1,424)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Amlodipine 5 mg (N=1,418)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(95% CI)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 Met?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24h mean SBP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−16.8 ± 8.2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−15.4 ± 7.8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−1.4 (−2.6, −0.2)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 (UB −0.2 &lt; 3)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Daytime SBP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−18.2 ± 8.6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−17.0 ± 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−1.2 (−2.4, 0.0)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Nighttime SBP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−14.6 ± 7.4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−12.8 ± 7.0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−1.8 (−3.0, −0.6)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Yes; superior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24h mean DBP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−10.4 ± 6.2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−9.6 ± 5.8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−0.8 (−1.8, 0.2)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Office SBP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−19.6 ± 10.2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−18.8 ± 9.8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−0.8 (−2.4, 0.8)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Office DBP (mmHg)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−12.2 ± 6.8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−11.8 ± 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−0.4 (−1.6, 0.8)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Heart rate (bpm)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−12.4 ±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−0.2 ± 3.8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−12.2 (−13.4, −11.0)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T/P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BP &lt;140/90 (responders)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69.4%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+3.4% (0.2, 6.6)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BP &lt;130/80 (optimal)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+3.6% (0.4, 6.8)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8.3 Comparative Safety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Adverse Event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(N=1,424)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Amlodipine (N=1,418)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Any AE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28.4%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Peripheral edema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8.4%**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Bradycardia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Fatigue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5.6%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Dizziness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3.6%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Flushing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6.2%**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Discontinuation due to 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4.2%</w:t>
            </w:r>
          </w:p>
        </w:tc>
      </w:tr>
    </w:tbl>
    <w:p/>
    <w:p>
      <w:r>
        <w:t>**p&lt;0.001 amlodipine vs Cardivex®. Cardivex® associated with significantly less edema and flushing.</w:t>
      </w:r>
    </w:p>
    <w:p>
      <w:r>
        <w:br w:type="page"/>
      </w:r>
    </w:p>
    <w:p>
      <w:pPr>
        <w:pStyle w:val="Heading1"/>
      </w:pPr>
      <w:r>
        <w:t>9. Phase III — ANGI-RESOLVE (CV-303) — Stable Angina</w:t>
      </w:r>
    </w:p>
    <w:p>
      <w:pPr>
        <w:pStyle w:val="Heading2"/>
      </w:pPr>
      <w:r>
        <w:t>9.1 Study Synopsis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Title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ANGI-RESOLVE: A Randomized, Double-Blind, Placebo-Controlled, Two-Period Crossover Study of Metopravil Succinate ER in Patients with Chronic Stable Angina Pectoris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Superiority of Cardivex® 100 mg vs. placebo for exercise duration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Randomized, double-blind, placebo-controlled, 2-period crossover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Period duration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6 weeks per period; 2-week washout between periods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Adults 18–80 y; ≥3 months stable angina; ≥2 exercise tests with reproducible angina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386 randomized (complete cases: 362)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Primary Endpoint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Change in total exercise duration (modified Bruce protocol)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48 sites in 8 countries</w:t>
            </w:r>
          </w:p>
        </w:tc>
      </w:tr>
    </w:tbl>
    <w:p/>
    <w:p>
      <w:pPr>
        <w:pStyle w:val="Heading2"/>
      </w:pPr>
      <w:r>
        <w:t>9.2 Exercise Testing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Exercise Parameter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  <w:tc>
          <w:tcPr>
            <w:tcW w:type="dxa" w:w="187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100 mg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Difference (95% CI)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Total exercise duration (sec)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412 ± 98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486 ± 102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+74 (60, 88)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Time to 1 mm ST depression (sec)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326 ± 88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402 ± 94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+76 (60, 92)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Time to angina onset (sec)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348 ± 92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428 ± 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+80 (64, 96)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Maximum ST depression (mm)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2.1 ± 0.8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1.4 ± 0.6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−0.7 (−0.9, −0.5)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Peak exercise HR (bpm)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128 ± 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106 ± 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−22 (−26, −18)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Peak exercise SBP (mmHg)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186 ± 24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164 ± 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−22 (−28, −16)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RPP at peak (×10³)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23.8 ± 4.2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17.4 ± 3.6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−6.4 (−7.6, −5.2)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r>
        <w:t>RPP = Rate-pressure product (HR × SBP). All comparisons within-subject (crossover).</w:t>
      </w:r>
    </w:p>
    <w:p>
      <w:pPr>
        <w:pStyle w:val="Heading2"/>
      </w:pPr>
      <w:r>
        <w:t>9.3 Angina Symptom Diary Results (Weekly)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Symptom Parameter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Period</w:t>
            </w:r>
          </w:p>
        </w:tc>
        <w:tc>
          <w:tcPr>
            <w:tcW w:type="dxa" w:w="158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Period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 (95% CI)</w:t>
            </w:r>
          </w:p>
        </w:tc>
        <w:tc>
          <w:tcPr>
            <w:tcW w:type="dxa" w:w="10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Angina episodes/week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4.8 ± 2.6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2.1 ± 1.8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−2.7 (−3.2, −2.2)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NTG tablets/week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3.6 ± 2.2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1.4 ± 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−2.2 (−2.7, −1.7)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Angina-free days/week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2.4 ± 1.6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4.8 ± 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+2.4 (1.9, 2.9)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SAQ angina frequency score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52.4 ± 18.6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72.8 ± 16.2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+20.4 (16.8, 24.0)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SAQ physical limitation score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58.6 ± 16.4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74.2 ± 14.8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+15.6 (12.4, 18.8)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SAQ quality of life score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48.2 ± 20.4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68.4 ± 18.6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+20.2 (16.2, 24.2)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r>
        <w:t>SAQ = Seattle Angina Questionnaire. Higher scores = better function/fewer symptoms.</w:t>
      </w:r>
    </w:p>
    <w:p>
      <w:r>
        <w:br w:type="page"/>
      </w:r>
    </w:p>
    <w:p>
      <w:pPr>
        <w:pStyle w:val="Heading1"/>
      </w:pPr>
      <w:r>
        <w:t>10. Integrated Safety Analysis</w:t>
      </w:r>
    </w:p>
    <w:p>
      <w:r>
        <w:t>This section presents the comprehensive integrated safety analysis across all 14 clinical studies. A summary is provided in DPM-CV-2026-001, §13. Patient-level adverse event listings and individual case narratives are available in the Appendices (Section 16).</w:t>
      </w:r>
    </w:p>
    <w:p>
      <w:pPr>
        <w:pStyle w:val="Heading2"/>
      </w:pPr>
      <w:r>
        <w:t>10.1 Exposure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All Doses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100 mg Subgroup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 mg Subgroup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Patients treated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8,146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4,284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2,642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4,701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Patient-years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12,218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6,426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3,963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7,052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Mean duration (months)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Median duration (months)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22.8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Duration ≥12 mo, n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3,876 (47.6%)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2,038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1,264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2,086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Duration ≥24 mo, n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2,142 (26.3%)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1,186</w:t>
            </w:r>
          </w:p>
        </w:tc>
      </w:tr>
    </w:tbl>
    <w:p/>
    <w:p>
      <w:pPr>
        <w:pStyle w:val="Heading2"/>
      </w:pPr>
      <w:r>
        <w:t>10.2 Adverse Events by System Organ Class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Organ Class</w:t>
            </w:r>
          </w:p>
        </w:tc>
        <w:tc>
          <w:tcPr>
            <w:tcW w:type="dxa" w:w="187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n (%)</w:t>
            </w:r>
          </w:p>
        </w:tc>
        <w:tc>
          <w:tcPr>
            <w:tcW w:type="dxa" w:w="187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n (%)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RR (95% CI)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Cardiac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1,042 (12.8%)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462 (9.8%)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1.30 (1.17–1.45)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Nervous system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886 (10.9%)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486 (10.3%)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1.05 (0.95–1.17)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disorders (fatigue etc.)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742 (9.1%)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318 (6.8%)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1.35 (1.19–1.53)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Vascular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486 (6.0%)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204 (4.3%)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1.38 (1.18–1.61)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612 (7.5%)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342 (7.3%)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1.03 (0.91–1.17)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Psychiatric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382 (4.7%)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198 (4.2%)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1.11 (0.94–1.32)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Musculoskeletal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326 (4.0%)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194 (4.1%)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0.97 (0.82–1.16)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Respiratory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264 (3.2%)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196 (4.2%)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0.78 (0.65–0.93)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Skin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198 (2.4%)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118 (2.5%)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0.97 (0.77–1.21)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Metabolism/nutrition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186 (2.3%)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96 (2.0%)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1.12 (0.88–1.43)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Reproductive disorders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162 (2.0%)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78 (1.7%)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1.20 (0.92–1.57)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Infections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624 (7.7%)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368 (7.8%)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 (0.87–1.11)</w:t>
            </w:r>
          </w:p>
        </w:tc>
      </w:tr>
    </w:tbl>
    <w:p/>
    <w:p>
      <w:pPr>
        <w:pStyle w:val="Heading2"/>
      </w:pPr>
      <w:r>
        <w:t>10.3 Deaths and Serious Adverse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n (rate/100PY)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n (rate/100PY)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RR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All-cause death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224 (1.83)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310 (4.39)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CV death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168 (1.37)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242 (3.43)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Non-CV death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56 (0.46)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68 (0.96)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0.008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Any SAE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486 (3.98)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412 (5.84)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0.002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SAE leading to drug D/C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142 (1.16)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86 (1.22)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0.78</w:t>
            </w:r>
          </w:p>
        </w:tc>
      </w:tr>
    </w:tbl>
    <w:p/>
    <w:p>
      <w:pPr>
        <w:pStyle w:val="Heading2"/>
      </w:pPr>
      <w:r>
        <w:t>10.4 Respiratory Safety Analysis</w:t>
      </w:r>
    </w:p>
    <w:p>
      <w:r>
        <w:t>Given the beta-blocker class concern for bronchospasm, a prespecified respiratory safety analysis was conducted. Among the 8,146 Cardivex®-treated patients, 12 (0.15%) experienced bronchospasm versus 6 (0.13%) in the placebo group (p=0.82). Among 486 patients with a history of mild-moderate asthma or COPD, 4 (0.82%) on Cardivex® vs. 2 (0.82%) on placebo experienced bronchospasm — confirming the clinical significance of the ultra-high β₁-selectivity. FEV₁ changes from baseline were comparable between groups (+0.2% vs. +0.4%, p=0.86).</w:t>
      </w:r>
    </w:p>
    <w:p>
      <w:r>
        <w:br w:type="page"/>
      </w:r>
    </w:p>
    <w:p>
      <w:pPr>
        <w:pStyle w:val="Heading2"/>
      </w:pPr>
      <w:r>
        <w:t>10.5 Hepatic Safety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Liver Parameter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n (%)</w:t>
            </w:r>
          </w:p>
        </w:tc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n (%)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 &gt;3× ULN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24 (0.29%)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12 (0.26%)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+0.03%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 &gt;5× ULN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 (0.07%)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4 (0.09%)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−0.02%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 &gt;10× ULN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 (0.02%)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 (0.00%)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+0.02%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Bilirubin &gt;2× ULN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8 (0.10%)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 (0.13%)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−0.03%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Hy's Law cases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Drug-induced liver injury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t>No cases meeting Hy's Law criteria. No drug-induced liver injury events.</w:t>
      </w:r>
    </w:p>
    <w:p>
      <w:pPr>
        <w:pStyle w:val="Heading2"/>
      </w:pPr>
      <w:r>
        <w:t>10.6 Laboratory and ECG Safety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Cardivex® Mean Change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Mean Change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Clinical Significance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Fasting glucose (mg/dL)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+1.2 ± 4.8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+0.8 ± 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HbA1c (%)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+0.04 ± 0.12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+0.02 ± 0.10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Total cholesterol (mg/dL)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+1.4 ± 8.6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+0.6 ± 7.8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LDL cholesterol (mg/dL)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+0.8 ± 6.4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+0.4 ± 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Triglycerides (mg/dL)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+3.2 ± 14.8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+1.6 ± 12.4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Potassium (mEq/L)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+0.08 ± 0.22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+0.04 ± 0.18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Creatinine (mg/dL)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+0.02 ± 0.08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+0.01 ± 0.06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 interval (ms)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+12.4 ± 8.6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+0.4 ± 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Expected pharmacology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QRS duration (ms)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+0.8 ± 2.4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+0.2 ± 1.8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significant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QTcF interval (ms)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−2.4 ± 6.8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−0.8 ± 5.4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Shortening (expected; HR reduction)</w:t>
            </w:r>
          </w:p>
        </w:tc>
      </w:tr>
    </w:tbl>
    <w:p/>
    <w:p>
      <w:r>
        <w:t>Minimal effects on metabolic parameters — consistent with high β₁-selectivity.</w:t>
      </w:r>
    </w:p>
    <w:p>
      <w:r>
        <w:br w:type="page"/>
      </w:r>
    </w:p>
    <w:p>
      <w:pPr>
        <w:pStyle w:val="Heading1"/>
      </w:pPr>
      <w:r>
        <w:t>11. Population Pharmacokinetic Modeling</w:t>
      </w:r>
    </w:p>
    <w:p>
      <w:r>
        <w:t>A population pharmacokinetic model was developed using NONMEM® (v7.5) from pooled Phase I–III data (N=2,486 subjects; 28,342 metopravil concentration measurements). First-order conditional estimation with interaction (FOCE-I) was employed.</w:t>
      </w:r>
    </w:p>
    <w:p>
      <w:pPr>
        <w:pStyle w:val="Heading2"/>
      </w:pPr>
      <w:r>
        <w:t>11.1 Final Model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RSE (%)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IIV (CV%)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IOV (CV%)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 (h⁻¹) — Absorption rate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0.42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4.2%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38.4%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CL/F (L/h) — Apparent clearance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88.6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2.8%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32.6%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12.4%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V2/F (L) — Central volume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3.6%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28.2%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V3/F (L) — Peripheral volume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1,580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6.4%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42.8%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Q/F (L/h) — Inter-compartmental 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24.8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8.2%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ALAG (h) — Absorption lag time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5.4%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24.6%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Proportional residual error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18.2%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2.4%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Additive residual error (ng/mL)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1.24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8.6%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11.2 Covariate Effects on CL/F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Covariate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 on CL/F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90% CI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Clinically Significant?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CYP2D6 PM vs EM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(−42%, −26%)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(wide therapeutic index)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CYP2D6 UM vs EM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(+18%, +38%)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 (per 10-year increase)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(−12%, −4%)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Body weight (per 10 kg increase)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(+3%, +9%)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Moderate hepatic impairment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(−48%, −28%)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dose cap 100 mg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Severe renal impairment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(−32%, −12%)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Borderline — start 50 mg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Sex (female vs male)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(−12%, 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 (Black vs White)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(−10%, +2%)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Fluoxetine co-administration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(−52%, −32%)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reduce dose 50%</w:t>
            </w:r>
          </w:p>
        </w:tc>
      </w:tr>
    </w:tbl>
    <w:p/>
    <w:p>
      <w:r>
        <w:br w:type="page"/>
      </w:r>
    </w:p>
    <w:p>
      <w:pPr>
        <w:pStyle w:val="Heading1"/>
      </w:pPr>
      <w:r>
        <w:t>12. Exposure-Response Analyses</w:t>
      </w:r>
    </w:p>
    <w:p>
      <w:pPr>
        <w:pStyle w:val="Heading2"/>
      </w:pPr>
      <w:r>
        <w:t>12.1 Exposure-Efficacy Relationship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AUCss Quartile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87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 AUCss (ng·h/mL)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ΔSBP (mmHg)</w:t>
            </w:r>
          </w:p>
        </w:tc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Composite HR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p-trend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Q1 (lowest)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1,286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−10.2 ± 6.8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0.86 (0.72–1.03)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1,282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−15.4 ± 6.2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0.76 (0.63–0.92)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1,288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1,286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−18.8 ± 5.8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0.68 (0.56–0.83)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Q4 (highest)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1,290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2,128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−21.4 ± 5.4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0.64 (0.52–0.79)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pPr>
        <w:pStyle w:val="Heading2"/>
      </w:pPr>
      <w:r>
        <w:t>12.2 Exposure-Safety Relationship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AUCss Quartile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Bradycardia (%)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Hypotension (%)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Fatigue (%)</w:t>
            </w:r>
          </w:p>
        </w:tc>
        <w:tc>
          <w:tcPr>
            <w:tcW w:type="dxa" w:w="172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Discontinuation (%)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Q1 (lowest)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2.6%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3.6%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Q4 (highest)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5.6%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p-trend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&lt;0.001</w:t>
            </w:r>
          </w:p>
        </w:tc>
      </w:tr>
    </w:tbl>
    <w:p/>
    <w:p>
      <w:r>
        <w:t>The exposure-response analysis supports the approved dose range (50–200 mg), with the 100 mg dose providing the optimal balance of efficacy and safety for most patients.</w:t>
      </w:r>
    </w:p>
    <w:p>
      <w:r>
        <w:br w:type="page"/>
      </w:r>
    </w:p>
    <w:p>
      <w:pPr>
        <w:pStyle w:val="Heading1"/>
      </w:pPr>
      <w:r>
        <w:t>13. Benefit-Risk Assessment</w:t>
      </w:r>
    </w:p>
    <w:p>
      <w:pPr>
        <w:pStyle w:val="Heading2"/>
      </w:pPr>
      <w:r>
        <w:t>13.1 Benefit-Risk Framework (ICH E1/FDA Structured Approach)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50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Evidence Strength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Condition severity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Hypertension, HFrEF, angina — serious, chronic, high CV mortality risk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Unmet medical need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Suboptimal BP control; beta-blocker intolerability (bronchospasm, metabolic)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Efficacy — Hypertension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−18.4 mmHg SBP (100 mg); non-inferior to amlodipine; T/P 0.82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 (2 Phase III)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Efficacy — Heart Failure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28% RRR composite CV endpoint; 29% RRR mortality (NNT=14 and 24)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Very High (pivotal)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Efficacy — Angina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+74s exercise; −2.7 episodes/week; improved QoL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 (crossover)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Safety — Common AEs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Bradycardia 5%, fatigue 6.5%, dizziness 6%; dose-dependent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 (8,146 pts)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Safety — Serious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SAEs lower vs placebo (3.98 vs 5.84/100PY); no unexpected signals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Safety — Bronchospasm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0.15% vs 0.13% placebo — high β₁-selectivity confirmed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Safety — Metabolic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Minimal glucose/lipid effects vs non-selective agents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Tolerability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D/C rate 4.7% vs 3.9% placebo — acceptable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Risk management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Dose titration; contraindications; monitoring guidance; labeling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Adequate</w:t>
            </w:r>
          </w:p>
        </w:tc>
      </w:tr>
    </w:tbl>
    <w:p/>
    <w:p>
      <w:pPr>
        <w:pStyle w:val="Heading2"/>
      </w:pPr>
      <w:r>
        <w:t>13.2 Conclusion</w:t>
      </w:r>
    </w:p>
    <w:p>
      <w:r>
        <w:t>The benefit-risk profile of Cardivex® is favorable across all three approved indications. The significant mortality reduction in heart failure (HR 0.71), robust antihypertensive efficacy, and meaningful improvement in angina symptoms, combined with a manageable and predictable safety profile, support the positive benefit-risk determination by FDA, EMA, and other regulatory authorities. The ultra-high β₁-selectivity differentiates Cardivex® from existing beta-blockers. (See DPM-CV-2026-001, §1–13)</w:t>
      </w:r>
    </w:p>
    <w:p>
      <w:r>
        <w:br w:type="page"/>
      </w:r>
    </w:p>
    <w:p>
      <w:pPr>
        <w:pStyle w:val="Heading1"/>
      </w:pPr>
      <w:r>
        <w:t>14. Post-Marketing Commitments and Ongoing Studies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144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Population</w:t>
            </w:r>
          </w:p>
        </w:tc>
        <w:tc>
          <w:tcPr>
            <w:tcW w:type="dxa" w:w="7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 (planned)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Completion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CV-401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PMR (FDA)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Long-term CV outcomes in elderly ≥75 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HFrEF, ≥75 y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Enrolling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Q4 2029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CV-402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PMR (FDA)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Pediatric PK/safety (6–17 y)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Pediatric HTN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Protocol approved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Q2 2030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CV-403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PMC (EMA)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HFpEF exploratory efficacy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HFpEF (LVEF &gt;50%)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1,500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Protocol design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Q4 2030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CV-404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Investigator-initiated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Atrial fibrillation rate control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AF, HR &gt;100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IRB submitted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Q2 2029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CV-405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Registry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Real-world safety/effectiveness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All indications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Enrolling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Q4 2031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CV-301-OLE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Open-label extension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Long-term safety (5 years)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CV-301 completers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2,824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Ongoing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Q2 2030</w:t>
            </w:r>
          </w:p>
        </w:tc>
      </w:tr>
    </w:tbl>
    <w:p/>
    <w:p>
      <w:pPr>
        <w:pStyle w:val="Heading2"/>
      </w:pPr>
      <w:r>
        <w:t>14.1 Risk Evaluation and Mitigation Strategy (REMS)</w:t>
      </w:r>
    </w:p>
    <w:p>
      <w:r>
        <w:t>No REMS was required by FDA. Standard risk management measures include comprehensive labeling with Boxed Warning-level language for abrupt cessation risk, a Medication Guide for patients, and physician education materials developed in collaboration with professional cardiology societies.</w:t>
      </w:r>
    </w:p>
    <w:p>
      <w:r>
        <w:br w:type="page"/>
      </w:r>
    </w:p>
    <w:p>
      <w:pPr>
        <w:pStyle w:val="Heading1"/>
      </w:pPr>
      <w:r>
        <w:t>15. Cross-Reference Map to Drug Product Monograph</w:t>
      </w:r>
    </w:p>
    <w:p>
      <w:r>
        <w:t>The following table maps sections of this Clinical Development Report (CDR-CV-2026-001) to the corresponding sections of the companion Drug Product Monograph (DPM-CV-2026-001).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Document (CDR)</w:t>
            </w:r>
          </w:p>
        </w:tc>
        <w:tc>
          <w:tcPr>
            <w:tcW w:type="dxa" w:w="216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Companion Document (DPM)</w:t>
            </w:r>
          </w:p>
        </w:tc>
        <w:tc>
          <w:tcPr>
            <w:tcW w:type="dxa" w:w="43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DPM Content Summary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 Program Overview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 Executive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High-level program and therapeutic rationale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§2 Regulatory Milestones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§21 Regulatory Approvals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Approval status by country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§3 Nonclinical Pharmacology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§6 Mechanism of 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Receptor binding, β₁ selectivity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§3.3 Toxicology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§19 Nonclinical Toxicology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Summary of key tox findings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§4–5 Phase I Studies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§7–8 PD and PK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PK parameters, PD effects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§5.4 DDI Studies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§14 Drug Interactions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Clinical recommendations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§6 Phase II Studies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§12 Efficacy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Dose-response overview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§7 CARDIAC-SHIELD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§12.2 Pivotal Outcome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endpoint summary, NNT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§8 CARDIO-PRESS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§12 Efficacy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Non-inferiority conclusion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§9 ANGI-RESOLVE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§12 Efficacy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Exercise duration 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§10 Integrated Safety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§13 Safety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 tables, SAE rates, D/C rates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§11 Population PK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§8–9 PK + Special Pops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Dose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§12 Exposure-Response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§11 Dosage Guidelines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Dose selection rationale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§13 Benefit-Risk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 Executive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Overall risk-benefit conclusion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§14 Post-Marketing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§21 Regulatory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PMR/PMC commitments</w:t>
            </w:r>
          </w:p>
        </w:tc>
      </w:tr>
    </w:tbl>
    <w:p/>
    <w:p>
      <w:r>
        <w:br w:type="page"/>
      </w:r>
    </w:p>
    <w:p>
      <w:pPr>
        <w:pStyle w:val="Heading1"/>
      </w:pPr>
      <w:r>
        <w:t>16. Appendices and Data Listings</w:t>
      </w:r>
    </w:p>
    <w:p>
      <w:pPr>
        <w:pStyle w:val="Heading2"/>
      </w:pPr>
      <w:r>
        <w:t>16.1 Index of Appendices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Appendix</w:t>
            </w:r>
          </w:p>
        </w:tc>
        <w:tc>
          <w:tcPr>
            <w:tcW w:type="dxa" w:w="460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Individual Study Protocols (CV-101 through CV-303)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~1,200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Statistical Analysis Plans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~400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CONSORT Diagrams and Patient Disposition Tables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~80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Demographic and Baseline Data Listings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~200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Individual Patient Efficacy Data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~500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Adverse Event Listings by Patient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~800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Serious Adverse Event Narratives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7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~300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Deaths — Individual Case Narratives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~150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Laboratory Data Listings and Shift Tables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9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~400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ECG Data and Interval Analyses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10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~200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Population PK Model Code and Diagnostics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11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~100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Bioanalytical Method Validation Reports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~200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Informed Consent Form Templates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~60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Investigator Lists and Site Information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~40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Independent Data Safety Monitoring Board Charters and Reports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Vol 15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~80</w:t>
            </w:r>
          </w:p>
        </w:tc>
      </w:tr>
    </w:tbl>
    <w:p/>
    <w:p>
      <w:pPr>
        <w:pStyle w:val="Heading2"/>
      </w:pPr>
      <w:r>
        <w:t>16.2 List of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Abbreviation</w:t>
            </w:r>
          </w:p>
        </w:tc>
        <w:tc>
          <w:tcPr>
            <w:tcW w:type="dxa" w:w="316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1296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Abbreviation</w:t>
            </w:r>
          </w:p>
        </w:tc>
        <w:tc>
          <w:tcPr>
            <w:tcW w:type="dxa" w:w="3168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ABPM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Ambulatory Blood Pressure Monitoring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Multiple Ascending Dose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ACE-I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Angiotensin-Converting Enzyme Inhibitor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Myocardial Infarction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Adverse Event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NDA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New Drug Application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ANCOVA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Analysis of Covariance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Number Needed to Treat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ARB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Angiotensin Receptor Blocker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NYHA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New York Heart Association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ARR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Absolute Risk Reduction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PBO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Placebo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Area Under the Curve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Pharmacokinetics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BCS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Biopharmaceutics Classification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Poor Metabolizer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BP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Blood Pressure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PMR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Post-Marketing Requirement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CCB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Calcium Channel Blocker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Patient-Years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Confidence Interval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Once Daily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CL/F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Apparent Oral Clearance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QoL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Quality of Life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Cmax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Maximum Plasma Concentration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RR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Relative Risk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CV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Cardiovascular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RRR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Relative Risk Reduction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Double-Blind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Single Ascending Dose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DBP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Diastolic Blood Pressure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SAE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Serious Adverse Event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DSMB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Data Safety Monitoring Board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SBP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Systolic Blood Pressure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Extensive Metabolizer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Special Protocol Assessment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Extended Release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Steady State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GLP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Good Laboratory Practice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TQT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Thorough QT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Heart Failure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Ultra-rapid Metabolizer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HFrEF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HF with Reduced Ejection Fraction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ULN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Upper Limit of Normal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Hazard Ratio / Heart Rate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Vd/F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Apparent Volume of Distribution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HTN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Hypertension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XO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Crossover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IVIVC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 Vitro-In Vivo Correlation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6-MWD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6-Minute Walk Distance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KCCQ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KC Cardiomyopathy Questionnaire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LVEF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LV Ejection Fraction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152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4320"/>
            <w:shd w:fill="0044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Dec 2024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Dr. R. Krishnamurthy, Dr. L. Wang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Initial CDR with Phase I–II data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Sep 2025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Dr. R. Krishnamurthy, Dr. A. Petrov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Phase III data; NDA submission version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Nov 2025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Dr. L. Wang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Revisions per FDA review comments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Apr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Dr. R. Krishnamurthy, Dr. L. Wang, Dr. A. Petrov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version with all approvals, integrated safety update, and companion DPM cross-references</w:t>
            </w:r>
          </w:p>
        </w:tc>
      </w:tr>
    </w:tbl>
    <w:p/>
    <w:p/>
    <w:p>
      <w:pPr>
        <w:jc w:val="center"/>
      </w:pPr>
      <w:r>
        <w:rPr>
          <w:b/>
          <w:color w:val="004466"/>
          <w:sz w:val="28"/>
        </w:rPr>
        <w:t>— END OF CLINICAL DEVELOPMENT REPORT (CDR-CV-2026-001) —</w:t>
      </w:r>
    </w:p>
    <w:p>
      <w:pPr>
        <w:jc w:val="center"/>
      </w:pPr>
      <w:r>
        <w:rPr>
          <w:i/>
          <w:color w:val="006699"/>
          <w:sz w:val="22"/>
        </w:rPr>
        <w:t>For drug product summary, refer to companion document: DPM-CV-2026-001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Pharmacore Therapeutics, Inc.  |  Companion: DPM-CV-2026-001  |  April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08080"/>
        <w:sz w:val="16"/>
      </w:rPr>
      <w:t>CDR-CV-2026-001  |  CARDIVEX® (Metopravil Succinate)  |  Clinical Development Report v3.0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4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4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4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