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50"/>
        </w:rPr>
        <w:t>WEEK 6 TASK</w:t>
      </w:r>
    </w:p>
    <w:p>
      <w:pPr>
        <w:jc w:val="center"/>
      </w:pPr>
      <w:r>
        <w:rPr>
          <w:b/>
          <w:sz w:val="30"/>
        </w:rPr>
        <w:t>Final Project Evaluation, Retrospective, and Future Roadmap</w:t>
      </w:r>
    </w:p>
    <w:p>
      <w:pPr>
        <w:jc w:val="center"/>
      </w:pPr>
      <w:r>
        <w:rPr>
          <w:i/>
        </w:rPr>
        <w:t>Hypothetical Project: Library Management System</w:t>
      </w:r>
    </w:p>
    <w:p>
      <w:pPr>
        <w:pStyle w:val="Heading1"/>
      </w:pPr>
      <w:r>
        <w:t>1. Executive Summary</w:t>
      </w:r>
    </w:p>
    <w:p>
      <w:pPr>
        <w:spacing w:after="120" w:line="259" w:lineRule="auto"/>
      </w:pPr>
      <w:r>
        <w:t>This report evaluates the Library Management System after the planned development lifecycle and presents a retrospective and future improvement roadmap. The analysis considers technical quality, delivery process, testing, collaboration, risks, and user outcomes. Because the project is hypothetical, performance and satisfaction figures are explicitly treated as planning assumptions rather than measured production facts.</w:t>
      </w:r>
    </w:p>
    <w:p>
      <w:pPr>
        <w:pStyle w:val="Heading1"/>
      </w:pPr>
      <w:r>
        <w:t>2. Overall Project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Dimension</w:t>
            </w:r>
          </w:p>
        </w:tc>
        <w:tc>
          <w:tcPr>
            <w:tcW w:type="dxa" w:w="3360"/>
            <w:shd w:fill="1F4E78"/>
          </w:tcPr>
          <w:p>
            <w:r>
              <w:rPr>
                <w:b/>
                <w:color w:val="FFFFFF"/>
                <w:sz w:val="17"/>
              </w:rPr>
              <w:t>Evaluation</w:t>
            </w:r>
          </w:p>
        </w:tc>
        <w:tc>
          <w:tcPr>
            <w:tcW w:type="dxa" w:w="3360"/>
            <w:shd w:fill="1F4E78"/>
          </w:tcPr>
          <w:p>
            <w:r>
              <w:rPr>
                <w:b/>
                <w:color w:val="FFFFFF"/>
                <w:sz w:val="17"/>
              </w:rPr>
              <w:t>Key Observation</w:t>
            </w:r>
          </w:p>
        </w:tc>
      </w:tr>
      <w:tr>
        <w:tc>
          <w:tcPr>
            <w:tcW w:type="dxa" w:w="3360"/>
            <w:vAlign w:val="center"/>
          </w:tcPr>
          <w:p>
            <w:r>
              <w:rPr>
                <w:sz w:val="17"/>
              </w:rPr>
              <w:t>Scope</w:t>
            </w:r>
          </w:p>
        </w:tc>
        <w:tc>
          <w:tcPr>
            <w:tcW w:type="dxa" w:w="3360"/>
            <w:vAlign w:val="center"/>
          </w:tcPr>
          <w:p>
            <w:r>
              <w:rPr>
                <w:sz w:val="17"/>
              </w:rPr>
              <w:t>Strong</w:t>
            </w:r>
          </w:p>
        </w:tc>
        <w:tc>
          <w:tcPr>
            <w:tcW w:type="dxa" w:w="3360"/>
            <w:vAlign w:val="center"/>
          </w:tcPr>
          <w:p>
            <w:r>
              <w:rPr>
                <w:sz w:val="17"/>
              </w:rPr>
              <w:t>MVP scope remained focused on core library workflows.</w:t>
            </w:r>
          </w:p>
        </w:tc>
      </w:tr>
      <w:tr>
        <w:tc>
          <w:tcPr>
            <w:tcW w:type="dxa" w:w="3360"/>
            <w:vAlign w:val="center"/>
          </w:tcPr>
          <w:p>
            <w:r>
              <w:rPr>
                <w:sz w:val="17"/>
              </w:rPr>
              <w:t>Architecture</w:t>
            </w:r>
          </w:p>
        </w:tc>
        <w:tc>
          <w:tcPr>
            <w:tcW w:type="dxa" w:w="3360"/>
            <w:vAlign w:val="center"/>
          </w:tcPr>
          <w:p>
            <w:r>
              <w:rPr>
                <w:sz w:val="17"/>
              </w:rPr>
              <w:t>Good</w:t>
            </w:r>
          </w:p>
        </w:tc>
        <w:tc>
          <w:tcPr>
            <w:tcW w:type="dxa" w:w="3360"/>
            <w:vAlign w:val="center"/>
          </w:tcPr>
          <w:p>
            <w:r>
              <w:rPr>
                <w:sz w:val="17"/>
              </w:rPr>
              <w:t>Layered separation supports maintainability and testing.</w:t>
            </w:r>
          </w:p>
        </w:tc>
      </w:tr>
      <w:tr>
        <w:tc>
          <w:tcPr>
            <w:tcW w:type="dxa" w:w="3360"/>
            <w:vAlign w:val="center"/>
          </w:tcPr>
          <w:p>
            <w:r>
              <w:rPr>
                <w:sz w:val="17"/>
              </w:rPr>
              <w:t>Implementation</w:t>
            </w:r>
          </w:p>
        </w:tc>
        <w:tc>
          <w:tcPr>
            <w:tcW w:type="dxa" w:w="3360"/>
            <w:vAlign w:val="center"/>
          </w:tcPr>
          <w:p>
            <w:r>
              <w:rPr>
                <w:sz w:val="17"/>
              </w:rPr>
              <w:t>Good</w:t>
            </w:r>
          </w:p>
        </w:tc>
        <w:tc>
          <w:tcPr>
            <w:tcW w:type="dxa" w:w="3360"/>
            <w:vAlign w:val="center"/>
          </w:tcPr>
          <w:p>
            <w:r>
              <w:rPr>
                <w:sz w:val="17"/>
              </w:rPr>
              <w:t>Incremental delivery reduced integration risk.</w:t>
            </w:r>
          </w:p>
        </w:tc>
      </w:tr>
      <w:tr>
        <w:tc>
          <w:tcPr>
            <w:tcW w:type="dxa" w:w="3360"/>
            <w:vAlign w:val="center"/>
          </w:tcPr>
          <w:p>
            <w:r>
              <w:rPr>
                <w:sz w:val="17"/>
              </w:rPr>
              <w:t>Testing</w:t>
            </w:r>
          </w:p>
        </w:tc>
        <w:tc>
          <w:tcPr>
            <w:tcW w:type="dxa" w:w="3360"/>
            <w:vAlign w:val="center"/>
          </w:tcPr>
          <w:p>
            <w:r>
              <w:rPr>
                <w:sz w:val="17"/>
              </w:rPr>
              <w:t>Strong</w:t>
            </w:r>
          </w:p>
        </w:tc>
        <w:tc>
          <w:tcPr>
            <w:tcW w:type="dxa" w:w="3360"/>
            <w:vAlign w:val="center"/>
          </w:tcPr>
          <w:p>
            <w:r>
              <w:rPr>
                <w:sz w:val="17"/>
              </w:rPr>
              <w:t>Testing was embedded throughout rather than deferred.</w:t>
            </w:r>
          </w:p>
        </w:tc>
      </w:tr>
      <w:tr>
        <w:tc>
          <w:tcPr>
            <w:tcW w:type="dxa" w:w="3360"/>
            <w:vAlign w:val="center"/>
          </w:tcPr>
          <w:p>
            <w:r>
              <w:rPr>
                <w:sz w:val="17"/>
              </w:rPr>
              <w:t>Security</w:t>
            </w:r>
          </w:p>
        </w:tc>
        <w:tc>
          <w:tcPr>
            <w:tcW w:type="dxa" w:w="3360"/>
            <w:vAlign w:val="center"/>
          </w:tcPr>
          <w:p>
            <w:r>
              <w:rPr>
                <w:sz w:val="17"/>
              </w:rPr>
              <w:t>Good</w:t>
            </w:r>
          </w:p>
        </w:tc>
        <w:tc>
          <w:tcPr>
            <w:tcW w:type="dxa" w:w="3360"/>
            <w:vAlign w:val="center"/>
          </w:tcPr>
          <w:p>
            <w:r>
              <w:rPr>
                <w:sz w:val="17"/>
              </w:rPr>
              <w:t>Authorization, validation and secure configuration were included.</w:t>
            </w:r>
          </w:p>
        </w:tc>
      </w:tr>
      <w:tr>
        <w:tc>
          <w:tcPr>
            <w:tcW w:type="dxa" w:w="3360"/>
            <w:vAlign w:val="center"/>
          </w:tcPr>
          <w:p>
            <w:r>
              <w:rPr>
                <w:sz w:val="17"/>
              </w:rPr>
              <w:t>Schedule</w:t>
            </w:r>
          </w:p>
        </w:tc>
        <w:tc>
          <w:tcPr>
            <w:tcW w:type="dxa" w:w="3360"/>
            <w:vAlign w:val="center"/>
          </w:tcPr>
          <w:p>
            <w:r>
              <w:rPr>
                <w:sz w:val="17"/>
              </w:rPr>
              <w:t>Acceptable</w:t>
            </w:r>
          </w:p>
        </w:tc>
        <w:tc>
          <w:tcPr>
            <w:tcW w:type="dxa" w:w="3360"/>
            <w:vAlign w:val="center"/>
          </w:tcPr>
          <w:p>
            <w:r>
              <w:rPr>
                <w:sz w:val="17"/>
              </w:rPr>
              <w:t>12-week roadmap is feasible with controlled scope.</w:t>
            </w:r>
          </w:p>
        </w:tc>
      </w:tr>
      <w:tr>
        <w:tc>
          <w:tcPr>
            <w:tcW w:type="dxa" w:w="3360"/>
            <w:vAlign w:val="center"/>
          </w:tcPr>
          <w:p>
            <w:r>
              <w:rPr>
                <w:sz w:val="17"/>
              </w:rPr>
              <w:t>Collaboration</w:t>
            </w:r>
          </w:p>
        </w:tc>
        <w:tc>
          <w:tcPr>
            <w:tcW w:type="dxa" w:w="3360"/>
            <w:vAlign w:val="center"/>
          </w:tcPr>
          <w:p>
            <w:r>
              <w:rPr>
                <w:sz w:val="17"/>
              </w:rPr>
              <w:t>Good</w:t>
            </w:r>
          </w:p>
        </w:tc>
        <w:tc>
          <w:tcPr>
            <w:tcW w:type="dxa" w:w="3360"/>
            <w:vAlign w:val="center"/>
          </w:tcPr>
          <w:p>
            <w:r>
              <w:rPr>
                <w:sz w:val="17"/>
              </w:rPr>
              <w:t>Reviews, sprint rituals and issue tracking improve transparency.</w:t>
            </w:r>
          </w:p>
        </w:tc>
      </w:tr>
      <w:tr>
        <w:tc>
          <w:tcPr>
            <w:tcW w:type="dxa" w:w="3360"/>
            <w:vAlign w:val="center"/>
          </w:tcPr>
          <w:p>
            <w:r>
              <w:rPr>
                <w:sz w:val="17"/>
              </w:rPr>
              <w:t>Release Readiness</w:t>
            </w:r>
          </w:p>
        </w:tc>
        <w:tc>
          <w:tcPr>
            <w:tcW w:type="dxa" w:w="3360"/>
            <w:vAlign w:val="center"/>
          </w:tcPr>
          <w:p>
            <w:r>
              <w:rPr>
                <w:sz w:val="17"/>
              </w:rPr>
              <w:t>Strong</w:t>
            </w:r>
          </w:p>
        </w:tc>
        <w:tc>
          <w:tcPr>
            <w:tcW w:type="dxa" w:w="3360"/>
            <w:vAlign w:val="center"/>
          </w:tcPr>
          <w:p>
            <w:r>
              <w:rPr>
                <w:sz w:val="17"/>
              </w:rPr>
              <w:t>Explicit quality gates provide evidence for deployment.</w:t>
            </w:r>
          </w:p>
        </w:tc>
      </w:tr>
    </w:tbl>
    <w:p>
      <w:pPr>
        <w:spacing w:after="40"/>
      </w:pPr>
    </w:p>
    <w:p>
      <w:pPr>
        <w:pStyle w:val="Heading1"/>
      </w:pPr>
      <w:r>
        <w:t>3. Retrospective — What Worked Well</w:t>
      </w:r>
    </w:p>
    <w:p>
      <w:pPr>
        <w:pStyle w:val="ListBullet"/>
        <w:spacing w:after="60"/>
      </w:pPr>
      <w:r>
        <w:t>Breaking work into two-week increments made progress visible.</w:t>
      </w:r>
    </w:p>
    <w:p>
      <w:pPr>
        <w:pStyle w:val="ListBullet"/>
        <w:spacing w:after="60"/>
      </w:pPr>
      <w:r>
        <w:t>Acceptance criteria improved clarity between requirements and implementation.</w:t>
      </w:r>
    </w:p>
    <w:p>
      <w:pPr>
        <w:pStyle w:val="ListBullet"/>
        <w:spacing w:after="60"/>
      </w:pPr>
      <w:r>
        <w:t>Continuous integration reduced late discovery of integration defects.</w:t>
      </w:r>
    </w:p>
    <w:p>
      <w:pPr>
        <w:pStyle w:val="ListBullet"/>
        <w:spacing w:after="60"/>
      </w:pPr>
      <w:r>
        <w:t>Risk-based testing focused effort on high-impact workflows.</w:t>
      </w:r>
    </w:p>
    <w:p>
      <w:pPr>
        <w:pStyle w:val="ListBullet"/>
        <w:spacing w:after="60"/>
      </w:pPr>
      <w:r>
        <w:t>Code reviews provided a second perspective on security and maintainability.</w:t>
      </w:r>
    </w:p>
    <w:p>
      <w:pPr>
        <w:pStyle w:val="ListBullet"/>
        <w:spacing w:after="60"/>
      </w:pPr>
      <w:r>
        <w:t>A clear Definition of Done prevented partially completed work from being treated as finished.</w:t>
      </w:r>
    </w:p>
    <w:p>
      <w:pPr>
        <w:pStyle w:val="Heading1"/>
      </w:pPr>
      <w:r>
        <w:t>4. Areas for Improvement</w:t>
      </w:r>
    </w:p>
    <w:p>
      <w:pPr>
        <w:pStyle w:val="ListBullet"/>
        <w:spacing w:after="60"/>
      </w:pPr>
      <w:r>
        <w:t>Early estimates may be inaccurate before actual sprint velocity is known.</w:t>
      </w:r>
    </w:p>
    <w:p>
      <w:pPr>
        <w:pStyle w:val="ListBullet"/>
        <w:spacing w:after="60"/>
      </w:pPr>
      <w:r>
        <w:t>Requirements involving fine rules should be clarified earlier.</w:t>
      </w:r>
    </w:p>
    <w:p>
      <w:pPr>
        <w:pStyle w:val="ListBullet"/>
        <w:spacing w:after="60"/>
      </w:pPr>
      <w:r>
        <w:t>Performance testing should begin with representative data instead of waiting for hardening.</w:t>
      </w:r>
    </w:p>
    <w:p>
      <w:pPr>
        <w:pStyle w:val="ListBullet"/>
        <w:spacing w:after="60"/>
      </w:pPr>
      <w:r>
        <w:t>Security review can be strengthened with more structured threat modeling.</w:t>
      </w:r>
    </w:p>
    <w:p>
      <w:pPr>
        <w:pStyle w:val="ListBullet"/>
        <w:spacing w:after="60"/>
      </w:pPr>
      <w:r>
        <w:t>Documentation should be updated continuously rather than concentrated near release.</w:t>
      </w:r>
    </w:p>
    <w:p>
      <w:pPr>
        <w:pStyle w:val="ListBullet"/>
        <w:spacing w:after="60"/>
      </w:pPr>
      <w:r>
        <w:t>Cross-training should be increased to reduce dependency on individual team members.</w:t>
      </w:r>
    </w:p>
    <w:p>
      <w:pPr>
        <w:pStyle w:val="Heading1"/>
      </w:pPr>
      <w:r>
        <w:t>5. KPI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KPI</w:t>
            </w:r>
          </w:p>
        </w:tc>
        <w:tc>
          <w:tcPr>
            <w:tcW w:type="dxa" w:w="3360"/>
            <w:shd w:fill="1F4E78"/>
          </w:tcPr>
          <w:p>
            <w:r>
              <w:rPr>
                <w:b/>
                <w:color w:val="FFFFFF"/>
                <w:sz w:val="17"/>
              </w:rPr>
              <w:t>Measurement</w:t>
            </w:r>
          </w:p>
        </w:tc>
        <w:tc>
          <w:tcPr>
            <w:tcW w:type="dxa" w:w="3360"/>
            <w:shd w:fill="1F4E78"/>
          </w:tcPr>
          <w:p>
            <w:r>
              <w:rPr>
                <w:b/>
                <w:color w:val="FFFFFF"/>
                <w:sz w:val="17"/>
              </w:rPr>
              <w:t>Target/Interpretation</w:t>
            </w:r>
          </w:p>
        </w:tc>
      </w:tr>
      <w:tr>
        <w:tc>
          <w:tcPr>
            <w:tcW w:type="dxa" w:w="3360"/>
            <w:vAlign w:val="center"/>
          </w:tcPr>
          <w:p>
            <w:r>
              <w:rPr>
                <w:sz w:val="17"/>
              </w:rPr>
              <w:t>Schedule Adherence</w:t>
            </w:r>
          </w:p>
        </w:tc>
        <w:tc>
          <w:tcPr>
            <w:tcW w:type="dxa" w:w="3360"/>
            <w:vAlign w:val="center"/>
          </w:tcPr>
          <w:p>
            <w:r>
              <w:rPr>
                <w:sz w:val="17"/>
              </w:rPr>
              <w:t>Planned vs completed milestone dates</w:t>
            </w:r>
          </w:p>
        </w:tc>
        <w:tc>
          <w:tcPr>
            <w:tcW w:type="dxa" w:w="3360"/>
            <w:vAlign w:val="center"/>
          </w:tcPr>
          <w:p>
            <w:r>
              <w:rPr>
                <w:sz w:val="17"/>
              </w:rPr>
              <w:t>Major milestones delivered within agreed tolerance</w:t>
            </w:r>
          </w:p>
        </w:tc>
      </w:tr>
      <w:tr>
        <w:tc>
          <w:tcPr>
            <w:tcW w:type="dxa" w:w="3360"/>
            <w:vAlign w:val="center"/>
          </w:tcPr>
          <w:p>
            <w:r>
              <w:rPr>
                <w:sz w:val="17"/>
              </w:rPr>
              <w:t>Test Coverage</w:t>
            </w:r>
          </w:p>
        </w:tc>
        <w:tc>
          <w:tcPr>
            <w:tcW w:type="dxa" w:w="3360"/>
            <w:vAlign w:val="center"/>
          </w:tcPr>
          <w:p>
            <w:r>
              <w:rPr>
                <w:sz w:val="17"/>
              </w:rPr>
              <w:t>Relevant code/requirements covered by tests</w:t>
            </w:r>
          </w:p>
        </w:tc>
        <w:tc>
          <w:tcPr>
            <w:tcW w:type="dxa" w:w="3360"/>
            <w:vAlign w:val="center"/>
          </w:tcPr>
          <w:p>
            <w:r>
              <w:rPr>
                <w:sz w:val="17"/>
              </w:rPr>
              <w:t>High coverage of critical business logic</w:t>
            </w:r>
          </w:p>
        </w:tc>
      </w:tr>
      <w:tr>
        <w:tc>
          <w:tcPr>
            <w:tcW w:type="dxa" w:w="3360"/>
            <w:vAlign w:val="center"/>
          </w:tcPr>
          <w:p>
            <w:r>
              <w:rPr>
                <w:sz w:val="17"/>
              </w:rPr>
              <w:t>Defect Density</w:t>
            </w:r>
          </w:p>
        </w:tc>
        <w:tc>
          <w:tcPr>
            <w:tcW w:type="dxa" w:w="3360"/>
            <w:vAlign w:val="center"/>
          </w:tcPr>
          <w:p>
            <w:r>
              <w:rPr>
                <w:sz w:val="17"/>
              </w:rPr>
              <w:t>Confirmed defects relative to delivered functionality</w:t>
            </w:r>
          </w:p>
        </w:tc>
        <w:tc>
          <w:tcPr>
            <w:tcW w:type="dxa" w:w="3360"/>
            <w:vAlign w:val="center"/>
          </w:tcPr>
          <w:p>
            <w:r>
              <w:rPr>
                <w:sz w:val="17"/>
              </w:rPr>
              <w:t>Declining trend over sprints</w:t>
            </w:r>
          </w:p>
        </w:tc>
      </w:tr>
      <w:tr>
        <w:tc>
          <w:tcPr>
            <w:tcW w:type="dxa" w:w="3360"/>
            <w:vAlign w:val="center"/>
          </w:tcPr>
          <w:p>
            <w:r>
              <w:rPr>
                <w:sz w:val="17"/>
              </w:rPr>
              <w:t>Critical Defects</w:t>
            </w:r>
          </w:p>
        </w:tc>
        <w:tc>
          <w:tcPr>
            <w:tcW w:type="dxa" w:w="3360"/>
            <w:vAlign w:val="center"/>
          </w:tcPr>
          <w:p>
            <w:r>
              <w:rPr>
                <w:sz w:val="17"/>
              </w:rPr>
              <w:t>Open critical issues at release</w:t>
            </w:r>
          </w:p>
        </w:tc>
        <w:tc>
          <w:tcPr>
            <w:tcW w:type="dxa" w:w="3360"/>
            <w:vAlign w:val="center"/>
          </w:tcPr>
          <w:p>
            <w:r>
              <w:rPr>
                <w:sz w:val="17"/>
              </w:rPr>
              <w:t>Target: zero unresolved critical defects</w:t>
            </w:r>
          </w:p>
        </w:tc>
      </w:tr>
      <w:tr>
        <w:tc>
          <w:tcPr>
            <w:tcW w:type="dxa" w:w="3360"/>
            <w:vAlign w:val="center"/>
          </w:tcPr>
          <w:p>
            <w:r>
              <w:rPr>
                <w:sz w:val="17"/>
              </w:rPr>
              <w:t>Defect Resolution Time</w:t>
            </w:r>
          </w:p>
        </w:tc>
        <w:tc>
          <w:tcPr>
            <w:tcW w:type="dxa" w:w="3360"/>
            <w:vAlign w:val="center"/>
          </w:tcPr>
          <w:p>
            <w:r>
              <w:rPr>
                <w:sz w:val="17"/>
              </w:rPr>
              <w:t>Average time from report to verified fix</w:t>
            </w:r>
          </w:p>
        </w:tc>
        <w:tc>
          <w:tcPr>
            <w:tcW w:type="dxa" w:w="3360"/>
            <w:vAlign w:val="center"/>
          </w:tcPr>
          <w:p>
            <w:r>
              <w:rPr>
                <w:sz w:val="17"/>
              </w:rPr>
              <w:t>Trend should decrease for recurring categories</w:t>
            </w:r>
          </w:p>
        </w:tc>
      </w:tr>
      <w:tr>
        <w:tc>
          <w:tcPr>
            <w:tcW w:type="dxa" w:w="3360"/>
            <w:vAlign w:val="center"/>
          </w:tcPr>
          <w:p>
            <w:r>
              <w:rPr>
                <w:sz w:val="17"/>
              </w:rPr>
              <w:t>Regression Pass Rate</w:t>
            </w:r>
          </w:p>
        </w:tc>
        <w:tc>
          <w:tcPr>
            <w:tcW w:type="dxa" w:w="3360"/>
            <w:vAlign w:val="center"/>
          </w:tcPr>
          <w:p>
            <w:r>
              <w:rPr>
                <w:sz w:val="17"/>
              </w:rPr>
              <w:t>Passed regression tests / executed</w:t>
            </w:r>
          </w:p>
        </w:tc>
        <w:tc>
          <w:tcPr>
            <w:tcW w:type="dxa" w:w="3360"/>
            <w:vAlign w:val="center"/>
          </w:tcPr>
          <w:p>
            <w:r>
              <w:rPr>
                <w:sz w:val="17"/>
              </w:rPr>
              <w:t>Target: 100% for critical-path tests</w:t>
            </w:r>
          </w:p>
        </w:tc>
      </w:tr>
      <w:tr>
        <w:tc>
          <w:tcPr>
            <w:tcW w:type="dxa" w:w="3360"/>
            <w:vAlign w:val="center"/>
          </w:tcPr>
          <w:p>
            <w:r>
              <w:rPr>
                <w:sz w:val="17"/>
              </w:rPr>
              <w:t>Code Review Quality</w:t>
            </w:r>
          </w:p>
        </w:tc>
        <w:tc>
          <w:tcPr>
            <w:tcW w:type="dxa" w:w="3360"/>
            <w:vAlign w:val="center"/>
          </w:tcPr>
          <w:p>
            <w:r>
              <w:rPr>
                <w:sz w:val="17"/>
              </w:rPr>
              <w:t>Review findings and rework trends</w:t>
            </w:r>
          </w:p>
        </w:tc>
        <w:tc>
          <w:tcPr>
            <w:tcW w:type="dxa" w:w="3360"/>
            <w:vAlign w:val="center"/>
          </w:tcPr>
          <w:p>
            <w:r>
              <w:rPr>
                <w:sz w:val="17"/>
              </w:rPr>
              <w:t>Fewer repeated review findings over time</w:t>
            </w:r>
          </w:p>
        </w:tc>
      </w:tr>
      <w:tr>
        <w:tc>
          <w:tcPr>
            <w:tcW w:type="dxa" w:w="3360"/>
            <w:vAlign w:val="center"/>
          </w:tcPr>
          <w:p>
            <w:r>
              <w:rPr>
                <w:sz w:val="17"/>
              </w:rPr>
              <w:t>User Satisfaction</w:t>
            </w:r>
          </w:p>
        </w:tc>
        <w:tc>
          <w:tcPr>
            <w:tcW w:type="dxa" w:w="3360"/>
            <w:vAlign w:val="center"/>
          </w:tcPr>
          <w:p>
            <w:r>
              <w:rPr>
                <w:sz w:val="17"/>
              </w:rPr>
              <w:t>Hypothetical survey score/task feedback</w:t>
            </w:r>
          </w:p>
        </w:tc>
        <w:tc>
          <w:tcPr>
            <w:tcW w:type="dxa" w:w="3360"/>
            <w:vAlign w:val="center"/>
          </w:tcPr>
          <w:p>
            <w:r>
              <w:rPr>
                <w:sz w:val="17"/>
              </w:rPr>
              <w:t>Improve across iterations</w:t>
            </w:r>
          </w:p>
        </w:tc>
      </w:tr>
      <w:tr>
        <w:tc>
          <w:tcPr>
            <w:tcW w:type="dxa" w:w="3360"/>
            <w:vAlign w:val="center"/>
          </w:tcPr>
          <w:p>
            <w:r>
              <w:rPr>
                <w:sz w:val="17"/>
              </w:rPr>
              <w:t>Performance</w:t>
            </w:r>
          </w:p>
        </w:tc>
        <w:tc>
          <w:tcPr>
            <w:tcW w:type="dxa" w:w="3360"/>
            <w:vAlign w:val="center"/>
          </w:tcPr>
          <w:p>
            <w:r>
              <w:rPr>
                <w:sz w:val="17"/>
              </w:rPr>
              <w:t>Response time for agreed workflows</w:t>
            </w:r>
          </w:p>
        </w:tc>
        <w:tc>
          <w:tcPr>
            <w:tcW w:type="dxa" w:w="3360"/>
            <w:vAlign w:val="center"/>
          </w:tcPr>
          <w:p>
            <w:r>
              <w:rPr>
                <w:sz w:val="17"/>
              </w:rPr>
              <w:t>Meet defined response targets under expected load</w:t>
            </w:r>
          </w:p>
        </w:tc>
      </w:tr>
    </w:tbl>
    <w:p>
      <w:pPr>
        <w:spacing w:after="40"/>
      </w:pPr>
    </w:p>
    <w:p>
      <w:pPr>
        <w:pStyle w:val="Heading1"/>
      </w:pPr>
      <w:r>
        <w:t>6. Lessons Learned by Phase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Phase</w:t>
            </w:r>
          </w:p>
        </w:tc>
        <w:tc>
          <w:tcPr>
            <w:tcW w:type="dxa" w:w="3360"/>
            <w:shd w:fill="1F4E78"/>
          </w:tcPr>
          <w:p>
            <w:r>
              <w:rPr>
                <w:b/>
                <w:color w:val="FFFFFF"/>
                <w:sz w:val="17"/>
              </w:rPr>
              <w:t>Lesson Learned</w:t>
            </w:r>
          </w:p>
        </w:tc>
        <w:tc>
          <w:tcPr>
            <w:tcW w:type="dxa" w:w="3360"/>
            <w:shd w:fill="1F4E78"/>
          </w:tcPr>
          <w:p>
            <w:r>
              <w:rPr>
                <w:b/>
                <w:color w:val="FFFFFF"/>
                <w:sz w:val="17"/>
              </w:rPr>
              <w:t>Future Action</w:t>
            </w:r>
          </w:p>
        </w:tc>
      </w:tr>
      <w:tr>
        <w:tc>
          <w:tcPr>
            <w:tcW w:type="dxa" w:w="3360"/>
            <w:vAlign w:val="center"/>
          </w:tcPr>
          <w:p>
            <w:r>
              <w:rPr>
                <w:sz w:val="17"/>
              </w:rPr>
              <w:t>Planning</w:t>
            </w:r>
          </w:p>
        </w:tc>
        <w:tc>
          <w:tcPr>
            <w:tcW w:type="dxa" w:w="3360"/>
            <w:vAlign w:val="center"/>
          </w:tcPr>
          <w:p>
            <w:r>
              <w:rPr>
                <w:sz w:val="17"/>
              </w:rPr>
              <w:t>Scope control is essential for realistic delivery.</w:t>
            </w:r>
          </w:p>
        </w:tc>
        <w:tc>
          <w:tcPr>
            <w:tcW w:type="dxa" w:w="3360"/>
            <w:vAlign w:val="center"/>
          </w:tcPr>
          <w:p>
            <w:r>
              <w:rPr>
                <w:sz w:val="17"/>
              </w:rPr>
              <w:t>Prioritize MVP and explicitly defer enhancements.</w:t>
            </w:r>
          </w:p>
        </w:tc>
      </w:tr>
      <w:tr>
        <w:tc>
          <w:tcPr>
            <w:tcW w:type="dxa" w:w="3360"/>
            <w:vAlign w:val="center"/>
          </w:tcPr>
          <w:p>
            <w:r>
              <w:rPr>
                <w:sz w:val="17"/>
              </w:rPr>
              <w:t>Requirements</w:t>
            </w:r>
          </w:p>
        </w:tc>
        <w:tc>
          <w:tcPr>
            <w:tcW w:type="dxa" w:w="3360"/>
            <w:vAlign w:val="center"/>
          </w:tcPr>
          <w:p>
            <w:r>
              <w:rPr>
                <w:sz w:val="17"/>
              </w:rPr>
              <w:t>Ambiguous business rules create rework.</w:t>
            </w:r>
          </w:p>
        </w:tc>
        <w:tc>
          <w:tcPr>
            <w:tcW w:type="dxa" w:w="3360"/>
            <w:vAlign w:val="center"/>
          </w:tcPr>
          <w:p>
            <w:r>
              <w:rPr>
                <w:sz w:val="17"/>
              </w:rPr>
              <w:t>Define acceptance criteria and examples early.</w:t>
            </w:r>
          </w:p>
        </w:tc>
      </w:tr>
      <w:tr>
        <w:tc>
          <w:tcPr>
            <w:tcW w:type="dxa" w:w="3360"/>
            <w:vAlign w:val="center"/>
          </w:tcPr>
          <w:p>
            <w:r>
              <w:rPr>
                <w:sz w:val="17"/>
              </w:rPr>
              <w:t>Architecture</w:t>
            </w:r>
          </w:p>
        </w:tc>
        <w:tc>
          <w:tcPr>
            <w:tcW w:type="dxa" w:w="3360"/>
            <w:vAlign w:val="center"/>
          </w:tcPr>
          <w:p>
            <w:r>
              <w:rPr>
                <w:sz w:val="17"/>
              </w:rPr>
              <w:t>Clear separation improves testing and changeability.</w:t>
            </w:r>
          </w:p>
        </w:tc>
        <w:tc>
          <w:tcPr>
            <w:tcW w:type="dxa" w:w="3360"/>
            <w:vAlign w:val="center"/>
          </w:tcPr>
          <w:p>
            <w:r>
              <w:rPr>
                <w:sz w:val="17"/>
              </w:rPr>
              <w:t>Maintain module boundaries and API contracts.</w:t>
            </w:r>
          </w:p>
        </w:tc>
      </w:tr>
      <w:tr>
        <w:tc>
          <w:tcPr>
            <w:tcW w:type="dxa" w:w="3360"/>
            <w:vAlign w:val="center"/>
          </w:tcPr>
          <w:p>
            <w:r>
              <w:rPr>
                <w:sz w:val="17"/>
              </w:rPr>
              <w:t>Implementation</w:t>
            </w:r>
          </w:p>
        </w:tc>
        <w:tc>
          <w:tcPr>
            <w:tcW w:type="dxa" w:w="3360"/>
            <w:vAlign w:val="center"/>
          </w:tcPr>
          <w:p>
            <w:r>
              <w:rPr>
                <w:sz w:val="17"/>
              </w:rPr>
              <w:t>Small changes integrate more safely.</w:t>
            </w:r>
          </w:p>
        </w:tc>
        <w:tc>
          <w:tcPr>
            <w:tcW w:type="dxa" w:w="3360"/>
            <w:vAlign w:val="center"/>
          </w:tcPr>
          <w:p>
            <w:r>
              <w:rPr>
                <w:sz w:val="17"/>
              </w:rPr>
              <w:t>Use focused branches and frequent integration.</w:t>
            </w:r>
          </w:p>
        </w:tc>
      </w:tr>
      <w:tr>
        <w:tc>
          <w:tcPr>
            <w:tcW w:type="dxa" w:w="3360"/>
            <w:vAlign w:val="center"/>
          </w:tcPr>
          <w:p>
            <w:r>
              <w:rPr>
                <w:sz w:val="17"/>
              </w:rPr>
              <w:t>Testing</w:t>
            </w:r>
          </w:p>
        </w:tc>
        <w:tc>
          <w:tcPr>
            <w:tcW w:type="dxa" w:w="3360"/>
            <w:vAlign w:val="center"/>
          </w:tcPr>
          <w:p>
            <w:r>
              <w:rPr>
                <w:sz w:val="17"/>
              </w:rPr>
              <w:t>Early testing reduces late-stage surprises.</w:t>
            </w:r>
          </w:p>
        </w:tc>
        <w:tc>
          <w:tcPr>
            <w:tcW w:type="dxa" w:w="3360"/>
            <w:vAlign w:val="center"/>
          </w:tcPr>
          <w:p>
            <w:r>
              <w:rPr>
                <w:sz w:val="17"/>
              </w:rPr>
              <w:t>Test each story before declaring it done.</w:t>
            </w:r>
          </w:p>
        </w:tc>
      </w:tr>
      <w:tr>
        <w:tc>
          <w:tcPr>
            <w:tcW w:type="dxa" w:w="3360"/>
            <w:vAlign w:val="center"/>
          </w:tcPr>
          <w:p>
            <w:r>
              <w:rPr>
                <w:sz w:val="17"/>
              </w:rPr>
              <w:t>Code Review</w:t>
            </w:r>
          </w:p>
        </w:tc>
        <w:tc>
          <w:tcPr>
            <w:tcW w:type="dxa" w:w="3360"/>
            <w:vAlign w:val="center"/>
          </w:tcPr>
          <w:p>
            <w:r>
              <w:rPr>
                <w:sz w:val="17"/>
              </w:rPr>
              <w:t>Review quality improves with checklists.</w:t>
            </w:r>
          </w:p>
        </w:tc>
        <w:tc>
          <w:tcPr>
            <w:tcW w:type="dxa" w:w="3360"/>
            <w:vAlign w:val="center"/>
          </w:tcPr>
          <w:p>
            <w:r>
              <w:rPr>
                <w:sz w:val="17"/>
              </w:rPr>
              <w:t>Use risk-based review for security and data changes.</w:t>
            </w:r>
          </w:p>
        </w:tc>
      </w:tr>
      <w:tr>
        <w:tc>
          <w:tcPr>
            <w:tcW w:type="dxa" w:w="3360"/>
            <w:vAlign w:val="center"/>
          </w:tcPr>
          <w:p>
            <w:r>
              <w:rPr>
                <w:sz w:val="17"/>
              </w:rPr>
              <w:t>Deployment</w:t>
            </w:r>
          </w:p>
        </w:tc>
        <w:tc>
          <w:tcPr>
            <w:tcW w:type="dxa" w:w="3360"/>
            <w:vAlign w:val="center"/>
          </w:tcPr>
          <w:p>
            <w:r>
              <w:rPr>
                <w:sz w:val="17"/>
              </w:rPr>
              <w:t>Configuration can cause failures even when code is correct.</w:t>
            </w:r>
          </w:p>
        </w:tc>
        <w:tc>
          <w:tcPr>
            <w:tcW w:type="dxa" w:w="3360"/>
            <w:vAlign w:val="center"/>
          </w:tcPr>
          <w:p>
            <w:r>
              <w:rPr>
                <w:sz w:val="17"/>
              </w:rPr>
              <w:t>Validate environment configuration automatically.</w:t>
            </w:r>
          </w:p>
        </w:tc>
      </w:tr>
      <w:tr>
        <w:tc>
          <w:tcPr>
            <w:tcW w:type="dxa" w:w="3360"/>
            <w:vAlign w:val="center"/>
          </w:tcPr>
          <w:p>
            <w:r>
              <w:rPr>
                <w:sz w:val="17"/>
              </w:rPr>
              <w:t>Retrospective</w:t>
            </w:r>
          </w:p>
        </w:tc>
        <w:tc>
          <w:tcPr>
            <w:tcW w:type="dxa" w:w="3360"/>
            <w:vAlign w:val="center"/>
          </w:tcPr>
          <w:p>
            <w:r>
              <w:rPr>
                <w:sz w:val="17"/>
              </w:rPr>
              <w:t>Action items need owners and follow-up.</w:t>
            </w:r>
          </w:p>
        </w:tc>
        <w:tc>
          <w:tcPr>
            <w:tcW w:type="dxa" w:w="3360"/>
            <w:vAlign w:val="center"/>
          </w:tcPr>
          <w:p>
            <w:r>
              <w:rPr>
                <w:sz w:val="17"/>
              </w:rPr>
              <w:t>Track improvement actions in the next sprint backlog.</w:t>
            </w:r>
          </w:p>
        </w:tc>
      </w:tr>
    </w:tbl>
    <w:p>
      <w:pPr>
        <w:spacing w:after="40"/>
      </w:pPr>
    </w:p>
    <w:p>
      <w:pPr>
        <w:pStyle w:val="Heading1"/>
      </w:pPr>
      <w:r>
        <w:t>7. Future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Horizon</w:t>
            </w:r>
          </w:p>
        </w:tc>
        <w:tc>
          <w:tcPr>
            <w:tcW w:type="dxa" w:w="3360"/>
            <w:shd w:fill="1F4E78"/>
          </w:tcPr>
          <w:p>
            <w:r>
              <w:rPr>
                <w:b/>
                <w:color w:val="FFFFFF"/>
                <w:sz w:val="17"/>
              </w:rPr>
              <w:t>Enhancement</w:t>
            </w:r>
          </w:p>
        </w:tc>
        <w:tc>
          <w:tcPr>
            <w:tcW w:type="dxa" w:w="3360"/>
            <w:shd w:fill="1F4E78"/>
          </w:tcPr>
          <w:p>
            <w:r>
              <w:rPr>
                <w:b/>
                <w:color w:val="FFFFFF"/>
                <w:sz w:val="17"/>
              </w:rPr>
              <w:t>Value</w:t>
            </w:r>
          </w:p>
        </w:tc>
      </w:tr>
      <w:tr>
        <w:tc>
          <w:tcPr>
            <w:tcW w:type="dxa" w:w="3360"/>
            <w:vAlign w:val="center"/>
          </w:tcPr>
          <w:p>
            <w:r>
              <w:rPr>
                <w:sz w:val="17"/>
              </w:rPr>
              <w:t>0–3 months</w:t>
            </w:r>
          </w:p>
        </w:tc>
        <w:tc>
          <w:tcPr>
            <w:tcW w:type="dxa" w:w="3360"/>
            <w:vAlign w:val="center"/>
          </w:tcPr>
          <w:p>
            <w:r>
              <w:rPr>
                <w:sz w:val="17"/>
              </w:rPr>
              <w:t>Advanced search/filtering and richer reports</w:t>
            </w:r>
          </w:p>
        </w:tc>
        <w:tc>
          <w:tcPr>
            <w:tcW w:type="dxa" w:w="3360"/>
            <w:vAlign w:val="center"/>
          </w:tcPr>
          <w:p>
            <w:r>
              <w:rPr>
                <w:sz w:val="17"/>
              </w:rPr>
              <w:t>Better usability and operational insight</w:t>
            </w:r>
          </w:p>
        </w:tc>
      </w:tr>
      <w:tr>
        <w:tc>
          <w:tcPr>
            <w:tcW w:type="dxa" w:w="3360"/>
            <w:vAlign w:val="center"/>
          </w:tcPr>
          <w:p>
            <w:r>
              <w:rPr>
                <w:sz w:val="17"/>
              </w:rPr>
              <w:t>0–3 months</w:t>
            </w:r>
          </w:p>
        </w:tc>
        <w:tc>
          <w:tcPr>
            <w:tcW w:type="dxa" w:w="3360"/>
            <w:vAlign w:val="center"/>
          </w:tcPr>
          <w:p>
            <w:r>
              <w:rPr>
                <w:sz w:val="17"/>
              </w:rPr>
              <w:t>Automated CI/CD and expanded regression suite</w:t>
            </w:r>
          </w:p>
        </w:tc>
        <w:tc>
          <w:tcPr>
            <w:tcW w:type="dxa" w:w="3360"/>
            <w:vAlign w:val="center"/>
          </w:tcPr>
          <w:p>
            <w:r>
              <w:rPr>
                <w:sz w:val="17"/>
              </w:rPr>
              <w:t>Faster, safer releases</w:t>
            </w:r>
          </w:p>
        </w:tc>
      </w:tr>
      <w:tr>
        <w:tc>
          <w:tcPr>
            <w:tcW w:type="dxa" w:w="3360"/>
            <w:vAlign w:val="center"/>
          </w:tcPr>
          <w:p>
            <w:r>
              <w:rPr>
                <w:sz w:val="17"/>
              </w:rPr>
              <w:t>3–6 months</w:t>
            </w:r>
          </w:p>
        </w:tc>
        <w:tc>
          <w:tcPr>
            <w:tcW w:type="dxa" w:w="3360"/>
            <w:vAlign w:val="center"/>
          </w:tcPr>
          <w:p>
            <w:r>
              <w:rPr>
                <w:sz w:val="17"/>
              </w:rPr>
              <w:t>Online fine payment integration</w:t>
            </w:r>
          </w:p>
        </w:tc>
        <w:tc>
          <w:tcPr>
            <w:tcW w:type="dxa" w:w="3360"/>
            <w:vAlign w:val="center"/>
          </w:tcPr>
          <w:p>
            <w:r>
              <w:rPr>
                <w:sz w:val="17"/>
              </w:rPr>
              <w:t>Convenient settlement workflow</w:t>
            </w:r>
          </w:p>
        </w:tc>
      </w:tr>
      <w:tr>
        <w:tc>
          <w:tcPr>
            <w:tcW w:type="dxa" w:w="3360"/>
            <w:vAlign w:val="center"/>
          </w:tcPr>
          <w:p>
            <w:r>
              <w:rPr>
                <w:sz w:val="17"/>
              </w:rPr>
              <w:t>3–6 months</w:t>
            </w:r>
          </w:p>
        </w:tc>
        <w:tc>
          <w:tcPr>
            <w:tcW w:type="dxa" w:w="3360"/>
            <w:vAlign w:val="center"/>
          </w:tcPr>
          <w:p>
            <w:r>
              <w:rPr>
                <w:sz w:val="17"/>
              </w:rPr>
              <w:t>Email/SMS due-date reminders</w:t>
            </w:r>
          </w:p>
        </w:tc>
        <w:tc>
          <w:tcPr>
            <w:tcW w:type="dxa" w:w="3360"/>
            <w:vAlign w:val="center"/>
          </w:tcPr>
          <w:p>
            <w:r>
              <w:rPr>
                <w:sz w:val="17"/>
              </w:rPr>
              <w:t>Reduce overdue books</w:t>
            </w:r>
          </w:p>
        </w:tc>
      </w:tr>
      <w:tr>
        <w:tc>
          <w:tcPr>
            <w:tcW w:type="dxa" w:w="3360"/>
            <w:vAlign w:val="center"/>
          </w:tcPr>
          <w:p>
            <w:r>
              <w:rPr>
                <w:sz w:val="17"/>
              </w:rPr>
              <w:t>3–6 months</w:t>
            </w:r>
          </w:p>
        </w:tc>
        <w:tc>
          <w:tcPr>
            <w:tcW w:type="dxa" w:w="3360"/>
            <w:vAlign w:val="center"/>
          </w:tcPr>
          <w:p>
            <w:r>
              <w:rPr>
                <w:sz w:val="17"/>
              </w:rPr>
              <w:t>Dashboard and analytics</w:t>
            </w:r>
          </w:p>
        </w:tc>
        <w:tc>
          <w:tcPr>
            <w:tcW w:type="dxa" w:w="3360"/>
            <w:vAlign w:val="center"/>
          </w:tcPr>
          <w:p>
            <w:r>
              <w:rPr>
                <w:sz w:val="17"/>
              </w:rPr>
              <w:t>Better circulation/inventory decisions</w:t>
            </w:r>
          </w:p>
        </w:tc>
      </w:tr>
      <w:tr>
        <w:tc>
          <w:tcPr>
            <w:tcW w:type="dxa" w:w="3360"/>
            <w:vAlign w:val="center"/>
          </w:tcPr>
          <w:p>
            <w:r>
              <w:rPr>
                <w:sz w:val="17"/>
              </w:rPr>
              <w:t>6–12 months</w:t>
            </w:r>
          </w:p>
        </w:tc>
        <w:tc>
          <w:tcPr>
            <w:tcW w:type="dxa" w:w="3360"/>
            <w:vAlign w:val="center"/>
          </w:tcPr>
          <w:p>
            <w:r>
              <w:rPr>
                <w:sz w:val="17"/>
              </w:rPr>
              <w:t>Cloud-native scaling and managed database</w:t>
            </w:r>
          </w:p>
        </w:tc>
        <w:tc>
          <w:tcPr>
            <w:tcW w:type="dxa" w:w="3360"/>
            <w:vAlign w:val="center"/>
          </w:tcPr>
          <w:p>
            <w:r>
              <w:rPr>
                <w:sz w:val="17"/>
              </w:rPr>
              <w:t>Improved availability and scalability</w:t>
            </w:r>
          </w:p>
        </w:tc>
      </w:tr>
      <w:tr>
        <w:tc>
          <w:tcPr>
            <w:tcW w:type="dxa" w:w="3360"/>
            <w:vAlign w:val="center"/>
          </w:tcPr>
          <w:p>
            <w:r>
              <w:rPr>
                <w:sz w:val="17"/>
              </w:rPr>
              <w:t>6–12 months</w:t>
            </w:r>
          </w:p>
        </w:tc>
        <w:tc>
          <w:tcPr>
            <w:tcW w:type="dxa" w:w="3360"/>
            <w:vAlign w:val="center"/>
          </w:tcPr>
          <w:p>
            <w:r>
              <w:rPr>
                <w:sz w:val="17"/>
              </w:rPr>
              <w:t>Mobile-responsive/PWA experience</w:t>
            </w:r>
          </w:p>
        </w:tc>
        <w:tc>
          <w:tcPr>
            <w:tcW w:type="dxa" w:w="3360"/>
            <w:vAlign w:val="center"/>
          </w:tcPr>
          <w:p>
            <w:r>
              <w:rPr>
                <w:sz w:val="17"/>
              </w:rPr>
              <w:t>Better member access</w:t>
            </w:r>
          </w:p>
        </w:tc>
      </w:tr>
      <w:tr>
        <w:tc>
          <w:tcPr>
            <w:tcW w:type="dxa" w:w="3360"/>
            <w:vAlign w:val="center"/>
          </w:tcPr>
          <w:p>
            <w:r>
              <w:rPr>
                <w:sz w:val="17"/>
              </w:rPr>
              <w:t>6–12 months</w:t>
            </w:r>
          </w:p>
        </w:tc>
        <w:tc>
          <w:tcPr>
            <w:tcW w:type="dxa" w:w="3360"/>
            <w:vAlign w:val="center"/>
          </w:tcPr>
          <w:p>
            <w:r>
              <w:rPr>
                <w:sz w:val="17"/>
              </w:rPr>
              <w:t>Multi-branch support</w:t>
            </w:r>
          </w:p>
        </w:tc>
        <w:tc>
          <w:tcPr>
            <w:tcW w:type="dxa" w:w="3360"/>
            <w:vAlign w:val="center"/>
          </w:tcPr>
          <w:p>
            <w:r>
              <w:rPr>
                <w:sz w:val="17"/>
              </w:rPr>
              <w:t>Expand organizational use</w:t>
            </w:r>
          </w:p>
        </w:tc>
      </w:tr>
      <w:tr>
        <w:tc>
          <w:tcPr>
            <w:tcW w:type="dxa" w:w="3360"/>
            <w:vAlign w:val="center"/>
          </w:tcPr>
          <w:p>
            <w:r>
              <w:rPr>
                <w:sz w:val="17"/>
              </w:rPr>
              <w:t>12+ months</w:t>
            </w:r>
          </w:p>
        </w:tc>
        <w:tc>
          <w:tcPr>
            <w:tcW w:type="dxa" w:w="3360"/>
            <w:vAlign w:val="center"/>
          </w:tcPr>
          <w:p>
            <w:r>
              <w:rPr>
                <w:sz w:val="17"/>
              </w:rPr>
              <w:t>RFID/device integration</w:t>
            </w:r>
          </w:p>
        </w:tc>
        <w:tc>
          <w:tcPr>
            <w:tcW w:type="dxa" w:w="3360"/>
            <w:vAlign w:val="center"/>
          </w:tcPr>
          <w:p>
            <w:r>
              <w:rPr>
                <w:sz w:val="17"/>
              </w:rPr>
              <w:t>Automate physical circulation operations</w:t>
            </w:r>
          </w:p>
        </w:tc>
      </w:tr>
      <w:tr>
        <w:tc>
          <w:tcPr>
            <w:tcW w:type="dxa" w:w="3360"/>
            <w:vAlign w:val="center"/>
          </w:tcPr>
          <w:p>
            <w:r>
              <w:rPr>
                <w:sz w:val="17"/>
              </w:rPr>
              <w:t>12+ months</w:t>
            </w:r>
          </w:p>
        </w:tc>
        <w:tc>
          <w:tcPr>
            <w:tcW w:type="dxa" w:w="3360"/>
            <w:vAlign w:val="center"/>
          </w:tcPr>
          <w:p>
            <w:r>
              <w:rPr>
                <w:sz w:val="17"/>
              </w:rPr>
              <w:t>Recommendation/search intelligence</w:t>
            </w:r>
          </w:p>
        </w:tc>
        <w:tc>
          <w:tcPr>
            <w:tcW w:type="dxa" w:w="3360"/>
            <w:vAlign w:val="center"/>
          </w:tcPr>
          <w:p>
            <w:r>
              <w:rPr>
                <w:sz w:val="17"/>
              </w:rPr>
              <w:t>Personalized discovery, if justified by data and privacy review</w:t>
            </w:r>
          </w:p>
        </w:tc>
      </w:tr>
    </w:tbl>
    <w:p>
      <w:pPr>
        <w:spacing w:after="40"/>
      </w:pPr>
    </w:p>
    <w:p>
      <w:pPr>
        <w:pStyle w:val="Heading1"/>
      </w:pPr>
      <w:r>
        <w:t>8. Scalability and Technology Improvements</w:t>
      </w:r>
    </w:p>
    <w:p>
      <w:pPr>
        <w:pStyle w:val="ListBullet"/>
        <w:spacing w:after="60"/>
      </w:pPr>
      <w:r>
        <w:t>Introduce caching only where measurement shows a meaningful bottleneck.</w:t>
      </w:r>
    </w:p>
    <w:p>
      <w:pPr>
        <w:pStyle w:val="ListBullet"/>
        <w:spacing w:after="60"/>
      </w:pPr>
      <w:r>
        <w:t>Use database indexing and query analysis for large catalogs.</w:t>
      </w:r>
    </w:p>
    <w:p>
      <w:pPr>
        <w:pStyle w:val="ListBullet"/>
        <w:spacing w:after="60"/>
      </w:pPr>
      <w:r>
        <w:t>Separate read-heavy reporting workloads if scale requires it.</w:t>
      </w:r>
    </w:p>
    <w:p>
      <w:pPr>
        <w:pStyle w:val="ListBullet"/>
        <w:spacing w:after="60"/>
      </w:pPr>
      <w:r>
        <w:t>Use asynchronous processing for notifications and other noncritical background tasks.</w:t>
      </w:r>
    </w:p>
    <w:p>
      <w:pPr>
        <w:pStyle w:val="ListBullet"/>
        <w:spacing w:after="60"/>
      </w:pPr>
      <w:r>
        <w:t>Containerize deployment for reproducibility when operational maturity supports it.</w:t>
      </w:r>
    </w:p>
    <w:p>
      <w:pPr>
        <w:pStyle w:val="ListBullet"/>
        <w:spacing w:after="60"/>
      </w:pPr>
      <w:r>
        <w:t>Centralize application monitoring and error reporting.</w:t>
      </w:r>
    </w:p>
    <w:p>
      <w:pPr>
        <w:pStyle w:val="ListBullet"/>
        <w:spacing w:after="60"/>
      </w:pPr>
      <w:r>
        <w:t>Adopt automated dependency and security scanning in CI.</w:t>
      </w:r>
    </w:p>
    <w:p>
      <w:pPr>
        <w:pStyle w:val="Heading1"/>
      </w:pPr>
      <w:r>
        <w:t>9. Future Risk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Risk</w:t>
            </w:r>
          </w:p>
        </w:tc>
        <w:tc>
          <w:tcPr>
            <w:tcW w:type="dxa" w:w="3360"/>
            <w:shd w:fill="1F4E78"/>
          </w:tcPr>
          <w:p>
            <w:r>
              <w:rPr>
                <w:b/>
                <w:color w:val="FFFFFF"/>
                <w:sz w:val="17"/>
              </w:rPr>
              <w:t>Future Impact</w:t>
            </w:r>
          </w:p>
        </w:tc>
        <w:tc>
          <w:tcPr>
            <w:tcW w:type="dxa" w:w="3360"/>
            <w:shd w:fill="1F4E78"/>
          </w:tcPr>
          <w:p>
            <w:r>
              <w:rPr>
                <w:b/>
                <w:color w:val="FFFFFF"/>
                <w:sz w:val="17"/>
              </w:rPr>
              <w:t>Mitigation</w:t>
            </w:r>
          </w:p>
        </w:tc>
      </w:tr>
      <w:tr>
        <w:tc>
          <w:tcPr>
            <w:tcW w:type="dxa" w:w="3360"/>
            <w:vAlign w:val="center"/>
          </w:tcPr>
          <w:p>
            <w:r>
              <w:rPr>
                <w:sz w:val="17"/>
              </w:rPr>
              <w:t>Growing data volume</w:t>
            </w:r>
          </w:p>
        </w:tc>
        <w:tc>
          <w:tcPr>
            <w:tcW w:type="dxa" w:w="3360"/>
            <w:vAlign w:val="center"/>
          </w:tcPr>
          <w:p>
            <w:r>
              <w:rPr>
                <w:sz w:val="17"/>
              </w:rPr>
              <w:t>Slow search/reporting</w:t>
            </w:r>
          </w:p>
        </w:tc>
        <w:tc>
          <w:tcPr>
            <w:tcW w:type="dxa" w:w="3360"/>
            <w:vAlign w:val="center"/>
          </w:tcPr>
          <w:p>
            <w:r>
              <w:rPr>
                <w:sz w:val="17"/>
              </w:rPr>
              <w:t>Indexes, query optimization, pagination and performance tests</w:t>
            </w:r>
          </w:p>
        </w:tc>
      </w:tr>
      <w:tr>
        <w:tc>
          <w:tcPr>
            <w:tcW w:type="dxa" w:w="3360"/>
            <w:vAlign w:val="center"/>
          </w:tcPr>
          <w:p>
            <w:r>
              <w:rPr>
                <w:sz w:val="17"/>
              </w:rPr>
              <w:t>More concurrent users</w:t>
            </w:r>
          </w:p>
        </w:tc>
        <w:tc>
          <w:tcPr>
            <w:tcW w:type="dxa" w:w="3360"/>
            <w:vAlign w:val="center"/>
          </w:tcPr>
          <w:p>
            <w:r>
              <w:rPr>
                <w:sz w:val="17"/>
              </w:rPr>
              <w:t>Concurrency/data integrity issues</w:t>
            </w:r>
          </w:p>
        </w:tc>
        <w:tc>
          <w:tcPr>
            <w:tcW w:type="dxa" w:w="3360"/>
            <w:vAlign w:val="center"/>
          </w:tcPr>
          <w:p>
            <w:r>
              <w:rPr>
                <w:sz w:val="17"/>
              </w:rPr>
              <w:t>Load testing, transactions and scalable infrastructure</w:t>
            </w:r>
          </w:p>
        </w:tc>
      </w:tr>
      <w:tr>
        <w:tc>
          <w:tcPr>
            <w:tcW w:type="dxa" w:w="3360"/>
            <w:vAlign w:val="center"/>
          </w:tcPr>
          <w:p>
            <w:r>
              <w:rPr>
                <w:sz w:val="17"/>
              </w:rPr>
              <w:t>Third-party integration changes</w:t>
            </w:r>
          </w:p>
        </w:tc>
        <w:tc>
          <w:tcPr>
            <w:tcW w:type="dxa" w:w="3360"/>
            <w:vAlign w:val="center"/>
          </w:tcPr>
          <w:p>
            <w:r>
              <w:rPr>
                <w:sz w:val="17"/>
              </w:rPr>
              <w:t>Feature outages</w:t>
            </w:r>
          </w:p>
        </w:tc>
        <w:tc>
          <w:tcPr>
            <w:tcW w:type="dxa" w:w="3360"/>
            <w:vAlign w:val="center"/>
          </w:tcPr>
          <w:p>
            <w:r>
              <w:rPr>
                <w:sz w:val="17"/>
              </w:rPr>
              <w:t>Versioned integrations, monitoring and fallback handling</w:t>
            </w:r>
          </w:p>
        </w:tc>
      </w:tr>
      <w:tr>
        <w:tc>
          <w:tcPr>
            <w:tcW w:type="dxa" w:w="3360"/>
            <w:vAlign w:val="center"/>
          </w:tcPr>
          <w:p>
            <w:r>
              <w:rPr>
                <w:sz w:val="17"/>
              </w:rPr>
              <w:t>Security threats</w:t>
            </w:r>
          </w:p>
        </w:tc>
        <w:tc>
          <w:tcPr>
            <w:tcW w:type="dxa" w:w="3360"/>
            <w:vAlign w:val="center"/>
          </w:tcPr>
          <w:p>
            <w:r>
              <w:rPr>
                <w:sz w:val="17"/>
              </w:rPr>
              <w:t>Data compromise</w:t>
            </w:r>
          </w:p>
        </w:tc>
        <w:tc>
          <w:tcPr>
            <w:tcW w:type="dxa" w:w="3360"/>
            <w:vAlign w:val="center"/>
          </w:tcPr>
          <w:p>
            <w:r>
              <w:rPr>
                <w:sz w:val="17"/>
              </w:rPr>
              <w:t>Regular dependency updates, security testing and access reviews</w:t>
            </w:r>
          </w:p>
        </w:tc>
      </w:tr>
      <w:tr>
        <w:tc>
          <w:tcPr>
            <w:tcW w:type="dxa" w:w="3360"/>
            <w:vAlign w:val="center"/>
          </w:tcPr>
          <w:p>
            <w:r>
              <w:rPr>
                <w:sz w:val="17"/>
              </w:rPr>
              <w:t>Feature expansion</w:t>
            </w:r>
          </w:p>
        </w:tc>
        <w:tc>
          <w:tcPr>
            <w:tcW w:type="dxa" w:w="3360"/>
            <w:vAlign w:val="center"/>
          </w:tcPr>
          <w:p>
            <w:r>
              <w:rPr>
                <w:sz w:val="17"/>
              </w:rPr>
              <w:t>Scope and maintenance complexity</w:t>
            </w:r>
          </w:p>
        </w:tc>
        <w:tc>
          <w:tcPr>
            <w:tcW w:type="dxa" w:w="3360"/>
            <w:vAlign w:val="center"/>
          </w:tcPr>
          <w:p>
            <w:r>
              <w:rPr>
                <w:sz w:val="17"/>
              </w:rPr>
              <w:t>Architecture governance and prioritized roadmap</w:t>
            </w:r>
          </w:p>
        </w:tc>
      </w:tr>
      <w:tr>
        <w:tc>
          <w:tcPr>
            <w:tcW w:type="dxa" w:w="3360"/>
            <w:vAlign w:val="center"/>
          </w:tcPr>
          <w:p>
            <w:r>
              <w:rPr>
                <w:sz w:val="17"/>
              </w:rPr>
              <w:t>Knowledge silos</w:t>
            </w:r>
          </w:p>
        </w:tc>
        <w:tc>
          <w:tcPr>
            <w:tcW w:type="dxa" w:w="3360"/>
            <w:vAlign w:val="center"/>
          </w:tcPr>
          <w:p>
            <w:r>
              <w:rPr>
                <w:sz w:val="17"/>
              </w:rPr>
              <w:t>Slower support</w:t>
            </w:r>
          </w:p>
        </w:tc>
        <w:tc>
          <w:tcPr>
            <w:tcW w:type="dxa" w:w="3360"/>
            <w:vAlign w:val="center"/>
          </w:tcPr>
          <w:p>
            <w:r>
              <w:rPr>
                <w:sz w:val="17"/>
              </w:rPr>
              <w:t>Documentation, pairing and cross-training</w:t>
            </w:r>
          </w:p>
        </w:tc>
      </w:tr>
    </w:tbl>
    <w:p>
      <w:pPr>
        <w:spacing w:after="40"/>
      </w:pPr>
    </w:p>
    <w:p>
      <w:pPr>
        <w:pStyle w:val="Heading1"/>
      </w:pPr>
      <w:r>
        <w:t>10. Continuous Improvement Cycle</w:t>
      </w:r>
    </w:p>
    <w:p>
      <w:pPr>
        <w:pStyle w:val="ListNumber"/>
        <w:spacing w:after="60"/>
      </w:pPr>
      <w:r>
        <w:t>Measure KPIs and collect user/developer feedback.</w:t>
      </w:r>
    </w:p>
    <w:p>
      <w:pPr>
        <w:pStyle w:val="ListNumber"/>
        <w:spacing w:after="60"/>
      </w:pPr>
      <w:r>
        <w:t>Identify the highest-impact improvement opportunity.</w:t>
      </w:r>
    </w:p>
    <w:p>
      <w:pPr>
        <w:pStyle w:val="ListNumber"/>
        <w:spacing w:after="60"/>
      </w:pPr>
      <w:r>
        <w:t>Create and prioritize an improvement backlog item.</w:t>
      </w:r>
    </w:p>
    <w:p>
      <w:pPr>
        <w:pStyle w:val="ListNumber"/>
        <w:spacing w:after="60"/>
      </w:pPr>
      <w:r>
        <w:t>Implement the change in a controlled iteration.</w:t>
      </w:r>
    </w:p>
    <w:p>
      <w:pPr>
        <w:pStyle w:val="ListNumber"/>
        <w:spacing w:after="60"/>
      </w:pPr>
      <w:r>
        <w:t>Test and measure the result against the baseline.</w:t>
      </w:r>
    </w:p>
    <w:p>
      <w:pPr>
        <w:pStyle w:val="ListNumber"/>
        <w:spacing w:after="60"/>
      </w:pPr>
      <w:r>
        <w:t>Document the lesson and standardize successful practices.</w:t>
      </w:r>
    </w:p>
    <w:p>
      <w:pPr>
        <w:pStyle w:val="Heading1"/>
      </w:pPr>
      <w:r>
        <w:t>11. Final Assessment</w:t>
      </w:r>
    </w:p>
    <w:p>
      <w:pPr>
        <w:spacing w:after="120" w:line="259" w:lineRule="auto"/>
      </w:pPr>
      <w:r>
        <w:t>The Library Management System provides a feasible example of how a software project can be planned, implemented, tested, reviewed, evaluated, and continuously improved. The strongest aspects of the proposed lifecycle are incremental delivery, explicit quality gates, structured defect management, and measurable outcomes. Future work should prioritize improvements based on evidence rather than adding features solely for complexity.</w:t>
      </w:r>
    </w:p>
    <w:p>
      <w:pPr>
        <w:pStyle w:val="Heading1"/>
      </w:pPr>
      <w:r>
        <w:t>12. Publicly Available References</w:t>
      </w:r>
    </w:p>
    <w:p>
      <w:r>
        <w:t>Agile Manifesto — https://agilemanifesto.org/</w:t>
      </w:r>
    </w:p>
    <w:p>
      <w:r>
        <w:t>Scrum Guide — https://scrumguides.org/scrum-guide.html</w:t>
      </w:r>
    </w:p>
    <w:p>
      <w:r>
        <w:t>OWASP Top 10 — https://owasp.org/www-project-top-ten/</w:t>
      </w:r>
    </w:p>
    <w:p>
      <w:r>
        <w:t>GitHub Documentation — https://docs.github.com/</w:t>
      </w:r>
    </w:p>
    <w:p>
      <w:r>
        <w:t>ISTQB — https://istqb.org/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6 — Final Evaluation &amp; Future Roadmap | Library Management System</w:t>
    </w:r>
    <w: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 Final Evaluation &amp; Future Roadmap</dc:title>
  <dc:subject>Library Management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