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F8EA0" w14:textId="77777777" w:rsidR="00120CE0" w:rsidRDefault="00000000" w:rsidP="002D185A">
      <w:pPr>
        <w:pStyle w:val="Abstract"/>
      </w:pPr>
      <w:r>
        <w:t>{ “Hero”: { “Headline”: “Copyright Advisory, Registration Assistance &amp; Agreements in India”, “Subtext”: “Get ownership clarity, file your copyright, draft or review license/assignment agreements, plan monetization—or request a custom portfolio strategy.”, “TrustChips”: [“Attorney-led”, “Activity-wise fees (Govt. fees extra)”, “Bulk discounts”, “Coordination with associates (for disputes)”], “CTAs”: { “GetEstimate”: “#estimate”, “TalkToProfessional”: “#leadform” } },</w:t>
      </w:r>
    </w:p>
    <w:p w14:paraId="3F0F62D9" w14:textId="77777777" w:rsidR="00120CE0" w:rsidRDefault="00000000">
      <w:pPr>
        <w:pStyle w:val="BodyText"/>
      </w:pPr>
      <w:r>
        <w:t xml:space="preserve">“WhyUs”: </w:t>
      </w:r>
      <w:proofErr w:type="gramStart"/>
      <w:r>
        <w:t>{ “</w:t>
      </w:r>
      <w:proofErr w:type="gramEnd"/>
      <w:r>
        <w:t>Points”: [ “Attorney-led documentation &amp; advisory</w:t>
      </w:r>
      <w:proofErr w:type="gramStart"/>
      <w:r>
        <w:t>”,</w:t>
      </w:r>
      <w:proofErr w:type="gramEnd"/>
      <w:r>
        <w:t xml:space="preserve"> “Transparent per-activity fees</w:t>
      </w:r>
      <w:proofErr w:type="gramStart"/>
      <w:r>
        <w:t>”,</w:t>
      </w:r>
      <w:proofErr w:type="gramEnd"/>
      <w:r>
        <w:t xml:space="preserve"> “Bulk discounts for multiple works</w:t>
      </w:r>
      <w:proofErr w:type="gramStart"/>
      <w:r>
        <w:t>”,</w:t>
      </w:r>
      <w:proofErr w:type="gramEnd"/>
      <w:r>
        <w:t xml:space="preserve"> “Strategic depth via SoP-driven engagements</w:t>
      </w:r>
      <w:proofErr w:type="gramStart"/>
      <w:r>
        <w:t>” ]</w:t>
      </w:r>
      <w:proofErr w:type="gramEnd"/>
      <w:r>
        <w:t xml:space="preserve"> },</w:t>
      </w:r>
    </w:p>
    <w:p w14:paraId="4C4FE6B0" w14:textId="77777777" w:rsidR="00120CE0" w:rsidRDefault="00000000">
      <w:pPr>
        <w:pStyle w:val="BodyText"/>
      </w:pPr>
      <w:r>
        <w:t>“Sections”: { “OwnershipClarity”: { “id”: “#ownership”, “Who”: “Creators, startups, businesses hiring freelancers/employees”, “Promise”: “Clear authorship &amp; ownership, clean chain of title”, “Scope”: [“Authorship advisory”, “Copyrightability opinion”, “Work-for-hire/assignment agreements”], “Pricing”: { “Advisory”: “₹5,000/hr (min 1 hr; 30-min steps)”, “StandardAgreement”: “Starts ₹15,000 (~3 hrs)”, “ComplexAgreement”: “Starts ₹15,000 (min 3 hrs; scales with complexity)” }, “CTA”: “LeadForm context=ownership” },</w:t>
      </w:r>
    </w:p>
    <w:p w14:paraId="3051CF32" w14:textId="77777777" w:rsidR="00120CE0" w:rsidRDefault="00000000">
      <w:pPr>
        <w:pStyle w:val="SourceCode"/>
      </w:pPr>
      <w:r>
        <w:rPr>
          <w:rStyle w:val="VerbatimChar"/>
        </w:rPr>
        <w:t>"Registration": {</w:t>
      </w:r>
      <w:r>
        <w:br/>
      </w:r>
      <w:r>
        <w:rPr>
          <w:rStyle w:val="VerbatimChar"/>
        </w:rPr>
        <w:t xml:space="preserve">  "id": "#registration",</w:t>
      </w:r>
      <w:r>
        <w:br/>
      </w:r>
      <w:r>
        <w:rPr>
          <w:rStyle w:val="VerbatimChar"/>
        </w:rPr>
        <w:t xml:space="preserve">  "Who": "Clients needing official records before publishing/distribution",</w:t>
      </w:r>
      <w:r>
        <w:br/>
      </w:r>
      <w:r>
        <w:rPr>
          <w:rStyle w:val="VerbatimChar"/>
        </w:rPr>
        <w:t xml:space="preserve">  "Promise": "Accurate filings and recordals, complete documentation",</w:t>
      </w:r>
      <w:r>
        <w:br/>
      </w:r>
      <w:r>
        <w:rPr>
          <w:rStyle w:val="VerbatimChar"/>
        </w:rPr>
        <w:t xml:space="preserve">  "Scope": ["Filing assistance per work", "Recordals of assignment/transfer", "Pre-filing advisory checks"],</w:t>
      </w:r>
      <w:r>
        <w:br/>
      </w:r>
      <w:r>
        <w:rPr>
          <w:rStyle w:val="VerbatimChar"/>
        </w:rPr>
        <w:t xml:space="preserve">  "Note": "Filings are executed via our associates; we prepare and coordinate end-to-end.",</w:t>
      </w:r>
      <w:r>
        <w:br/>
      </w:r>
      <w:r>
        <w:rPr>
          <w:rStyle w:val="VerbatimChar"/>
        </w:rPr>
        <w:t xml:space="preserve">  "Pricing": {</w:t>
      </w:r>
      <w:r>
        <w:br/>
      </w:r>
      <w:r>
        <w:rPr>
          <w:rStyle w:val="VerbatimChar"/>
        </w:rPr>
        <w:t xml:space="preserve">    "Filing+AssociateAdvisory": "Starts ₹15,000 (Govt. fee extra)",</w:t>
      </w:r>
      <w:r>
        <w:br/>
      </w:r>
      <w:r>
        <w:rPr>
          <w:rStyle w:val="VerbatimChar"/>
        </w:rPr>
        <w:t xml:space="preserve">    "AddOnAdvisory": "₹5,000/hr"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"CTA": "LeadForm context=registration"</w:t>
      </w:r>
      <w:r>
        <w:br/>
      </w:r>
      <w:r>
        <w:rPr>
          <w:rStyle w:val="VerbatimChar"/>
        </w:rPr>
        <w:t>},</w:t>
      </w:r>
      <w:r>
        <w:br/>
      </w:r>
      <w:r>
        <w:br/>
      </w:r>
      <w:r>
        <w:rPr>
          <w:rStyle w:val="VerbatimChar"/>
        </w:rPr>
        <w:t>"LicenseAssign": {</w:t>
      </w:r>
      <w:r>
        <w:br/>
      </w:r>
      <w:r>
        <w:rPr>
          <w:rStyle w:val="VerbatimChar"/>
        </w:rPr>
        <w:t xml:space="preserve">  "id": "#license",</w:t>
      </w:r>
      <w:r>
        <w:br/>
      </w:r>
      <w:r>
        <w:rPr>
          <w:rStyle w:val="VerbatimChar"/>
        </w:rPr>
        <w:t xml:space="preserve">  "Who": "Creators/companies granting usage rights",</w:t>
      </w:r>
      <w:r>
        <w:br/>
      </w:r>
      <w:r>
        <w:rPr>
          <w:rStyle w:val="VerbatimChar"/>
        </w:rPr>
        <w:t xml:space="preserve">  "Promise": "Draft/review agreements to retain control and value",</w:t>
      </w:r>
      <w:r>
        <w:br/>
      </w:r>
      <w:r>
        <w:rPr>
          <w:rStyle w:val="VerbatimChar"/>
        </w:rPr>
        <w:t xml:space="preserve">  "Scope": ["Exclusive/non-exclusive licenses", "Assignments", "Usage scopes (term, territory, royalty clauses)"],</w:t>
      </w:r>
      <w:r>
        <w:br/>
      </w:r>
      <w:r>
        <w:rPr>
          <w:rStyle w:val="VerbatimChar"/>
        </w:rPr>
        <w:t xml:space="preserve">  "Pricing": {</w:t>
      </w:r>
      <w:r>
        <w:br/>
      </w:r>
      <w:r>
        <w:rPr>
          <w:rStyle w:val="VerbatimChar"/>
        </w:rPr>
        <w:t xml:space="preserve">    "StandardAgreement": "Starts ₹15,000",</w:t>
      </w:r>
      <w:r>
        <w:br/>
      </w:r>
      <w:r>
        <w:rPr>
          <w:rStyle w:val="VerbatimChar"/>
        </w:rPr>
        <w:t xml:space="preserve">    "ComplexAgreement": "Starts ₹15,000 (min 3 hrs)",</w:t>
      </w:r>
      <w:r>
        <w:br/>
      </w:r>
      <w:r>
        <w:rPr>
          <w:rStyle w:val="VerbatimChar"/>
        </w:rPr>
        <w:t xml:space="preserve">    "ReviewsAdvisory": "₹5,000/hr"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"CTA": "LeadForm context=license"</w:t>
      </w:r>
      <w:r>
        <w:br/>
      </w:r>
      <w:r>
        <w:rPr>
          <w:rStyle w:val="VerbatimChar"/>
        </w:rPr>
        <w:t>},</w:t>
      </w:r>
      <w:r>
        <w:br/>
      </w:r>
      <w:r>
        <w:br/>
      </w:r>
      <w:r>
        <w:rPr>
          <w:rStyle w:val="VerbatimChar"/>
        </w:rPr>
        <w:t>"Monetization": {</w:t>
      </w:r>
      <w:r>
        <w:br/>
      </w:r>
      <w:r>
        <w:rPr>
          <w:rStyle w:val="VerbatimChar"/>
        </w:rPr>
        <w:t xml:space="preserve">  "id": "#monetization",</w:t>
      </w:r>
      <w:r>
        <w:br/>
      </w:r>
      <w:r>
        <w:rPr>
          <w:rStyle w:val="VerbatimChar"/>
        </w:rPr>
        <w:t xml:space="preserve">  "Who": "Creators and businesses planning revenue via </w:t>
      </w:r>
      <w:r>
        <w:rPr>
          <w:rStyle w:val="VerbatimChar"/>
        </w:rPr>
        <w:lastRenderedPageBreak/>
        <w:t>licensing/syndication",</w:t>
      </w:r>
      <w:r>
        <w:br/>
      </w:r>
      <w:r>
        <w:rPr>
          <w:rStyle w:val="VerbatimChar"/>
        </w:rPr>
        <w:t xml:space="preserve">  "Promise": "Practical royalty frameworks and licensing strategies",</w:t>
      </w:r>
      <w:r>
        <w:br/>
      </w:r>
      <w:r>
        <w:rPr>
          <w:rStyle w:val="VerbatimChar"/>
        </w:rPr>
        <w:t xml:space="preserve">  "Scope": ["Licensing strategies", "Royalty frameworks", "Guidance on collective rights bodies"],</w:t>
      </w:r>
      <w:r>
        <w:br/>
      </w:r>
      <w:r>
        <w:rPr>
          <w:rStyle w:val="VerbatimChar"/>
        </w:rPr>
        <w:t xml:space="preserve">  "Pricing": {</w:t>
      </w:r>
      <w:r>
        <w:br/>
      </w:r>
      <w:r>
        <w:rPr>
          <w:rStyle w:val="VerbatimChar"/>
        </w:rPr>
        <w:t xml:space="preserve">    "AdvisoryMemos": "₹5,000/hr",</w:t>
      </w:r>
      <w:r>
        <w:br/>
      </w:r>
      <w:r>
        <w:rPr>
          <w:rStyle w:val="VerbatimChar"/>
        </w:rPr>
        <w:t xml:space="preserve">    "ComplexRevenueShare": "As complex agreements (start ₹15,000; min 3 hrs)"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"CTA": "LeadForm context=monetization"</w:t>
      </w:r>
      <w:r>
        <w:br/>
      </w:r>
      <w:r>
        <w:rPr>
          <w:rStyle w:val="VerbatimChar"/>
        </w:rPr>
        <w:t>},</w:t>
      </w:r>
      <w:r>
        <w:br/>
      </w:r>
      <w:r>
        <w:br/>
      </w:r>
      <w:r>
        <w:rPr>
          <w:rStyle w:val="VerbatimChar"/>
        </w:rPr>
        <w:t>"Strategy": {</w:t>
      </w:r>
      <w:r>
        <w:br/>
      </w:r>
      <w:r>
        <w:rPr>
          <w:rStyle w:val="VerbatimChar"/>
        </w:rPr>
        <w:t xml:space="preserve">  "id": "#strategy",</w:t>
      </w:r>
      <w:r>
        <w:br/>
      </w:r>
      <w:r>
        <w:rPr>
          <w:rStyle w:val="VerbatimChar"/>
        </w:rPr>
        <w:t xml:space="preserve">  "Who": "Institutions, publishers, corporates treating copyright as strategic asset",</w:t>
      </w:r>
      <w:r>
        <w:br/>
      </w:r>
      <w:r>
        <w:rPr>
          <w:rStyle w:val="VerbatimChar"/>
        </w:rPr>
        <w:t xml:space="preserve">  "Positioning": "Custom engagement after SoP review; no public price list",</w:t>
      </w:r>
      <w:r>
        <w:br/>
      </w:r>
      <w:r>
        <w:rPr>
          <w:rStyle w:val="VerbatimChar"/>
        </w:rPr>
        <w:t xml:space="preserve">  "Scope": ["Portfolio audits", "Commercialization roadmaps", "Integration with trademarks/patents", "IP portfolio strategy"],</w:t>
      </w:r>
      <w:r>
        <w:br/>
      </w:r>
      <w:r>
        <w:rPr>
          <w:rStyle w:val="VerbatimChar"/>
        </w:rPr>
        <w:t xml:space="preserve">  "CTA": "LeadForm context=strategy"</w:t>
      </w:r>
      <w:r>
        <w:br/>
      </w:r>
      <w:r>
        <w:rPr>
          <w:rStyle w:val="VerbatimChar"/>
        </w:rPr>
        <w:t>}</w:t>
      </w:r>
    </w:p>
    <w:p w14:paraId="4D868229" w14:textId="77777777" w:rsidR="00120CE0" w:rsidRDefault="00000000">
      <w:pPr>
        <w:pStyle w:val="FirstParagraph"/>
      </w:pPr>
      <w:r>
        <w:t>},</w:t>
      </w:r>
    </w:p>
    <w:p w14:paraId="3C3C464C" w14:textId="77777777" w:rsidR="00120CE0" w:rsidRDefault="00000000">
      <w:pPr>
        <w:pStyle w:val="BodyText"/>
      </w:pPr>
      <w:r>
        <w:t>“FeesTable”: { “AdvisoryReviews”: “₹5,000/hr (min 1 hr; 30-min increments)”, “StandardAgreements”: “Starts ₹15,000”, “ComplexAgreements”: “Starts ₹15,000 (min 3 hrs)”, “CopyrightFiling”: “Starts ₹15,000 (Govt. fee extra)”, “Recordals”: “Starts ₹10,000 (Govt. fee extra)”, “CoordinationWithAssociates”: “Starts ₹10,000 (external fees separate)”, “Memos”: “₹5,000/hr”, “BulkDiscounts”: “Per-unit fees reduce for multiple works/agreements” },</w:t>
      </w:r>
    </w:p>
    <w:p w14:paraId="6F619E8F" w14:textId="77777777" w:rsidR="00120CE0" w:rsidRDefault="00000000">
      <w:pPr>
        <w:pStyle w:val="BodyText"/>
      </w:pPr>
      <w:r>
        <w:t>“Coordination”: { “id”: “#coordination”, “Positioning”: “We do not advertise litigation or enforcement”, “Promise”: “For disputes (e.g., takedowns, notices), we coordinate with external associates; documentation and IP context provided”, “Pricing”: “Starts ₹10,000; external counsel fees separate” },</w:t>
      </w:r>
    </w:p>
    <w:p w14:paraId="0F0CC2B2" w14:textId="77777777" w:rsidR="00120CE0" w:rsidRDefault="00000000">
      <w:pPr>
        <w:pStyle w:val="BodyText"/>
      </w:pPr>
      <w:r>
        <w:t>“WhyUsExtended”: { “id”: “#whyus”, “Points”: [ “Attorney-led, business-aligned advisory (not just form-filling)”, “Transparent per-activity fees; bulk discounts”, “Strategy depth for scaling clients (SoP-driven)” ] },</w:t>
      </w:r>
    </w:p>
    <w:p w14:paraId="7795EC1F" w14:textId="77777777" w:rsidR="00120CE0" w:rsidRDefault="00000000">
      <w:pPr>
        <w:pStyle w:val="BodyText"/>
      </w:pPr>
      <w:r>
        <w:t>“FAQs”: { “id”: “#faqs”, “QnA”: [ {“Q”: “Are Govt fees included?”, “A”: “No—Govt. fees extra per work category.”}, {“Q”: “Certificate timelines guaranteed?”, “A”: “No—Govt. processing applies.”}, {“Q”: “Bulk discounts?”, “A”: “Yes—per-unit professional fees reduce with multiple works/agreements.”}, {“Q”: “Disputes/enforcement?”, “A”: “We coordinate with external associates; litigation not advertised.”}, {“Q”: “How is advisory/review billed?”, “A”: “₹5,000/hr (min 1 hr; 30-min increments).”} ] },</w:t>
      </w:r>
    </w:p>
    <w:p w14:paraId="4D9049B6" w14:textId="77777777" w:rsidR="00120CE0" w:rsidRDefault="00000000">
      <w:pPr>
        <w:pStyle w:val="BodyText"/>
      </w:pPr>
      <w:r>
        <w:lastRenderedPageBreak/>
        <w:t>“LeadForm”: { “Fields”: [“Name”, “Email”, “Phone”, “Dropdown: What do you need today? (Ownership / Registration / License / Monetization / Strategy)”, “Message”, “Upload (optional)”], “Buttons”: [“Get Activity-Wise Estimate”, “Talk to a Professional”] },</w:t>
      </w:r>
    </w:p>
    <w:p w14:paraId="3368AD0D" w14:textId="77777777" w:rsidR="00120CE0" w:rsidRDefault="00000000">
      <w:pPr>
        <w:pStyle w:val="BodyText"/>
      </w:pPr>
      <w:r>
        <w:t>“Terms”: { “GovtProcessing”: “No certificate timeline guarantees”, “GovtFees”: “Govt. fees &amp; taxes are additional”, “Filing”: “Copyright filings executed via associates; we prepare &amp; coordinate end-to-end”, “Disputes”: “Coordination with external associates only; litigation not advertised”, “Disclaimer”: “Private IP services provider; not a government site” } }</w:t>
      </w:r>
    </w:p>
    <w:sectPr w:rsidR="00120CE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4C098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4577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E0"/>
    <w:rsid w:val="00120CE0"/>
    <w:rsid w:val="002D185A"/>
    <w:rsid w:val="0055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6992"/>
  <w15:docId w15:val="{6443B964-C2D4-452A-A248-B0D79DA5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Singhal</dc:creator>
  <cp:keywords/>
  <cp:lastModifiedBy>Gaurav Singhal</cp:lastModifiedBy>
  <cp:revision>2</cp:revision>
  <dcterms:created xsi:type="dcterms:W3CDTF">2025-09-08T18:08:00Z</dcterms:created>
  <dcterms:modified xsi:type="dcterms:W3CDTF">2025-09-08T18:08:00Z</dcterms:modified>
</cp:coreProperties>
</file>