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400"/>
        <w:jc w:val="center"/>
      </w:pPr>
      <w:r>
        <w:rPr>
          <w:b/>
          <w:bCs/>
          <w:color w:val="1a365d"/>
          <w:sz w:val="56"/>
          <w:szCs w:val="56"/>
        </w:rPr>
        <w:t xml:space="preserve">Fundamentals of Finance, Investment &amp;amp; Wealth Management</w:t>
      </w:r>
    </w:p>
    <w:p>
      <w:pPr>
        <w:spacing w:after="1000"/>
        <w:jc w:val="center"/>
      </w:pPr>
      <w:r>
        <w:rPr>
          <w:color w:val="4a5568"/>
          <w:sz w:val="32"/>
          <w:szCs w:val="32"/>
        </w:rPr>
        <w:t xml:space="preserve">Curriculum Design Document</w:t>
      </w:r>
    </w:p>
    <w:p>
      <w:pPr>
        <w:spacing w:after="200"/>
        <w:jc w:val="center"/>
      </w:pPr>
      <w:r>
        <w:rPr>
          <w:sz w:val="24"/>
          <w:szCs w:val="24"/>
        </w:rPr>
        <w:t xml:space="preserve">Level: micro-credential</w:t>
      </w:r>
    </w:p>
    <w:p>
      <w:pPr>
        <w:spacing w:after="200"/>
        <w:jc w:val="center"/>
      </w:pPr>
      <w:r>
        <w:rPr>
          <w:sz w:val="24"/>
          <w:szCs w:val="24"/>
        </w:rPr>
        <w:t xml:space="preserve">Credits: 60 | Total Hours: 60</w:t>
      </w:r>
    </w:p>
    <w:p>
      <w:pPr>
        <w:spacing w:before="2000"/>
        <w:jc w:val="center"/>
      </w:pPr>
      <w:r>
        <w:rPr>
          <w:color w:val="718096"/>
          <w:sz w:val="20"/>
          <w:szCs w:val="20"/>
        </w:rPr>
        <w:t xml:space="preserve">Generated: December 4, 2025</w:t>
      </w:r>
    </w:p>
    <w:p>
      <w:pPr>
        <w:sectPr>
          <w:pgSz w:w="11906" w:h="16838" w:orient="portrait"/>
          <w:pgMar w:top="1440" w:right="1440" w:bottom="1440" w:left="1440" w:header="708" w:footer="708" w:gutter="0"/>
          <w:pgNumType/>
          <w:docGrid w:linePitch="360"/>
        </w:sectPr>
      </w:pPr>
    </w:p>
    <w:p>
      <w:pPr>
        <w:pStyle w:val="Heading1"/>
        <w:spacing w:before="400" w:after="200"/>
      </w:pPr>
      <w:r>
        <w:t xml:space="preserve">1. Program Foundation</w:t>
      </w:r>
    </w:p>
    <w:p>
      <w:pPr>
        <w:spacing w:after="100"/>
      </w:pPr>
      <w:r>
        <w:rPr>
          <w:b/>
          <w:bCs/>
          <w:sz w:val="26"/>
          <w:szCs w:val="26"/>
        </w:rPr>
        <w:t xml:space="preserve">Program Description</w:t>
      </w:r>
    </w:p>
    <w:p>
      <w:pPr>
        <w:spacing w:after="300"/>
      </w:pPr>
      <w:r>
        <w:rPr>
          <w:sz w:val="22"/>
          <w:szCs w:val="22"/>
        </w:rPr>
        <w:t xml:space="preserve">A beginner-level program introducing core financial concepts, personal wealth-building strategies, and foundational investment principles. Learners gain practical skills in budgeting, saving, risk management, asset classes, and long-term portfolio planning to make informed financial decisions and build confidence in managing their own wealth.</w:t>
      </w:r>
    </w:p>
    <w:p>
      <w:pPr>
        <w:spacing w:before="200" w:after="100"/>
      </w:pPr>
      <w:r>
        <w:rPr>
          <w:b/>
          <w:bCs/>
          <w:sz w:val="26"/>
          <w:szCs w:val="26"/>
        </w:rPr>
        <w:t xml:space="preserve">Executive Summary</w:t>
      </w:r>
    </w:p>
    <w:p>
      <w:pPr>
        <w:spacing w:after="300"/>
      </w:pPr>
      <w:r>
        <w:rPr>
          <w:sz w:val="22"/>
          <w:szCs w:val="22"/>
        </w:rPr>
        <w:t xml:space="preserve">Fundamentals of Finance, Investment &amp; Wealth Management is a 60‑hour, non‑credit micro‑credential designed for adults beginning their journey in personal finance and the investment services sector. It provides a clear, structured starting point between general financial literacy and more advanced, regulated qualifications. The programme suits career‑starters, career‑changers and motivated individuals who want to manage their own money with confidence or to step into entry‑level roles supporting financial planning and wealth management teams.
Positioned within the broader educational landscape, this micro‑credential is quality‑assured to AGI Academic Standards and mapped to key descriptors at EQF/RQF level 3–4 for knowledge breadth, application and autonomy. While it is not a regulated qualification, it is intentionally constructed to prepare learners for further study with professional bodies (e.g., CISI introductory awards, CFA Institute foundational content, LIBF entry‑level units) and to evidence Continuing Professional Development (subject to employer or professional body approval).
Learners develop practical capability across four integrated domains: (1) Personal finance foundations—budgeting, cash‑flow, emergency funds, debt and savings strategies, and the role of tax‑advantaged accounts (with illustrative UK examples such as ISAs and pensions), (2) Investment principles—compound growth, risk–return, diversification, asset classes (cash, bonds, equities, funds and ETFs), fees and costs, and active versus passive approaches, (3) Risk management and investor behaviour—goal setting, time horizons, risk profiling, and common behavioural biases, and (4) Portfolio construction and monitoring—basic asset allocation, rebalancing rules, performance snapshots, and record‑keeping. Learners build from personal money management into market fundamentals and finish by constructing a simple, diversified starter portfolio aligned to a stated risk profile.
The pedagogy is hands‑on. Across 18 contact hours (workshops or webinars) and 42 hours of guided independent study, learners use templated tools, spreadsheets and current market information to practise workplace‑relevant tasks: compiling product comparisons, preparing simple portfolio summaries, and answering routine client queries within compliance boundaries. A practical capstone—an actionable personal wealth plan and entry‑level portfolio rationale—provides tangible evidence of achievement. Constructive alignment is embedded: learning activities and assessments directly evidence the stated outcomes at an appropriate micro‑credential level, focusing on ‘explain’, ‘apply’ and ‘interpret’ rather than advanced modelling.
Graduates can target roles such as Entry‑Level Financial Assistant, Junior Investment Support Officer, Client Services Assistant or Banking Support Officer across retail banking, wealth and investment management, fintech, and insurance. With 2–3 years of experience and further qualifications, progression routes include Investment Operations Analyst, Paraplanner Assistant or Client Relationship Associate; longer‑term, and with additional study and regulatory licensing, roles such as Financial Planner, Wealth Manager or Investment Analyst become accessible.
What makes this programme distinctive is its practice‑first approach, jargon‑free explanations and immediate applicability. Learners receive reusable templates (budget planner, risk profile checklist, asset allocation worksheet), a portfolio ‘lab’ using readily available data, and formative feedback from tutors with industry experience. The curriculum is benchmarked against entry‑level competencies commonly referenced by the investment and wealth sector (e.g., CISI introductory content and CFA foundational concepts) and aligned with SFIA-aligned support skills such as data handling, stakeholder communication and financial record‑keeping. On successful completion, learners receive an AGI micro‑credential digital certificate and a detailed transcript of outcomes. The programme is educational and does not constitute financial advice, but it equips learners to make informed personal decisions and to contribute effectively in junior support roles within professional settings.</w:t>
      </w:r>
    </w:p>
    <w:p>
      <w:pPr>
        <w:spacing w:before="200" w:after="100"/>
      </w:pPr>
      <w:r>
        <w:rPr>
          <w:b/>
          <w:bCs/>
          <w:sz w:val="26"/>
          <w:szCs w:val="26"/>
        </w:rPr>
        <w:t xml:space="preserve">Credit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2e8f0"/>
          </w:tcPr>
          <w:p>
            <w:r>
              <w:rPr>
                <w:b/>
                <w:bCs/>
                <w:sz w:val="20"/>
                <w:szCs w:val="20"/>
              </w:rPr>
              <w:t xml:space="preserve">Credit System</w:t>
            </w:r>
          </w:p>
        </w:tc>
        <w:tc>
          <w:tcPr>
            <w:shd w:fill="e2e8f0"/>
          </w:tcPr>
          <w:p>
            <w:r>
              <w:rPr>
                <w:b/>
                <w:bCs/>
                <w:sz w:val="20"/>
                <w:szCs w:val="20"/>
              </w:rPr>
              <w:t xml:space="preserve">Credits</w:t>
            </w:r>
          </w:p>
        </w:tc>
        <w:tc>
          <w:tcPr>
            <w:shd w:fill="e2e8f0"/>
          </w:tcPr>
          <w:p>
            <w:r>
              <w:rPr>
                <w:b/>
                <w:bCs/>
                <w:sz w:val="20"/>
                <w:szCs w:val="20"/>
              </w:rPr>
              <w:t xml:space="preserve">Total Hours</w:t>
            </w:r>
          </w:p>
        </w:tc>
        <w:tc>
          <w:tcPr>
            <w:shd w:fill="e2e8f0"/>
          </w:tcPr>
          <w:p>
            <w:r>
              <w:rPr>
                <w:b/>
                <w:bCs/>
                <w:sz w:val="20"/>
                <w:szCs w:val="20"/>
              </w:rPr>
              <w:t xml:space="preserve">Contact Hours</w:t>
            </w:r>
          </w:p>
        </w:tc>
        <w:tc>
          <w:tcPr>
            <w:shd w:fill="e2e8f0"/>
          </w:tcPr>
          <w:p>
            <w:r>
              <w:rPr>
                <w:b/>
                <w:bCs/>
                <w:sz w:val="20"/>
                <w:szCs w:val="20"/>
              </w:rPr>
              <w:t xml:space="preserve">Independent Hours</w:t>
            </w:r>
          </w:p>
        </w:tc>
      </w:tr>
      <w:tr>
        <w:tc>
          <w:p>
            <w:r>
              <w:rPr>
                <w:b w:val="false"/>
                <w:bCs w:val="false"/>
                <w:sz w:val="20"/>
                <w:szCs w:val="20"/>
              </w:rPr>
              <w:t xml:space="preserve">non_credit</w:t>
            </w:r>
          </w:p>
        </w:tc>
        <w:tc>
          <w:p>
            <w:r>
              <w:rPr>
                <w:b w:val="false"/>
                <w:bCs w:val="false"/>
                <w:sz w:val="20"/>
                <w:szCs w:val="20"/>
              </w:rPr>
              <w:t xml:space="preserve">60</w:t>
            </w:r>
          </w:p>
        </w:tc>
        <w:tc>
          <w:p>
            <w:r>
              <w:rPr>
                <w:b w:val="false"/>
                <w:bCs w:val="false"/>
                <w:sz w:val="20"/>
                <w:szCs w:val="20"/>
              </w:rPr>
              <w:t xml:space="preserve">60</w:t>
            </w:r>
          </w:p>
        </w:tc>
        <w:tc>
          <w:p>
            <w:r>
              <w:rPr>
                <w:b w:val="false"/>
                <w:bCs w:val="false"/>
                <w:sz w:val="20"/>
                <w:szCs w:val="20"/>
              </w:rPr>
              <w:t xml:space="preserve">18</w:t>
            </w:r>
          </w:p>
        </w:tc>
        <w:tc>
          <w:p>
            <w:r>
              <w:rPr>
                <w:b w:val="false"/>
                <w:bCs w:val="false"/>
                <w:sz w:val="20"/>
                <w:szCs w:val="20"/>
              </w:rPr>
              <w:t xml:space="preserve">42</w:t>
            </w:r>
          </w:p>
        </w:tc>
      </w:tr>
    </w:tbl>
    <w:p>
      <w:pPr>
        <w:spacing w:after="300"/>
      </w:pPr>
    </w:p>
    <w:p>
      <w:pPr>
        <w:spacing w:before="200" w:after="100"/>
      </w:pPr>
      <w:r>
        <w:rPr>
          <w:b/>
          <w:bCs/>
          <w:sz w:val="26"/>
          <w:szCs w:val="26"/>
        </w:rPr>
        <w:t xml:space="preserve">Program Aims</w:t>
      </w:r>
    </w:p>
    <w:p>
      <w:pPr>
        <w:spacing w:after="80"/>
      </w:pPr>
      <w:r>
        <w:rPr>
          <w:sz w:val="22"/>
          <w:szCs w:val="22"/>
        </w:rPr>
        <w:t xml:space="preserve">1. To enable learners to apply core budgeting, saving and cash‑management techniques to produce a balanced personal financial plan aligned to specified goals and time horizons.</w:t>
      </w:r>
    </w:p>
    <w:p>
      <w:pPr>
        <w:spacing w:after="80"/>
      </w:pPr>
      <w:r>
        <w:rPr>
          <w:sz w:val="22"/>
          <w:szCs w:val="22"/>
        </w:rPr>
        <w:t xml:space="preserve">2. To develop learners’ competence to explain and compare major asset classes, risk–return characteristics and common investment products using clear, jargon‑free language appropriate to entry‑level finance roles.</w:t>
      </w:r>
    </w:p>
    <w:p>
      <w:pPr>
        <w:spacing w:after="80"/>
      </w:pPr>
      <w:r>
        <w:rPr>
          <w:sz w:val="22"/>
          <w:szCs w:val="22"/>
        </w:rPr>
        <w:t xml:space="preserve">3. To prepare learners to construct and justify a simple, diversified starter portfolio aligned to a stated risk profile, evidencing asset allocation, costs and basic rebalancing using spreadsheet tools.</w:t>
      </w:r>
    </w:p>
    <w:p>
      <w:pPr>
        <w:spacing w:after="80"/>
      </w:pPr>
      <w:r>
        <w:rPr>
          <w:sz w:val="22"/>
          <w:szCs w:val="22"/>
        </w:rPr>
        <w:t xml:space="preserve">4. To equip learners to perform entry‑level workplace support tasks in wealth and investment settings, including compiling market information, updating portfolio summaries and responding to routine client enquiries within compliance and escalation boundaries.</w:t>
      </w:r>
    </w:p>
    <w:p>
      <w:pPr>
        <w:spacing w:after="80"/>
      </w:pPr>
      <w:r>
        <w:rPr>
          <w:sz w:val="22"/>
          <w:szCs w:val="22"/>
        </w:rPr>
        <w:t xml:space="preserve">5. To develop learners’ awareness of ethical considerations and regulatory context in retail investment, enabling them to recognise suitability limits and appropriately escalate queries to qualified advisers.</w:t>
      </w:r>
    </w:p>
    <w:p>
      <w:pPr>
        <w:spacing w:before="200" w:after="100"/>
      </w:pPr>
      <w:r>
        <w:rPr>
          <w:b/>
          <w:bCs/>
          <w:sz w:val="26"/>
          <w:szCs w:val="26"/>
        </w:rPr>
        <w:t xml:space="preserve">Entry Requirements</w:t>
      </w:r>
    </w:p>
    <w:p>
      <w:pPr>
        <w:spacing w:after="300"/>
      </w:pPr>
      <w:r>
        <w:rPr>
          <w:sz w:val="22"/>
          <w:szCs w:val="22"/>
        </w:rPr>
        <w:t xml:space="preserve">a) Academic prerequisites:
- No formal prior qualification is required for admission to this micro‑credential.
- GCSE (or equivalent) English and Mathematics at grade 4/C or above are recommended to support study, but not mandatory.
- No subject‑specific prerequisites.
b) Professional experience:
- No prior professional experience is required.
- Experience in customer service, administrative support, or roles involving numerical data handling is beneficial but not essential. No portfolio is required.
c) Other requirements:
- English language: CEFR B2 (or equivalent) is recommended for non‑native speakers to engage with technical vocabulary and assessment tasks.
- Technical: basic digital literacy, including ability to use email, online learning platforms and spreadsheets (e.g., Microsoft Excel or Google Sheets). Access to a calculator and an internet‑enabled device is required.
- No professional membership or registration is required for entry.
d) Recognition of Prior Learning (RPL/APEL):
- As a non‑credit micro‑credential, prior learning may be considered to confirm readiness and to tailor learning support; however, RPL cannot replace core learning activities or the final capstone task.
- No formal credits are awarded and therefore a maximum of 0 credits are transferable. Learning hours may be recognised by employers or professional bodies for CPD at their discretion.</w:t>
      </w:r>
    </w:p>
    <w:p>
      <w:pPr>
        <w:spacing w:before="200" w:after="100"/>
      </w:pPr>
      <w:r>
        <w:rPr>
          <w:b/>
          <w:bCs/>
          <w:sz w:val="26"/>
          <w:szCs w:val="26"/>
        </w:rPr>
        <w:t xml:space="preserve">Career Pathways</w:t>
      </w:r>
    </w:p>
    <w:p>
      <w:pPr>
        <w:spacing w:after="50"/>
      </w:pPr>
      <w:r>
        <w:rPr>
          <w:sz w:val="22"/>
          <w:szCs w:val="22"/>
        </w:rPr>
        <w:t xml:space="preserve">• Pathway 1: Entry‑Level Financial Assistant progressing to Investment Operations Analyst (2–3 years) and, with further qualifications, Senior Operations Associate.</w:t>
      </w:r>
    </w:p>
    <w:p>
      <w:pPr>
        <w:spacing w:after="50"/>
      </w:pPr>
      <w:r>
        <w:rPr>
          <w:sz w:val="22"/>
          <w:szCs w:val="22"/>
        </w:rPr>
        <w:t xml:space="preserve">• Pathway 2: Junior Investment Support Officer progressing to Client Relationship Associate and, with additional study, Paraplanner or Associate Wealth Manager.</w:t>
      </w:r>
    </w:p>
    <w:p>
      <w:pPr>
        <w:spacing w:after="50"/>
      </w:pPr>
      <w:r>
        <w:rPr>
          <w:sz w:val="22"/>
          <w:szCs w:val="22"/>
        </w:rPr>
        <w:t xml:space="preserve">• Pathway 3: Client Services Assistant (Wealth/Asset Management) progressing to Portfolio Administrator and, with experience, Relationship Manager (Retail/High‑Net‑Worth).</w:t>
      </w:r>
    </w:p>
    <w:p>
      <w:pPr>
        <w:spacing w:after="50"/>
      </w:pPr>
      <w:r>
        <w:rPr>
          <w:sz w:val="22"/>
          <w:szCs w:val="22"/>
        </w:rPr>
        <w:t xml:space="preserve">• Pathway 4: Banking Support Officer progressing to Personal Banking Advisor and, with regulated training, Financial Planning Assistant.</w:t>
      </w:r>
    </w:p>
    <w:p>
      <w:pPr>
        <w:spacing w:after="50"/>
      </w:pPr>
      <w:r>
        <w:rPr>
          <w:sz w:val="22"/>
          <w:szCs w:val="22"/>
        </w:rPr>
        <w:t xml:space="preserve">• Pathway 5: Transferable to fintech customer success or data support roles, progressing to Product Support Specialist in investment platforms.</w:t>
      </w:r>
    </w:p>
    <w:p>
      <w:pPr>
        <w:spacing w:after="50"/>
      </w:pPr>
      <w:r>
        <w:rPr>
          <w:sz w:val="22"/>
          <w:szCs w:val="22"/>
        </w:rPr>
        <w:t xml:space="preserve">• Pathway 6: Complementary professional qualifications: CISI Introduction to Securities &amp; Investment (Level 3), CFA Institute Investment Foundations (self‑study), LIBF entry‑level awards, and (for advice routes) CII/LIBF regulated advice modules; longer‑term progression to CISI Level 4 or equivalent.</w:t>
      </w:r>
    </w:p>
    <w:p>
      <w:pPr>
        <w:spacing w:before="200" w:after="100"/>
      </w:pPr>
      <w:r>
        <w:rPr>
          <w:b/>
          <w:bCs/>
          <w:sz w:val="26"/>
          <w:szCs w:val="26"/>
        </w:rPr>
        <w:t xml:space="preserve">Target Job Roles</w:t>
      </w:r>
    </w:p>
    <w:p>
      <w:pPr>
        <w:spacing w:after="50"/>
      </w:pPr>
      <w:r>
        <w:rPr>
          <w:sz w:val="22"/>
          <w:szCs w:val="22"/>
        </w:rPr>
        <w:t xml:space="preserve">• Entry-Level Financial Assistant</w:t>
      </w:r>
    </w:p>
    <w:p>
      <w:pPr>
        <w:spacing w:after="50"/>
      </w:pPr>
      <w:r>
        <w:rPr>
          <w:sz w:val="22"/>
          <w:szCs w:val="22"/>
        </w:rPr>
        <w:t xml:space="preserve">• Junior Investment Support Officer</w:t>
      </w:r>
    </w:p>
    <w:p>
      <w:r>
        <w:br w:type="page"/>
      </w:r>
    </w:p>
    <w:p>
      <w:pPr>
        <w:pStyle w:val="Heading1"/>
        <w:spacing w:before="400" w:after="200"/>
      </w:pPr>
      <w:r>
        <w:t xml:space="preserve">2. Competency Framework (KSC)</w:t>
      </w:r>
    </w:p>
    <w:p>
      <w:pPr>
        <w:pStyle w:val="Heading2"/>
        <w:spacing w:before="200" w:after="100"/>
      </w:pPr>
      <w:r>
        <w:t xml:space="preserve">Knowledge</w:t>
      </w:r>
    </w:p>
    <w:p>
      <w:pPr>
        <w:spacing w:after="50"/>
      </w:pPr>
      <w:r>
        <w:rPr>
          <w:b/>
          <w:bCs/>
          <w:sz w:val="22"/>
          <w:szCs w:val="22"/>
        </w:rPr>
        <w:t xml:space="preserve">K1: </w:t>
      </w:r>
      <w:r>
        <w:rPr>
          <w:sz w:val="22"/>
          <w:szCs w:val="22"/>
        </w:rPr>
        <w:t xml:space="preserve">Principles of personal budgeting, cashflow, and time value of money</w:t>
      </w:r>
    </w:p>
    <w:p>
      <w:pPr>
        <w:spacing w:after="100"/>
      </w:pPr>
      <w:r>
        <w:rPr>
          <w:color w:val="4a5568"/>
          <w:sz w:val="20"/>
          <w:szCs w:val="20"/>
        </w:rPr>
        <w:t xml:space="preserve">Understanding of cashflow planning, budgeting categories, emergency funds, simple versus compound interest, APR/AER, and the impact of inflation and compounding frequency on savings. Enables accurate interpretation of basic financial figures and supports clear explanations to clients considering savings or debt repayment options.</w:t>
      </w:r>
    </w:p>
    <w:p>
      <w:pPr>
        <w:spacing w:after="50"/>
      </w:pPr>
      <w:r>
        <w:rPr>
          <w:b/>
          <w:bCs/>
          <w:sz w:val="22"/>
          <w:szCs w:val="22"/>
        </w:rPr>
        <w:t xml:space="preserve">K2: </w:t>
      </w:r>
      <w:r>
        <w:rPr>
          <w:sz w:val="22"/>
          <w:szCs w:val="22"/>
        </w:rPr>
        <w:t xml:space="preserve">Understanding of core investment products and terminology (cash, bonds, equities, funds/ETFs)</w:t>
      </w:r>
    </w:p>
    <w:p>
      <w:pPr>
        <w:spacing w:after="100"/>
      </w:pPr>
      <w:r>
        <w:rPr>
          <w:color w:val="4a5568"/>
          <w:sz w:val="20"/>
          <w:szCs w:val="20"/>
        </w:rPr>
        <w:t xml:space="preserve">Understanding of features, risk/return profiles, income versus growth, dividend/coupon concepts, NAV, expense ratios, index-tracking, and how these instruments are used in simple portfolios. Includes awareness of basic UK retail wrappers (ISAs, pensions) at an introductory level.</w:t>
      </w:r>
    </w:p>
    <w:p>
      <w:pPr>
        <w:spacing w:after="50"/>
      </w:pPr>
      <w:r>
        <w:rPr>
          <w:b/>
          <w:bCs/>
          <w:sz w:val="22"/>
          <w:szCs w:val="22"/>
        </w:rPr>
        <w:t xml:space="preserve">K3: </w:t>
      </w:r>
      <w:r>
        <w:rPr>
          <w:sz w:val="22"/>
          <w:szCs w:val="22"/>
        </w:rPr>
        <w:t xml:space="preserve">Principles of risk, return, diversification, and basic asset allocation</w:t>
      </w:r>
    </w:p>
    <w:p>
      <w:pPr>
        <w:spacing w:after="100"/>
      </w:pPr>
      <w:r>
        <w:rPr>
          <w:color w:val="4a5568"/>
          <w:sz w:val="20"/>
          <w:szCs w:val="20"/>
        </w:rPr>
        <w:t xml:space="preserve">Understanding of risk types (market, credit, liquidity), volatility, correlation, diversification benefits, simple asset mixes, and rebalancing concepts. Distinguishes risk tolerance from capacity for loss to support appropriate explanations of product choices for beginners.</w:t>
      </w:r>
    </w:p>
    <w:p>
      <w:pPr>
        <w:spacing w:after="50"/>
      </w:pPr>
      <w:r>
        <w:rPr>
          <w:b/>
          <w:bCs/>
          <w:sz w:val="22"/>
          <w:szCs w:val="22"/>
        </w:rPr>
        <w:t xml:space="preserve">K4: </w:t>
      </w:r>
      <w:r>
        <w:rPr>
          <w:sz w:val="22"/>
          <w:szCs w:val="22"/>
        </w:rPr>
        <w:t xml:space="preserve">Understanding of financial market structure and pricing data</w:t>
      </w:r>
    </w:p>
    <w:p>
      <w:pPr>
        <w:spacing w:after="100"/>
      </w:pPr>
      <w:r>
        <w:rPr>
          <w:color w:val="4a5568"/>
          <w:sz w:val="20"/>
          <w:szCs w:val="20"/>
        </w:rPr>
        <w:t xml:space="preserve">Understanding of primary versus secondary markets, exchanges and OTC trading, market indices (e.g., FTSE 100), bid–ask spreads, basic order types, bond price–yield relationships, and fund NAVs. Supports accurate interpretation and organisation of market data for reporting.</w:t>
      </w:r>
    </w:p>
    <w:p>
      <w:pPr>
        <w:spacing w:after="50"/>
      </w:pPr>
      <w:r>
        <w:rPr>
          <w:b/>
          <w:bCs/>
          <w:sz w:val="22"/>
          <w:szCs w:val="22"/>
        </w:rPr>
        <w:t xml:space="preserve">K5: </w:t>
      </w:r>
      <w:r>
        <w:rPr>
          <w:sz w:val="22"/>
          <w:szCs w:val="22"/>
        </w:rPr>
        <w:t xml:space="preserve">Regulatory and compliance essentials for UK retail investment services</w:t>
      </w:r>
    </w:p>
    <w:p>
      <w:pPr>
        <w:spacing w:after="100"/>
      </w:pPr>
      <w:r>
        <w:rPr>
          <w:color w:val="4a5568"/>
          <w:sz w:val="20"/>
          <w:szCs w:val="20"/>
        </w:rPr>
        <w:t xml:space="preserve">Understanding of the FCA’s role, COBS principles (including Treating Customers Fairly), client categorisation, suitability/appropriateness basics, KYC/AML fundamentals, required disclosures, and recordkeeping standards. Includes UK GDPR obligations for handling, storing, and sharing client data appropriately.</w:t>
      </w:r>
    </w:p>
    <w:p>
      <w:pPr>
        <w:spacing w:after="50"/>
      </w:pPr>
      <w:r>
        <w:rPr>
          <w:b/>
          <w:bCs/>
          <w:sz w:val="22"/>
          <w:szCs w:val="22"/>
        </w:rPr>
        <w:t xml:space="preserve">K6: </w:t>
      </w:r>
      <w:r>
        <w:rPr>
          <w:sz w:val="22"/>
          <w:szCs w:val="22"/>
        </w:rPr>
        <w:t xml:space="preserve">Principles of portfolio performance measurement and fee disclosure</w:t>
      </w:r>
    </w:p>
    <w:p>
      <w:pPr>
        <w:spacing w:after="100"/>
      </w:pPr>
      <w:r>
        <w:rPr>
          <w:color w:val="4a5568"/>
          <w:sz w:val="20"/>
          <w:szCs w:val="20"/>
        </w:rPr>
        <w:t xml:space="preserve">Understanding of simple and annualised returns, the difference between money-weighted and time-weighted concepts at an introductory level, benchmark selection, and fee components (OCF/TER) with their effect on net returns. Supports accurate preparation of basic performance summaries.</w:t>
      </w:r>
    </w:p>
    <w:p>
      <w:pPr>
        <w:spacing w:after="50"/>
      </w:pPr>
      <w:r>
        <w:rPr>
          <w:b/>
          <w:bCs/>
          <w:sz w:val="22"/>
          <w:szCs w:val="22"/>
        </w:rPr>
        <w:t xml:space="preserve">K7: </w:t>
      </w:r>
      <w:r>
        <w:rPr>
          <w:sz w:val="22"/>
          <w:szCs w:val="22"/>
        </w:rPr>
        <w:t xml:space="preserve">Understanding of behavioural finance biases affecting saver and investor decisions</w:t>
      </w:r>
    </w:p>
    <w:p>
      <w:pPr>
        <w:spacing w:after="100"/>
      </w:pPr>
      <w:r>
        <w:rPr>
          <w:color w:val="4a5568"/>
          <w:sz w:val="20"/>
          <w:szCs w:val="20"/>
        </w:rPr>
        <w:t xml:space="preserve">Understanding of common biases (loss aversion, anchoring, overconfidence, mental accounting) and framing effects, and how they influence basic savings and investment choices. Informs supportive, jargon-free explanations that help clients make informed decisions and avoid common pitfalls.</w:t>
      </w:r>
    </w:p>
    <w:p>
      <w:pPr>
        <w:pStyle w:val="Heading2"/>
        <w:spacing w:before="200" w:after="100"/>
      </w:pPr>
      <w:r>
        <w:t xml:space="preserve">Skills</w:t>
      </w:r>
    </w:p>
    <w:p>
      <w:pPr>
        <w:spacing w:after="50"/>
      </w:pPr>
      <w:r>
        <w:rPr>
          <w:b/>
          <w:bCs/>
          <w:sz w:val="22"/>
          <w:szCs w:val="22"/>
        </w:rPr>
        <w:t xml:space="preserve">S1: </w:t>
      </w:r>
      <w:r>
        <w:rPr>
          <w:sz w:val="22"/>
          <w:szCs w:val="22"/>
        </w:rPr>
        <w:t xml:space="preserve">Ability to build and maintain a simple budget and cashflow tracker in spreadsheets</w:t>
      </w:r>
    </w:p>
    <w:p>
      <w:pPr>
        <w:spacing w:after="100"/>
      </w:pPr>
      <w:r>
        <w:rPr>
          <w:color w:val="4a5568"/>
          <w:sz w:val="20"/>
          <w:szCs w:val="20"/>
        </w:rPr>
        <w:t xml:space="preserve">Create and update spreadsheets that categorise expenses, set monthly budgets, reconcile transactions, and produce variance summaries using formulas (SUM, AVERAGE, IF) and basic pivots. Export neat tables for reports and presentations with consistent formatting and clear labels.</w:t>
      </w:r>
    </w:p>
    <w:p>
      <w:pPr>
        <w:spacing w:after="50"/>
      </w:pPr>
      <w:r>
        <w:rPr>
          <w:b/>
          <w:bCs/>
          <w:sz w:val="22"/>
          <w:szCs w:val="22"/>
        </w:rPr>
        <w:t xml:space="preserve">S2: </w:t>
      </w:r>
      <w:r>
        <w:rPr>
          <w:sz w:val="22"/>
          <w:szCs w:val="22"/>
        </w:rPr>
        <w:t xml:space="preserve">Apply time value of money calculations to savings goals and loans</w:t>
      </w:r>
    </w:p>
    <w:p>
      <w:pPr>
        <w:spacing w:after="100"/>
      </w:pPr>
      <w:r>
        <w:rPr>
          <w:color w:val="4a5568"/>
          <w:sz w:val="20"/>
          <w:szCs w:val="20"/>
        </w:rPr>
        <w:t xml:space="preserve">Use calculator or spreadsheet functions (PV, FV, PMT, RATE) to compute future/present values, periodic contributions, loan amortisation, and to compare APR/AER. Present concise results that inform client savings choices or debt repayment discussions.</w:t>
      </w:r>
    </w:p>
    <w:p>
      <w:pPr>
        <w:spacing w:after="50"/>
      </w:pPr>
      <w:r>
        <w:rPr>
          <w:b/>
          <w:bCs/>
          <w:sz w:val="22"/>
          <w:szCs w:val="22"/>
        </w:rPr>
        <w:t xml:space="preserve">S3: </w:t>
      </w:r>
      <w:r>
        <w:rPr>
          <w:sz w:val="22"/>
          <w:szCs w:val="22"/>
        </w:rPr>
        <w:t xml:space="preserve">Collect, validate, and organise market and product data from reliable sources</w:t>
      </w:r>
    </w:p>
    <w:p>
      <w:pPr>
        <w:spacing w:after="100"/>
      </w:pPr>
      <w:r>
        <w:rPr>
          <w:color w:val="4a5568"/>
          <w:sz w:val="20"/>
          <w:szCs w:val="20"/>
        </w:rPr>
        <w:t xml:space="preserve">Source prices, yields, index levels, and fund documents (factsheets, KIDs) from approved providers; check dates, currencies, and units; log sources; and store files using agreed structures. Produce clean datasets ready for team analysis and reporting.</w:t>
      </w:r>
    </w:p>
    <w:p>
      <w:pPr>
        <w:spacing w:after="50"/>
      </w:pPr>
      <w:r>
        <w:rPr>
          <w:b/>
          <w:bCs/>
          <w:sz w:val="22"/>
          <w:szCs w:val="22"/>
        </w:rPr>
        <w:t xml:space="preserve">S4: </w:t>
      </w:r>
      <w:r>
        <w:rPr>
          <w:sz w:val="22"/>
          <w:szCs w:val="22"/>
        </w:rPr>
        <w:t xml:space="preserve">Prepare clear charts, tables, and one-page comparisons for review</w:t>
      </w:r>
    </w:p>
    <w:p>
      <w:pPr>
        <w:spacing w:after="100"/>
      </w:pPr>
      <w:r>
        <w:rPr>
          <w:color w:val="4a5568"/>
          <w:sz w:val="20"/>
          <w:szCs w:val="20"/>
        </w:rPr>
        <w:t xml:space="preserve">Create line charts of prices/returns, allocation pie charts, and comparison tables of fees and performance using spreadsheet tools. Apply consistent styles, labelling, and footnotes with source dates. Export to PDF or slides for team meetings.</w:t>
      </w:r>
    </w:p>
    <w:p>
      <w:pPr>
        <w:spacing w:after="50"/>
      </w:pPr>
      <w:r>
        <w:rPr>
          <w:b/>
          <w:bCs/>
          <w:sz w:val="22"/>
          <w:szCs w:val="22"/>
        </w:rPr>
        <w:t xml:space="preserve">S5: </w:t>
      </w:r>
      <w:r>
        <w:rPr>
          <w:sz w:val="22"/>
          <w:szCs w:val="22"/>
        </w:rPr>
        <w:t xml:space="preserve">Evaluate basic suitability using risk profiling and goal alignment</w:t>
      </w:r>
    </w:p>
    <w:p>
      <w:pPr>
        <w:spacing w:after="100"/>
      </w:pPr>
      <w:r>
        <w:rPr>
          <w:color w:val="4a5568"/>
          <w:sz w:val="20"/>
          <w:szCs w:val="20"/>
        </w:rPr>
        <w:t xml:space="preserve">Administer a simple risk tolerance questionnaire, note capacity for loss, and align outcomes with broad product types (e.g., cash, bonds, diversified index funds). Draft a short suitability note for adviser review using approved templates and plain English.</w:t>
      </w:r>
    </w:p>
    <w:p>
      <w:pPr>
        <w:spacing w:after="50"/>
      </w:pPr>
      <w:r>
        <w:rPr>
          <w:b/>
          <w:bCs/>
          <w:sz w:val="22"/>
          <w:szCs w:val="22"/>
        </w:rPr>
        <w:t xml:space="preserve">S6: </w:t>
      </w:r>
      <w:r>
        <w:rPr>
          <w:sz w:val="22"/>
          <w:szCs w:val="22"/>
        </w:rPr>
        <w:t xml:space="preserve">Interpret fund factsheets and Key Information Documents (KIDs)</w:t>
      </w:r>
    </w:p>
    <w:p>
      <w:pPr>
        <w:spacing w:after="100"/>
      </w:pPr>
      <w:r>
        <w:rPr>
          <w:color w:val="4a5568"/>
          <w:sz w:val="20"/>
          <w:szCs w:val="20"/>
        </w:rPr>
        <w:t xml:space="preserve">Extract objectives, asset mix, risk indicator, OCF/TER, and past performance; explain benchmark usage and key risks; and compare two funds on like-for-like metrics. Note regulatory warnings (e.g., past performance) and cite document dates and sources.</w:t>
      </w:r>
    </w:p>
    <w:p>
      <w:pPr>
        <w:spacing w:after="50"/>
      </w:pPr>
      <w:r>
        <w:rPr>
          <w:b/>
          <w:bCs/>
          <w:sz w:val="22"/>
          <w:szCs w:val="22"/>
        </w:rPr>
        <w:t xml:space="preserve">S7: </w:t>
      </w:r>
      <w:r>
        <w:rPr>
          <w:sz w:val="22"/>
          <w:szCs w:val="22"/>
        </w:rPr>
        <w:t xml:space="preserve">Update and reconcile simple client portfolio records accurately</w:t>
      </w:r>
    </w:p>
    <w:p>
      <w:pPr>
        <w:spacing w:after="100"/>
      </w:pPr>
      <w:r>
        <w:rPr>
          <w:color w:val="4a5568"/>
          <w:sz w:val="20"/>
          <w:szCs w:val="20"/>
        </w:rPr>
        <w:t xml:space="preserve">Record trades and cash flows, update holdings and valuations, compute basic gains/losses, and reconcile positions to statements. Maintain an audit trail with dates, sources, and version history to support periodic performance summaries.</w:t>
      </w:r>
    </w:p>
    <w:p>
      <w:pPr>
        <w:spacing w:after="50"/>
      </w:pPr>
      <w:r>
        <w:rPr>
          <w:b/>
          <w:bCs/>
          <w:sz w:val="22"/>
          <w:szCs w:val="22"/>
        </w:rPr>
        <w:t xml:space="preserve">S8: </w:t>
      </w:r>
      <w:r>
        <w:rPr>
          <w:sz w:val="22"/>
          <w:szCs w:val="22"/>
        </w:rPr>
        <w:t xml:space="preserve">Apply basic compliance controls in file and data handling</w:t>
      </w:r>
    </w:p>
    <w:p>
      <w:pPr>
        <w:spacing w:after="100"/>
      </w:pPr>
      <w:r>
        <w:rPr>
          <w:color w:val="4a5568"/>
          <w:sz w:val="20"/>
          <w:szCs w:val="20"/>
        </w:rPr>
        <w:t xml:space="preserve">Complete KYC/AML checklists, verify identity documents, flag red flags, and use approved templates. Apply UK GDPR principles (data minimisation, access control, secure sharing) and maintain records aligned to policy and review schedules.</w:t>
      </w:r>
    </w:p>
    <w:p>
      <w:pPr>
        <w:spacing w:after="50"/>
      </w:pPr>
      <w:r>
        <w:rPr>
          <w:b/>
          <w:bCs/>
          <w:sz w:val="22"/>
          <w:szCs w:val="22"/>
        </w:rPr>
        <w:t xml:space="preserve">S9: </w:t>
      </w:r>
      <w:r>
        <w:rPr>
          <w:sz w:val="22"/>
          <w:szCs w:val="22"/>
        </w:rPr>
        <w:t xml:space="preserve">Communicate financial information clearly in plain English</w:t>
      </w:r>
    </w:p>
    <w:p>
      <w:pPr>
        <w:spacing w:after="100"/>
      </w:pPr>
      <w:r>
        <w:rPr>
          <w:color w:val="4a5568"/>
          <w:sz w:val="20"/>
          <w:szCs w:val="20"/>
        </w:rPr>
        <w:t xml:space="preserve">Draft concise, accurate messages explaining processes, timelines, fees, and simple product features. Avoid jargon, check understanding, and document client interactions appropriately. Tailor tone and detail to audience needs.</w:t>
      </w:r>
    </w:p>
    <w:p>
      <w:pPr>
        <w:pStyle w:val="Heading2"/>
        <w:spacing w:before="200" w:after="100"/>
      </w:pPr>
      <w:r>
        <w:t xml:space="preserve">Competencies</w:t>
      </w:r>
    </w:p>
    <w:p>
      <w:pPr>
        <w:spacing w:after="50"/>
      </w:pPr>
      <w:r>
        <w:rPr>
          <w:b/>
          <w:bCs/>
          <w:sz w:val="22"/>
          <w:szCs w:val="22"/>
        </w:rPr>
        <w:t xml:space="preserve">C1: </w:t>
      </w:r>
      <w:r>
        <w:rPr>
          <w:sz w:val="22"/>
          <w:szCs w:val="22"/>
        </w:rPr>
        <w:t xml:space="preserve">Demonstrate ethical conduct and a client-first mindset</w:t>
      </w:r>
    </w:p>
    <w:p>
      <w:pPr>
        <w:spacing w:after="100"/>
      </w:pPr>
      <w:r>
        <w:rPr>
          <w:color w:val="4a5568"/>
          <w:sz w:val="20"/>
          <w:szCs w:val="20"/>
        </w:rPr>
        <w:t xml:space="preserve">Act with integrity, avoid misrepresentation, protect confidentiality, and escalate concerns. Apply Treating Customers Fairly principles and the CFA Code and Standards when handling information, preparing summaries, and supporting client interactions.</w:t>
      </w:r>
    </w:p>
    <w:p>
      <w:pPr>
        <w:spacing w:after="50"/>
      </w:pPr>
      <w:r>
        <w:rPr>
          <w:b/>
          <w:bCs/>
          <w:sz w:val="22"/>
          <w:szCs w:val="22"/>
        </w:rPr>
        <w:t xml:space="preserve">C2: </w:t>
      </w:r>
      <w:r>
        <w:rPr>
          <w:sz w:val="22"/>
          <w:szCs w:val="22"/>
        </w:rPr>
        <w:t xml:space="preserve">Exhibit meticulous attention to detail and data accuracy</w:t>
      </w:r>
    </w:p>
    <w:p>
      <w:pPr>
        <w:spacing w:after="100"/>
      </w:pPr>
      <w:r>
        <w:rPr>
          <w:color w:val="4a5568"/>
          <w:sz w:val="20"/>
          <w:szCs w:val="20"/>
        </w:rPr>
        <w:t xml:space="preserve">Consistently check figures, reconcile discrepancies, ensure date/currency consistency, and maintain clear version control and source notes. Strive for error-free outputs in datasets, charts, and reports.</w:t>
      </w:r>
    </w:p>
    <w:p>
      <w:pPr>
        <w:spacing w:after="50"/>
      </w:pPr>
      <w:r>
        <w:rPr>
          <w:b/>
          <w:bCs/>
          <w:sz w:val="22"/>
          <w:szCs w:val="22"/>
        </w:rPr>
        <w:t xml:space="preserve">C3: </w:t>
      </w:r>
      <w:r>
        <w:rPr>
          <w:sz w:val="22"/>
          <w:szCs w:val="22"/>
        </w:rPr>
        <w:t xml:space="preserve">Display collaborative, service-oriented behaviour</w:t>
      </w:r>
    </w:p>
    <w:p>
      <w:pPr>
        <w:spacing w:after="100"/>
      </w:pPr>
      <w:r>
        <w:rPr>
          <w:color w:val="4a5568"/>
          <w:sz w:val="20"/>
          <w:szCs w:val="20"/>
        </w:rPr>
        <w:t xml:space="preserve">Work constructively with advisers and operations, communicate progress, meet agreed timelines, and support meeting preparation. Seek feedback and adapt outputs to stakeholder needs while maintaining professionalism.</w:t>
      </w:r>
    </w:p>
    <w:p>
      <w:pPr>
        <w:spacing w:after="50"/>
      </w:pPr>
      <w:r>
        <w:rPr>
          <w:b/>
          <w:bCs/>
          <w:sz w:val="22"/>
          <w:szCs w:val="22"/>
        </w:rPr>
        <w:t xml:space="preserve">C4: </w:t>
      </w:r>
      <w:r>
        <w:rPr>
          <w:sz w:val="22"/>
          <w:szCs w:val="22"/>
        </w:rPr>
        <w:t xml:space="preserve">Show adaptability and commitment to continuous learning</w:t>
      </w:r>
    </w:p>
    <w:p>
      <w:pPr>
        <w:spacing w:after="100"/>
      </w:pPr>
      <w:r>
        <w:rPr>
          <w:color w:val="4a5568"/>
          <w:sz w:val="20"/>
          <w:szCs w:val="20"/>
        </w:rPr>
        <w:t xml:space="preserve">Proactively update knowledge on products, fees, platforms, and regulatory changes. Learn new templates and tools quickly, reflect on feedback, and improve work quality over time.</w:t>
      </w:r>
    </w:p>
    <w:p>
      <w:pPr>
        <w:pStyle w:val="Heading2"/>
        <w:spacing w:before="200" w:after="100"/>
      </w:pPr>
      <w:r>
        <w:t xml:space="preserve">Benchmarking Report</w:t>
      </w:r>
    </w:p>
    <w:p>
      <w:pPr>
        <w:spacing w:after="50"/>
      </w:pPr>
      <w:r>
        <w:rPr>
          <w:b/>
          <w:bCs/>
          <w:sz w:val="22"/>
          <w:szCs w:val="22"/>
        </w:rPr>
        <w:t xml:space="preserve">Key Findings:</w:t>
      </w:r>
    </w:p>
    <w:p>
      <w:pPr>
        <w:spacing w:after="50"/>
      </w:pPr>
      <w:r>
        <w:rPr>
          <w:sz w:val="20"/>
          <w:szCs w:val="20"/>
        </w:rPr>
        <w:t xml:space="preserve">• Common emphasis on ethics, client communication, regulation, and core investment products across CISI and CFA materials.</w:t>
      </w:r>
    </w:p>
    <w:p>
      <w:pPr>
        <w:spacing w:after="50"/>
      </w:pPr>
      <w:r>
        <w:rPr>
          <w:sz w:val="20"/>
          <w:szCs w:val="20"/>
        </w:rPr>
        <w:t xml:space="preserve">• Basic data handling, spreadsheet visualisation, and documentation practices are under-specified in benchmarks but critical for entry-level roles.</w:t>
      </w:r>
    </w:p>
    <w:p>
      <w:pPr>
        <w:spacing w:after="50"/>
      </w:pPr>
      <w:r>
        <w:rPr>
          <w:sz w:val="20"/>
          <w:szCs w:val="20"/>
        </w:rPr>
        <w:t xml:space="preserve">• Suitability concepts and plain-English explanations are essential to support client interactions, even at beginner level.</w:t>
      </w:r>
    </w:p>
    <w:p>
      <w:pPr>
        <w:spacing w:after="50"/>
      </w:pPr>
      <w:r>
        <w:rPr>
          <w:sz w:val="20"/>
          <w:szCs w:val="20"/>
        </w:rPr>
        <w:t xml:space="preserve">• Performance reporting fundamentals (returns, benchmarks, fees) are consistently required for updating portfolio summaries.</w:t>
      </w:r>
    </w:p>
    <w:p>
      <w:pPr>
        <w:spacing w:after="50"/>
      </w:pPr>
      <w:r>
        <w:rPr>
          <w:sz w:val="20"/>
          <w:szCs w:val="20"/>
        </w:rPr>
        <w:t xml:space="preserve">• Compliance with KYC/AML and data protection (UK GDPR) underpins all client file handling and meeting preparation.</w:t>
      </w:r>
    </w:p>
    <w:p>
      <w:r>
        <w:br w:type="page"/>
      </w:r>
    </w:p>
    <w:p>
      <w:pPr>
        <w:pStyle w:val="Heading1"/>
        <w:spacing w:before="400" w:after="200"/>
      </w:pPr>
      <w:r>
        <w:t xml:space="preserve">3. Program Learning Outcomes (PLOs)</w:t>
      </w:r>
    </w:p>
    <w:p>
      <w:pPr>
        <w:spacing w:before="150" w:after="50"/>
      </w:pPr>
      <w:r>
        <w:rPr>
          <w:b/>
          <w:bCs/>
          <w:color w:val="1a365d"/>
          <w:sz w:val="24"/>
          <w:szCs w:val="24"/>
        </w:rPr>
        <w:t xml:space="preserve">PLO1: </w:t>
      </w:r>
    </w:p>
    <w:p>
      <w:pPr>
        <w:spacing w:after="50"/>
      </w:pPr>
      <w:r>
        <w:rPr>
          <w:sz w:val="22"/>
          <w:szCs w:val="22"/>
        </w:rPr>
        <w:t xml:space="preserve">Apply spreadsheet functions to build and maintain a personal budget and cashflow tracker for client expense monitoring.</w:t>
      </w:r>
    </w:p>
    <w:p>
      <w:pPr>
        <w:spacing w:after="50"/>
      </w:pPr>
      <w:r>
        <w:rPr>
          <w:i/>
          <w:iCs/>
          <w:color w:val="718096"/>
          <w:sz w:val="20"/>
          <w:szCs w:val="20"/>
        </w:rPr>
        <w:t xml:space="preserve">Bloom Level: apply</w:t>
      </w:r>
    </w:p>
    <w:p>
      <w:pPr>
        <w:spacing w:after="150"/>
      </w:pPr>
      <w:r>
        <w:rPr>
          <w:color w:val="4a5568"/>
          <w:sz w:val="18"/>
          <w:szCs w:val="18"/>
        </w:rPr>
        <w:t xml:space="preserve">Assessment: Practical spreadsheet build and maintenance exercise assessed with rubric and accuracy checks.</w:t>
      </w:r>
    </w:p>
    <w:p>
      <w:pPr>
        <w:spacing w:before="150" w:after="50"/>
      </w:pPr>
      <w:r>
        <w:rPr>
          <w:b/>
          <w:bCs/>
          <w:color w:val="1a365d"/>
          <w:sz w:val="24"/>
          <w:szCs w:val="24"/>
        </w:rPr>
        <w:t xml:space="preserve">PLO2: </w:t>
      </w:r>
    </w:p>
    <w:p>
      <w:pPr>
        <w:spacing w:after="50"/>
      </w:pPr>
      <w:r>
        <w:rPr>
          <w:sz w:val="22"/>
          <w:szCs w:val="22"/>
        </w:rPr>
        <w:t xml:space="preserve">Apply time value of money calculations to quantify savings plans and loan repayments for client enquiry responses.</w:t>
      </w:r>
    </w:p>
    <w:p>
      <w:pPr>
        <w:spacing w:after="50"/>
      </w:pPr>
      <w:r>
        <w:rPr>
          <w:i/>
          <w:iCs/>
          <w:color w:val="718096"/>
          <w:sz w:val="20"/>
          <w:szCs w:val="20"/>
        </w:rPr>
        <w:t xml:space="preserve">Bloom Level: apply</w:t>
      </w:r>
    </w:p>
    <w:p>
      <w:pPr>
        <w:spacing w:after="150"/>
      </w:pPr>
      <w:r>
        <w:rPr>
          <w:color w:val="4a5568"/>
          <w:sz w:val="18"/>
          <w:szCs w:val="18"/>
        </w:rPr>
        <w:t xml:space="preserve">Assessment: Calculation workbook with TVM problems; graded on accuracy and explanation.</w:t>
      </w:r>
    </w:p>
    <w:p>
      <w:pPr>
        <w:spacing w:before="150" w:after="50"/>
      </w:pPr>
      <w:r>
        <w:rPr>
          <w:b/>
          <w:bCs/>
          <w:color w:val="1a365d"/>
          <w:sz w:val="24"/>
          <w:szCs w:val="24"/>
        </w:rPr>
        <w:t xml:space="preserve">PLO3: </w:t>
      </w:r>
    </w:p>
    <w:p>
      <w:pPr>
        <w:spacing w:after="50"/>
      </w:pPr>
      <w:r>
        <w:rPr>
          <w:sz w:val="22"/>
          <w:szCs w:val="22"/>
        </w:rPr>
        <w:t xml:space="preserve">Analyse market pricing and fund factsheets to compare cash, bond, equity, and ETF options for team review.</w:t>
      </w:r>
    </w:p>
    <w:p>
      <w:pPr>
        <w:spacing w:after="50"/>
      </w:pPr>
      <w:r>
        <w:rPr>
          <w:i/>
          <w:iCs/>
          <w:color w:val="718096"/>
          <w:sz w:val="20"/>
          <w:szCs w:val="20"/>
        </w:rPr>
        <w:t xml:space="preserve">Bloom Level: analyse</w:t>
      </w:r>
    </w:p>
    <w:p>
      <w:pPr>
        <w:spacing w:after="150"/>
      </w:pPr>
      <w:r>
        <w:rPr>
          <w:color w:val="4a5568"/>
          <w:sz w:val="18"/>
          <w:szCs w:val="18"/>
        </w:rPr>
        <w:t xml:space="preserve">Assessment: Data collection and comparison report with charts; marked against sourcing and interpretation criteria.</w:t>
      </w:r>
    </w:p>
    <w:p>
      <w:pPr>
        <w:spacing w:before="150" w:after="50"/>
      </w:pPr>
      <w:r>
        <w:rPr>
          <w:b/>
          <w:bCs/>
          <w:color w:val="1a365d"/>
          <w:sz w:val="24"/>
          <w:szCs w:val="24"/>
        </w:rPr>
        <w:t xml:space="preserve">PLO4: </w:t>
      </w:r>
    </w:p>
    <w:p>
      <w:pPr>
        <w:spacing w:after="50"/>
      </w:pPr>
      <w:r>
        <w:rPr>
          <w:sz w:val="22"/>
          <w:szCs w:val="22"/>
        </w:rPr>
        <w:t xml:space="preserve">Analyse risk, return, and diversification trade-offs to determine suitable basic asset allocation for a sample client case.</w:t>
      </w:r>
    </w:p>
    <w:p>
      <w:pPr>
        <w:spacing w:after="50"/>
      </w:pPr>
      <w:r>
        <w:rPr>
          <w:i/>
          <w:iCs/>
          <w:color w:val="718096"/>
          <w:sz w:val="20"/>
          <w:szCs w:val="20"/>
        </w:rPr>
        <w:t xml:space="preserve">Bloom Level: analyse</w:t>
      </w:r>
    </w:p>
    <w:p>
      <w:pPr>
        <w:spacing w:after="150"/>
      </w:pPr>
      <w:r>
        <w:rPr>
          <w:color w:val="4a5568"/>
          <w:sz w:val="18"/>
          <w:szCs w:val="18"/>
        </w:rPr>
        <w:t xml:space="preserve">Assessment: Case analysis producing allocation rationale; evaluated using suitability and risk alignment rubric.</w:t>
      </w:r>
    </w:p>
    <w:p>
      <w:pPr>
        <w:spacing w:before="150" w:after="50"/>
      </w:pPr>
      <w:r>
        <w:rPr>
          <w:b/>
          <w:bCs/>
          <w:color w:val="1a365d"/>
          <w:sz w:val="24"/>
          <w:szCs w:val="24"/>
        </w:rPr>
        <w:t xml:space="preserve">PLO5: </w:t>
      </w:r>
    </w:p>
    <w:p>
      <w:pPr>
        <w:spacing w:after="50"/>
      </w:pPr>
      <w:r>
        <w:rPr>
          <w:sz w:val="22"/>
          <w:szCs w:val="22"/>
        </w:rPr>
        <w:t xml:space="preserve">Apply basic compliance controls in file naming, data storage, and KID retention when organising documentation for planning meetings.</w:t>
      </w:r>
    </w:p>
    <w:p>
      <w:pPr>
        <w:spacing w:after="50"/>
      </w:pPr>
      <w:r>
        <w:rPr>
          <w:i/>
          <w:iCs/>
          <w:color w:val="718096"/>
          <w:sz w:val="20"/>
          <w:szCs w:val="20"/>
        </w:rPr>
        <w:t xml:space="preserve">Bloom Level: apply</w:t>
      </w:r>
    </w:p>
    <w:p>
      <w:pPr>
        <w:spacing w:after="150"/>
      </w:pPr>
      <w:r>
        <w:rPr>
          <w:color w:val="4a5568"/>
          <w:sz w:val="18"/>
          <w:szCs w:val="18"/>
        </w:rPr>
        <w:t xml:space="preserve">Assessment: Compliance simulation and file audit checklist; assessed for control adherence and documentation completeness.</w:t>
      </w:r>
    </w:p>
    <w:p>
      <w:pPr>
        <w:spacing w:before="150" w:after="50"/>
      </w:pPr>
      <w:r>
        <w:rPr>
          <w:b/>
          <w:bCs/>
          <w:color w:val="1a365d"/>
          <w:sz w:val="24"/>
          <w:szCs w:val="24"/>
        </w:rPr>
        <w:t xml:space="preserve">PLO6: </w:t>
      </w:r>
    </w:p>
    <w:p>
      <w:pPr>
        <w:spacing w:after="50"/>
      </w:pPr>
      <w:r>
        <w:rPr>
          <w:sz w:val="22"/>
          <w:szCs w:val="22"/>
        </w:rPr>
        <w:t xml:space="preserve">Analyse portfolio holdings and pricing data to reconcile records and produce simple performance and fee summaries for client files.</w:t>
      </w:r>
    </w:p>
    <w:p>
      <w:pPr>
        <w:spacing w:after="50"/>
      </w:pPr>
      <w:r>
        <w:rPr>
          <w:i/>
          <w:iCs/>
          <w:color w:val="718096"/>
          <w:sz w:val="20"/>
          <w:szCs w:val="20"/>
        </w:rPr>
        <w:t xml:space="preserve">Bloom Level: analyse</w:t>
      </w:r>
    </w:p>
    <w:p>
      <w:pPr>
        <w:spacing w:after="150"/>
      </w:pPr>
      <w:r>
        <w:rPr>
          <w:color w:val="4a5568"/>
          <w:sz w:val="18"/>
          <w:szCs w:val="18"/>
        </w:rPr>
        <w:t xml:space="preserve">Assessment: Reconciliation task using sample portfolios; performance and fee summary graded against correctness and format.</w:t>
      </w:r>
    </w:p>
    <w:p>
      <w:r>
        <w:br w:type="page"/>
      </w:r>
    </w:p>
    <w:p>
      <w:pPr>
        <w:pStyle w:val="Heading1"/>
        <w:spacing w:before="400" w:after="200"/>
      </w:pPr>
      <w:r>
        <w:t xml:space="preserve">4. Course Structure &amp; Module Learning Outcomes</w:t>
      </w:r>
    </w:p>
    <w:p>
      <w:pPr>
        <w:spacing w:after="200"/>
      </w:pPr>
      <w:r>
        <w:rPr>
          <w:color w:val="4a5568"/>
          <w:sz w:val="20"/>
          <w:szCs w:val="20"/>
        </w:rPr>
        <w:t xml:space="preserve">Total Program Hours: 60 | Contact: 18 | Independent: 42</w:t>
      </w:r>
    </w:p>
    <w:p>
      <w:pPr>
        <w:pStyle w:val="Heading2"/>
        <w:spacing w:before="300" w:after="100"/>
      </w:pPr>
      <w:r>
        <w:t xml:space="preserve">Module: Personal Budgeting and Spreadsheet Foundations</w:t>
      </w:r>
    </w:p>
    <w:p>
      <w:pPr>
        <w:spacing w:after="100"/>
      </w:pPr>
      <w:r>
        <w:rPr>
          <w:color w:val="4a5568"/>
          <w:sz w:val="20"/>
          <w:szCs w:val="20"/>
        </w:rPr>
        <w:t xml:space="preserve">Hours: 10 (Contact: 3, Independent: -)</w:t>
      </w:r>
    </w:p>
    <w:p>
      <w:pPr>
        <w:spacing w:after="50"/>
      </w:pPr>
      <w:r>
        <w:rPr>
          <w:b/>
          <w:bCs/>
          <w:sz w:val="22"/>
          <w:szCs w:val="22"/>
        </w:rPr>
        <w:t xml:space="preserve">Module Learning Outcomes:</w:t>
      </w:r>
    </w:p>
    <w:p>
      <w:pPr>
        <w:spacing w:after="50"/>
      </w:pPr>
      <w:r>
        <w:rPr>
          <w:b/>
          <w:bCs/>
          <w:sz w:val="20"/>
          <w:szCs w:val="20"/>
        </w:rPr>
        <w:t xml:space="preserve">M1-LO1: </w:t>
      </w:r>
      <w:r>
        <w:rPr>
          <w:sz w:val="20"/>
          <w:szCs w:val="20"/>
        </w:rPr>
        <w:t xml:space="preserve">Build a client budget and cashflow tracker using spreadsheet formulas and validation for monthly expense monitoring</w:t>
      </w:r>
      <w:r>
        <w:rPr>
          <w:color w:val="718096"/>
          <w:sz w:val="18"/>
          <w:szCs w:val="18"/>
        </w:rPr>
        <w:t xml:space="preserve"> [apply]</w:t>
      </w:r>
    </w:p>
    <w:p>
      <w:pPr>
        <w:spacing w:after="50"/>
      </w:pPr>
      <w:r>
        <w:rPr>
          <w:b/>
          <w:bCs/>
          <w:sz w:val="20"/>
          <w:szCs w:val="20"/>
        </w:rPr>
        <w:t xml:space="preserve">M1-LO2: </w:t>
      </w:r>
      <w:r>
        <w:rPr>
          <w:sz w:val="20"/>
          <w:szCs w:val="20"/>
        </w:rPr>
        <w:t xml:space="preserve">Explain budgeting and time value of money terms in plain English via a short client note</w:t>
      </w:r>
      <w:r>
        <w:rPr>
          <w:color w:val="718096"/>
          <w:sz w:val="18"/>
          <w:szCs w:val="18"/>
        </w:rPr>
        <w:t xml:space="preserve"> [understand]</w:t>
      </w:r>
    </w:p>
    <w:p>
      <w:pPr>
        <w:spacing w:after="50"/>
      </w:pPr>
      <w:r>
        <w:rPr>
          <w:b/>
          <w:bCs/>
          <w:sz w:val="20"/>
          <w:szCs w:val="20"/>
        </w:rPr>
        <w:t xml:space="preserve">M1-LO3: </w:t>
      </w:r>
      <w:r>
        <w:rPr>
          <w:sz w:val="20"/>
          <w:szCs w:val="20"/>
        </w:rPr>
        <w:t xml:space="preserve">Apply compliant file naming and secure storage when saving client worksheets to a shared repository</w:t>
      </w:r>
      <w:r>
        <w:rPr>
          <w:color w:val="718096"/>
          <w:sz w:val="18"/>
          <w:szCs w:val="18"/>
        </w:rPr>
        <w:t xml:space="preserve"> [apply]</w:t>
      </w:r>
    </w:p>
    <w:p>
      <w:pPr>
        <w:spacing w:after="50"/>
      </w:pPr>
      <w:r>
        <w:rPr>
          <w:b/>
          <w:bCs/>
          <w:sz w:val="20"/>
          <w:szCs w:val="20"/>
        </w:rPr>
        <w:t xml:space="preserve">Contact Activities: </w:t>
      </w:r>
      <w:r>
        <w:rPr>
          <w:sz w:val="20"/>
          <w:szCs w:val="20"/>
        </w:rPr>
        <w:t xml:space="preserve">[object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w:t>
      </w:r>
    </w:p>
    <w:p>
      <w:pPr>
        <w:pStyle w:val="Heading2"/>
        <w:spacing w:before="300" w:after="100"/>
      </w:pPr>
      <w:r>
        <w:t xml:space="preserve">Module: Time Value of Money Essentials</w:t>
      </w:r>
    </w:p>
    <w:p>
      <w:pPr>
        <w:spacing w:after="100"/>
      </w:pPr>
      <w:r>
        <w:rPr>
          <w:color w:val="4a5568"/>
          <w:sz w:val="20"/>
          <w:szCs w:val="20"/>
        </w:rPr>
        <w:t xml:space="preserve">Hours: 10 (Contact: 3, Independent: -)</w:t>
      </w:r>
    </w:p>
    <w:p>
      <w:pPr>
        <w:spacing w:after="50"/>
      </w:pPr>
      <w:r>
        <w:rPr>
          <w:b/>
          <w:bCs/>
          <w:sz w:val="22"/>
          <w:szCs w:val="22"/>
        </w:rPr>
        <w:t xml:space="preserve">Module Learning Outcomes:</w:t>
      </w:r>
    </w:p>
    <w:p>
      <w:pPr>
        <w:spacing w:after="50"/>
      </w:pPr>
      <w:r>
        <w:rPr>
          <w:b/>
          <w:bCs/>
          <w:sz w:val="20"/>
          <w:szCs w:val="20"/>
        </w:rPr>
        <w:t xml:space="preserve">M2-LO1: </w:t>
      </w:r>
      <w:r>
        <w:rPr>
          <w:sz w:val="20"/>
          <w:szCs w:val="20"/>
        </w:rPr>
        <w:t xml:space="preserve">Calculate savings targets and loan repayments using FV, PV, PMT, and RATE functions for typical client scenarios</w:t>
      </w:r>
      <w:r>
        <w:rPr>
          <w:color w:val="718096"/>
          <w:sz w:val="18"/>
          <w:szCs w:val="18"/>
        </w:rPr>
        <w:t xml:space="preserve"> [apply]</w:t>
      </w:r>
    </w:p>
    <w:p>
      <w:pPr>
        <w:spacing w:after="50"/>
      </w:pPr>
      <w:r>
        <w:rPr>
          <w:b/>
          <w:bCs/>
          <w:sz w:val="20"/>
          <w:szCs w:val="20"/>
        </w:rPr>
        <w:t xml:space="preserve">M2-LO2: </w:t>
      </w:r>
      <w:r>
        <w:rPr>
          <w:sz w:val="20"/>
          <w:szCs w:val="20"/>
        </w:rPr>
        <w:t xml:space="preserve">Interpret an amortisation schedule to explain interest versus principal over time to a client</w:t>
      </w:r>
      <w:r>
        <w:rPr>
          <w:color w:val="718096"/>
          <w:sz w:val="18"/>
          <w:szCs w:val="18"/>
        </w:rPr>
        <w:t xml:space="preserve"> [understand]</w:t>
      </w:r>
    </w:p>
    <w:p>
      <w:pPr>
        <w:spacing w:after="50"/>
      </w:pPr>
      <w:r>
        <w:rPr>
          <w:b/>
          <w:bCs/>
          <w:sz w:val="20"/>
          <w:szCs w:val="20"/>
        </w:rPr>
        <w:t xml:space="preserve">M2-LO3: </w:t>
      </w:r>
      <w:r>
        <w:rPr>
          <w:sz w:val="20"/>
          <w:szCs w:val="20"/>
        </w:rPr>
        <w:t xml:space="preserve">Apply naming conventions and input checks when completing a TVM calculator template for record accuracy</w:t>
      </w:r>
      <w:r>
        <w:rPr>
          <w:color w:val="718096"/>
          <w:sz w:val="18"/>
          <w:szCs w:val="18"/>
        </w:rPr>
        <w:t xml:space="preserve"> [apply]</w:t>
      </w:r>
    </w:p>
    <w:p>
      <w:pPr>
        <w:spacing w:after="50"/>
      </w:pPr>
      <w:r>
        <w:rPr>
          <w:b/>
          <w:bCs/>
          <w:sz w:val="20"/>
          <w:szCs w:val="20"/>
        </w:rPr>
        <w:t xml:space="preserve">Contact Activities: </w:t>
      </w:r>
      <w:r>
        <w:rPr>
          <w:sz w:val="20"/>
          <w:szCs w:val="20"/>
        </w:rPr>
        <w:t xml:space="preserve">[object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w:t>
      </w:r>
    </w:p>
    <w:p>
      <w:pPr>
        <w:pStyle w:val="Heading2"/>
        <w:spacing w:before="300" w:after="100"/>
      </w:pPr>
      <w:r>
        <w:t xml:space="preserve">Module: Investment Products and Market Data</w:t>
      </w:r>
    </w:p>
    <w:p>
      <w:pPr>
        <w:spacing w:after="100"/>
      </w:pPr>
      <w:r>
        <w:rPr>
          <w:color w:val="4a5568"/>
          <w:sz w:val="20"/>
          <w:szCs w:val="20"/>
        </w:rPr>
        <w:t xml:space="preserve">Hours: 10 (Contact: 3, Independent: -)</w:t>
      </w:r>
    </w:p>
    <w:p>
      <w:pPr>
        <w:spacing w:after="50"/>
      </w:pPr>
      <w:r>
        <w:rPr>
          <w:b/>
          <w:bCs/>
          <w:sz w:val="22"/>
          <w:szCs w:val="22"/>
        </w:rPr>
        <w:t xml:space="preserve">Module Learning Outcomes:</w:t>
      </w:r>
    </w:p>
    <w:p>
      <w:pPr>
        <w:spacing w:after="50"/>
      </w:pPr>
      <w:r>
        <w:rPr>
          <w:b/>
          <w:bCs/>
          <w:sz w:val="20"/>
          <w:szCs w:val="20"/>
        </w:rPr>
        <w:t xml:space="preserve">M3-LO1: </w:t>
      </w:r>
      <w:r>
        <w:rPr>
          <w:sz w:val="20"/>
          <w:szCs w:val="20"/>
        </w:rPr>
        <w:t xml:space="preserve">Collect and validate pricing and metadata for cash, bonds, equities, and ETFs from reputable sources into a comparison table</w:t>
      </w:r>
      <w:r>
        <w:rPr>
          <w:color w:val="718096"/>
          <w:sz w:val="18"/>
          <w:szCs w:val="18"/>
        </w:rPr>
        <w:t xml:space="preserve"> [apply]</w:t>
      </w:r>
    </w:p>
    <w:p>
      <w:pPr>
        <w:spacing w:after="50"/>
      </w:pPr>
      <w:r>
        <w:rPr>
          <w:b/>
          <w:bCs/>
          <w:sz w:val="20"/>
          <w:szCs w:val="20"/>
        </w:rPr>
        <w:t xml:space="preserve">M3-LO2: </w:t>
      </w:r>
      <w:r>
        <w:rPr>
          <w:sz w:val="20"/>
          <w:szCs w:val="20"/>
        </w:rPr>
        <w:t xml:space="preserve">Analyse fund factsheets and KIDs to extract fees, risk ratings, objectives, and holdings for a team brief</w:t>
      </w:r>
      <w:r>
        <w:rPr>
          <w:color w:val="718096"/>
          <w:sz w:val="18"/>
          <w:szCs w:val="18"/>
        </w:rPr>
        <w:t xml:space="preserve"> [analyse]</w:t>
      </w:r>
    </w:p>
    <w:p>
      <w:pPr>
        <w:spacing w:after="50"/>
      </w:pPr>
      <w:r>
        <w:rPr>
          <w:b/>
          <w:bCs/>
          <w:sz w:val="20"/>
          <w:szCs w:val="20"/>
        </w:rPr>
        <w:t xml:space="preserve">M3-LO3: </w:t>
      </w:r>
      <w:r>
        <w:rPr>
          <w:sz w:val="20"/>
          <w:szCs w:val="20"/>
        </w:rPr>
        <w:t xml:space="preserve">Prepare clear charts and a one-page summary comparing key metrics for shortlisted products</w:t>
      </w:r>
      <w:r>
        <w:rPr>
          <w:color w:val="718096"/>
          <w:sz w:val="18"/>
          <w:szCs w:val="18"/>
        </w:rPr>
        <w:t xml:space="preserve"> [apply]</w:t>
      </w:r>
    </w:p>
    <w:p>
      <w:pPr>
        <w:spacing w:after="50"/>
      </w:pPr>
      <w:r>
        <w:rPr>
          <w:b/>
          <w:bCs/>
          <w:sz w:val="20"/>
          <w:szCs w:val="20"/>
        </w:rPr>
        <w:t xml:space="preserve">Contact Activities: </w:t>
      </w:r>
      <w:r>
        <w:rPr>
          <w:sz w:val="20"/>
          <w:szCs w:val="20"/>
        </w:rPr>
        <w:t xml:space="preserve">[object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w:t>
      </w:r>
    </w:p>
    <w:p>
      <w:pPr>
        <w:pStyle w:val="Heading2"/>
        <w:spacing w:before="300" w:after="100"/>
      </w:pPr>
      <w:r>
        <w:t xml:space="preserve">Module: Risk, Return, and Asset Allocation</w:t>
      </w:r>
    </w:p>
    <w:p>
      <w:pPr>
        <w:spacing w:after="100"/>
      </w:pPr>
      <w:r>
        <w:rPr>
          <w:color w:val="4a5568"/>
          <w:sz w:val="20"/>
          <w:szCs w:val="20"/>
        </w:rPr>
        <w:t xml:space="preserve">Hours: 10 (Contact: 3, Independent: -)</w:t>
      </w:r>
    </w:p>
    <w:p>
      <w:pPr>
        <w:spacing w:after="50"/>
      </w:pPr>
      <w:r>
        <w:rPr>
          <w:b/>
          <w:bCs/>
          <w:sz w:val="22"/>
          <w:szCs w:val="22"/>
        </w:rPr>
        <w:t xml:space="preserve">Module Learning Outcomes:</w:t>
      </w:r>
    </w:p>
    <w:p>
      <w:pPr>
        <w:spacing w:after="50"/>
      </w:pPr>
      <w:r>
        <w:rPr>
          <w:b/>
          <w:bCs/>
          <w:sz w:val="20"/>
          <w:szCs w:val="20"/>
        </w:rPr>
        <w:t xml:space="preserve">M4-LO1: </w:t>
      </w:r>
      <w:r>
        <w:rPr>
          <w:sz w:val="20"/>
          <w:szCs w:val="20"/>
        </w:rPr>
        <w:t xml:space="preserve">Analyse historical returns to compute volatility and correlations, interpreting implications for diversification</w:t>
      </w:r>
      <w:r>
        <w:rPr>
          <w:color w:val="718096"/>
          <w:sz w:val="18"/>
          <w:szCs w:val="18"/>
        </w:rPr>
        <w:t xml:space="preserve"> [analyse]</w:t>
      </w:r>
    </w:p>
    <w:p>
      <w:pPr>
        <w:spacing w:after="50"/>
      </w:pPr>
      <w:r>
        <w:rPr>
          <w:b/>
          <w:bCs/>
          <w:sz w:val="20"/>
          <w:szCs w:val="20"/>
        </w:rPr>
        <w:t xml:space="preserve">M4-LO2: </w:t>
      </w:r>
      <w:r>
        <w:rPr>
          <w:sz w:val="20"/>
          <w:szCs w:val="20"/>
        </w:rPr>
        <w:t xml:space="preserve">Construct a basic strategic asset allocation aligned to a given client risk profile and goals</w:t>
      </w:r>
      <w:r>
        <w:rPr>
          <w:color w:val="718096"/>
          <w:sz w:val="18"/>
          <w:szCs w:val="18"/>
        </w:rPr>
        <w:t xml:space="preserve"> [apply]</w:t>
      </w:r>
    </w:p>
    <w:p>
      <w:pPr>
        <w:spacing w:after="50"/>
      </w:pPr>
      <w:r>
        <w:rPr>
          <w:b/>
          <w:bCs/>
          <w:sz w:val="20"/>
          <w:szCs w:val="20"/>
        </w:rPr>
        <w:t xml:space="preserve">M4-LO3: </w:t>
      </w:r>
      <w:r>
        <w:rPr>
          <w:sz w:val="20"/>
          <w:szCs w:val="20"/>
        </w:rPr>
        <w:t xml:space="preserve">Analyse trade-offs between risk and expected return to justify recommended weights in a case memo</w:t>
      </w:r>
      <w:r>
        <w:rPr>
          <w:color w:val="718096"/>
          <w:sz w:val="18"/>
          <w:szCs w:val="18"/>
        </w:rPr>
        <w:t xml:space="preserve"> [analyse]</w:t>
      </w:r>
    </w:p>
    <w:p>
      <w:pPr>
        <w:spacing w:after="50"/>
      </w:pPr>
      <w:r>
        <w:rPr>
          <w:b/>
          <w:bCs/>
          <w:sz w:val="20"/>
          <w:szCs w:val="20"/>
        </w:rPr>
        <w:t xml:space="preserve">Contact Activities: </w:t>
      </w:r>
      <w:r>
        <w:rPr>
          <w:sz w:val="20"/>
          <w:szCs w:val="20"/>
        </w:rPr>
        <w:t xml:space="preserve">[object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w:t>
      </w:r>
    </w:p>
    <w:p>
      <w:pPr>
        <w:pStyle w:val="Heading2"/>
        <w:spacing w:before="300" w:after="100"/>
      </w:pPr>
      <w:r>
        <w:t xml:space="preserve">Module: Compliance and Client File Management</w:t>
      </w:r>
    </w:p>
    <w:p>
      <w:pPr>
        <w:spacing w:after="100"/>
      </w:pPr>
      <w:r>
        <w:rPr>
          <w:color w:val="4a5568"/>
          <w:sz w:val="20"/>
          <w:szCs w:val="20"/>
        </w:rPr>
        <w:t xml:space="preserve">Hours: 10 (Contact: 3, Independent: -)</w:t>
      </w:r>
    </w:p>
    <w:p>
      <w:pPr>
        <w:spacing w:after="50"/>
      </w:pPr>
      <w:r>
        <w:rPr>
          <w:b/>
          <w:bCs/>
          <w:sz w:val="22"/>
          <w:szCs w:val="22"/>
        </w:rPr>
        <w:t xml:space="preserve">Module Learning Outcomes:</w:t>
      </w:r>
    </w:p>
    <w:p>
      <w:pPr>
        <w:spacing w:after="50"/>
      </w:pPr>
      <w:r>
        <w:rPr>
          <w:b/>
          <w:bCs/>
          <w:sz w:val="20"/>
          <w:szCs w:val="20"/>
        </w:rPr>
        <w:t xml:space="preserve">M5-LO1: </w:t>
      </w:r>
      <w:r>
        <w:rPr>
          <w:sz w:val="20"/>
          <w:szCs w:val="20"/>
        </w:rPr>
        <w:t xml:space="preserve">Apply UK record-keeping and data protection expectations to organise client files, including KIDs retention and audit trail</w:t>
      </w:r>
      <w:r>
        <w:rPr>
          <w:color w:val="718096"/>
          <w:sz w:val="18"/>
          <w:szCs w:val="18"/>
        </w:rPr>
        <w:t xml:space="preserve"> [apply]</w:t>
      </w:r>
    </w:p>
    <w:p>
      <w:pPr>
        <w:spacing w:after="50"/>
      </w:pPr>
      <w:r>
        <w:rPr>
          <w:b/>
          <w:bCs/>
          <w:sz w:val="20"/>
          <w:szCs w:val="20"/>
        </w:rPr>
        <w:t xml:space="preserve">M5-LO2: </w:t>
      </w:r>
      <w:r>
        <w:rPr>
          <w:sz w:val="20"/>
          <w:szCs w:val="20"/>
        </w:rPr>
        <w:t xml:space="preserve">Analyse common file-handling risks and propose controls to ensure version integrity and accuracy</w:t>
      </w:r>
      <w:r>
        <w:rPr>
          <w:color w:val="718096"/>
          <w:sz w:val="18"/>
          <w:szCs w:val="18"/>
        </w:rPr>
        <w:t xml:space="preserve"> [analyse]</w:t>
      </w:r>
    </w:p>
    <w:p>
      <w:pPr>
        <w:spacing w:after="50"/>
      </w:pPr>
      <w:r>
        <w:rPr>
          <w:b/>
          <w:bCs/>
          <w:sz w:val="20"/>
          <w:szCs w:val="20"/>
        </w:rPr>
        <w:t xml:space="preserve">M5-LO3: </w:t>
      </w:r>
      <w:r>
        <w:rPr>
          <w:sz w:val="20"/>
          <w:szCs w:val="20"/>
        </w:rPr>
        <w:t xml:space="preserve">Prepare a documentation completeness checklist for planning meetings and apply it to a sample client folder</w:t>
      </w:r>
      <w:r>
        <w:rPr>
          <w:color w:val="718096"/>
          <w:sz w:val="18"/>
          <w:szCs w:val="18"/>
        </w:rPr>
        <w:t xml:space="preserve"> [apply]</w:t>
      </w:r>
    </w:p>
    <w:p>
      <w:pPr>
        <w:spacing w:after="50"/>
      </w:pPr>
      <w:r>
        <w:rPr>
          <w:b/>
          <w:bCs/>
          <w:sz w:val="20"/>
          <w:szCs w:val="20"/>
        </w:rPr>
        <w:t xml:space="preserve">Contact Activities: </w:t>
      </w:r>
      <w:r>
        <w:rPr>
          <w:sz w:val="20"/>
          <w:szCs w:val="20"/>
        </w:rPr>
        <w:t xml:space="preserve">[object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w:t>
      </w:r>
    </w:p>
    <w:p>
      <w:pPr>
        <w:pStyle w:val="Heading2"/>
        <w:spacing w:before="300" w:after="100"/>
      </w:pPr>
      <w:r>
        <w:t xml:space="preserve">Module: Portfolio Reconciliation, Performance, and Reporting</w:t>
      </w:r>
    </w:p>
    <w:p>
      <w:pPr>
        <w:spacing w:after="100"/>
      </w:pPr>
      <w:r>
        <w:rPr>
          <w:color w:val="4a5568"/>
          <w:sz w:val="20"/>
          <w:szCs w:val="20"/>
        </w:rPr>
        <w:t xml:space="preserve">Hours: 10 (Contact: 3, Independent: -)</w:t>
      </w:r>
    </w:p>
    <w:p>
      <w:pPr>
        <w:spacing w:after="50"/>
      </w:pPr>
      <w:r>
        <w:rPr>
          <w:b/>
          <w:bCs/>
          <w:sz w:val="22"/>
          <w:szCs w:val="22"/>
        </w:rPr>
        <w:t xml:space="preserve">Module Learning Outcomes:</w:t>
      </w:r>
    </w:p>
    <w:p>
      <w:pPr>
        <w:spacing w:after="50"/>
      </w:pPr>
      <w:r>
        <w:rPr>
          <w:b/>
          <w:bCs/>
          <w:sz w:val="20"/>
          <w:szCs w:val="20"/>
        </w:rPr>
        <w:t xml:space="preserve">M6-LO1: </w:t>
      </w:r>
      <w:r>
        <w:rPr>
          <w:sz w:val="20"/>
          <w:szCs w:val="20"/>
        </w:rPr>
        <w:t xml:space="preserve">Reconcile portfolio holdings and prices against a custodial statement, documenting and resolving differences</w:t>
      </w:r>
      <w:r>
        <w:rPr>
          <w:color w:val="718096"/>
          <w:sz w:val="18"/>
          <w:szCs w:val="18"/>
        </w:rPr>
        <w:t xml:space="preserve"> [analyse]</w:t>
      </w:r>
    </w:p>
    <w:p>
      <w:pPr>
        <w:spacing w:after="50"/>
      </w:pPr>
      <w:r>
        <w:rPr>
          <w:b/>
          <w:bCs/>
          <w:sz w:val="20"/>
          <w:szCs w:val="20"/>
        </w:rPr>
        <w:t xml:space="preserve">M6-LO2: </w:t>
      </w:r>
      <w:r>
        <w:rPr>
          <w:sz w:val="20"/>
          <w:szCs w:val="20"/>
        </w:rPr>
        <w:t xml:space="preserve">Compute time-weighted returns and total fees from transactions and balances, producing a transparent summary table</w:t>
      </w:r>
      <w:r>
        <w:rPr>
          <w:color w:val="718096"/>
          <w:sz w:val="18"/>
          <w:szCs w:val="18"/>
        </w:rPr>
        <w:t xml:space="preserve"> [analyse]</w:t>
      </w:r>
    </w:p>
    <w:p>
      <w:pPr>
        <w:spacing w:after="50"/>
      </w:pPr>
      <w:r>
        <w:rPr>
          <w:b/>
          <w:bCs/>
          <w:sz w:val="20"/>
          <w:szCs w:val="20"/>
        </w:rPr>
        <w:t xml:space="preserve">M6-LO3: </w:t>
      </w:r>
      <w:r>
        <w:rPr>
          <w:sz w:val="20"/>
          <w:szCs w:val="20"/>
        </w:rPr>
        <w:t xml:space="preserve">Evaluate performance versus a simple benchmark and recommend actions in a concise client report</w:t>
      </w:r>
      <w:r>
        <w:rPr>
          <w:color w:val="718096"/>
          <w:sz w:val="18"/>
          <w:szCs w:val="18"/>
        </w:rPr>
        <w:t xml:space="preserve"> [evaluate]</w:t>
      </w:r>
    </w:p>
    <w:p>
      <w:pPr>
        <w:spacing w:after="50"/>
      </w:pPr>
      <w:r>
        <w:rPr>
          <w:b/>
          <w:bCs/>
          <w:sz w:val="20"/>
          <w:szCs w:val="20"/>
        </w:rPr>
        <w:t xml:space="preserve">M6-LO4: </w:t>
      </w:r>
      <w:r>
        <w:rPr>
          <w:sz w:val="20"/>
          <w:szCs w:val="20"/>
        </w:rPr>
        <w:t xml:space="preserve">Create a plain-English explainer linking budgeting and TVM habits to investment outcomes for the client file</w:t>
      </w:r>
      <w:r>
        <w:rPr>
          <w:color w:val="718096"/>
          <w:sz w:val="18"/>
          <w:szCs w:val="18"/>
        </w:rPr>
        <w:t xml:space="preserve"> [create]</w:t>
      </w:r>
    </w:p>
    <w:p>
      <w:pPr>
        <w:spacing w:after="50"/>
      </w:pPr>
      <w:r>
        <w:rPr>
          <w:b/>
          <w:bCs/>
          <w:sz w:val="20"/>
          <w:szCs w:val="20"/>
        </w:rPr>
        <w:t xml:space="preserve">Contact Activities: </w:t>
      </w:r>
      <w:r>
        <w:rPr>
          <w:sz w:val="20"/>
          <w:szCs w:val="20"/>
        </w:rPr>
        <w:t xml:space="preserve">[object Object], [object Object], [object Object]</w:t>
      </w:r>
    </w:p>
    <w:p>
      <w:pPr>
        <w:spacing w:after="150"/>
      </w:pPr>
      <w:r>
        <w:rPr>
          <w:b/>
          <w:bCs/>
          <w:sz w:val="20"/>
          <w:szCs w:val="20"/>
        </w:rPr>
        <w:t xml:space="preserve">Independent Activities: </w:t>
      </w:r>
      <w:r>
        <w:rPr>
          <w:sz w:val="20"/>
          <w:szCs w:val="20"/>
        </w:rPr>
        <w:t xml:space="preserve">[object Object], [object Object], [object Object], [object Object]</w:t>
      </w:r>
    </w:p>
    <w:p>
      <w:r>
        <w:br w:type="page"/>
      </w:r>
    </w:p>
    <w:p>
      <w:pPr>
        <w:pStyle w:val="Heading1"/>
        <w:spacing w:before="400" w:after="200"/>
      </w:pPr>
      <w:r>
        <w:t xml:space="preserve">5. Academic Sources (AGI Standards)</w:t>
      </w:r>
    </w:p>
    <w:p>
      <w:pPr>
        <w:spacing w:after="200"/>
      </w:pPr>
      <w:r>
        <w:rPr>
          <w:color w:val="4a5568"/>
          <w:sz w:val="20"/>
          <w:szCs w:val="20"/>
        </w:rPr>
        <w:t xml:space="preserve">Total Sources: 24 | Peer-Reviewed: 2% | Recent (&lt;5yr): 96%</w:t>
      </w:r>
    </w:p>
    <w:p>
      <w:pPr>
        <w:spacing w:before="150" w:after="100"/>
      </w:pPr>
      <w:r>
        <w:rPr>
          <w:b/>
          <w:bCs/>
          <w:color w:val="1a365d"/>
          <w:sz w:val="22"/>
          <w:szCs w:val="22"/>
        </w:rPr>
        <w:t xml:space="preserve">Module: mod1</w:t>
      </w:r>
    </w:p>
    <w:p>
      <w:pPr>
        <w:spacing w:after="30"/>
      </w:pPr>
      <w:r>
        <w:rPr>
          <w:b/>
          <w:bCs/>
          <w:sz w:val="20"/>
          <w:szCs w:val="20"/>
        </w:rPr>
        <w:t xml:space="preserve">[1] </w:t>
      </w:r>
      <w:r>
        <w:rPr>
          <w:sz w:val="20"/>
          <w:szCs w:val="20"/>
        </w:rPr>
        <w:t xml:space="preserve">Ragsdale, C. T. (2021). Spreadsheet modeling &amp; decision analysis: A practical introduction to business analytics (9th ed.). Cengage.</w:t>
      </w:r>
    </w:p>
    <w:p>
      <w:pPr>
        <w:spacing w:after="80"/>
      </w:pPr>
      <w:r>
        <w:rPr>
          <w:color w:val="718096"/>
          <w:sz w:val="18"/>
          <w:szCs w:val="18"/>
        </w:rPr>
        <w:t xml:space="preserve">Type: - | Category: academic_textbook</w:t>
      </w:r>
    </w:p>
    <w:p>
      <w:pPr>
        <w:spacing w:after="30"/>
      </w:pPr>
      <w:r>
        <w:rPr>
          <w:b/>
          <w:bCs/>
          <w:sz w:val="20"/>
          <w:szCs w:val="20"/>
        </w:rPr>
        <w:t xml:space="preserve">[2] </w:t>
      </w:r>
      <w:r>
        <w:rPr>
          <w:sz w:val="20"/>
          <w:szCs w:val="20"/>
        </w:rPr>
        <w:t xml:space="preserve">Madura, J. (2020). Personal finance (7th ed.). Pearson.</w:t>
      </w:r>
    </w:p>
    <w:p>
      <w:pPr>
        <w:spacing w:after="80"/>
      </w:pPr>
      <w:r>
        <w:rPr>
          <w:color w:val="718096"/>
          <w:sz w:val="18"/>
          <w:szCs w:val="18"/>
        </w:rPr>
        <w:t xml:space="preserve">Type: - | Category: academic_textbook</w:t>
      </w:r>
    </w:p>
    <w:p>
      <w:pPr>
        <w:spacing w:after="30"/>
      </w:pPr>
      <w:r>
        <w:rPr>
          <w:b/>
          <w:bCs/>
          <w:sz w:val="20"/>
          <w:szCs w:val="20"/>
        </w:rPr>
        <w:t xml:space="preserve">[3] </w:t>
      </w:r>
      <w:r>
        <w:rPr>
          <w:sz w:val="20"/>
          <w:szCs w:val="20"/>
        </w:rPr>
        <w:t xml:space="preserve">Information Commissioner's Office. (2023). Guide to the UK GDPR. https://ico.org.uk/for-organisations/uk-gdpr-guidance-and-resources/uk-gdpr-guidance/</w:t>
      </w:r>
    </w:p>
    <w:p>
      <w:pPr>
        <w:spacing w:after="80"/>
      </w:pPr>
      <w:r>
        <w:rPr>
          <w:color w:val="718096"/>
          <w:sz w:val="18"/>
          <w:szCs w:val="18"/>
        </w:rPr>
        <w:t xml:space="preserve">Type: - | Category: professional_body</w:t>
      </w:r>
    </w:p>
    <w:p>
      <w:pPr>
        <w:spacing w:after="30"/>
      </w:pPr>
      <w:r>
        <w:rPr>
          <w:b/>
          <w:bCs/>
          <w:sz w:val="20"/>
          <w:szCs w:val="20"/>
        </w:rPr>
        <w:t xml:space="preserve">[4] </w:t>
      </w:r>
      <w:r>
        <w:rPr>
          <w:sz w:val="20"/>
          <w:szCs w:val="20"/>
        </w:rPr>
        <w:t xml:space="preserve">SFIA Foundation. (2024). SFIA 9: Skills Framework for the Information Age — Framework reference (Version 9). https://sfia-online.org/en/sfia-9</w:t>
      </w:r>
    </w:p>
    <w:p>
      <w:pPr>
        <w:spacing w:after="80"/>
      </w:pPr>
      <w:r>
        <w:rPr>
          <w:color w:val="718096"/>
          <w:sz w:val="18"/>
          <w:szCs w:val="18"/>
        </w:rPr>
        <w:t xml:space="preserve">Type: - | Category: professional_body</w:t>
      </w:r>
    </w:p>
    <w:p>
      <w:pPr>
        <w:spacing w:before="150" w:after="100"/>
      </w:pPr>
      <w:r>
        <w:rPr>
          <w:b/>
          <w:bCs/>
          <w:color w:val="1a365d"/>
          <w:sz w:val="22"/>
          <w:szCs w:val="22"/>
        </w:rPr>
        <w:t xml:space="preserve">Module: mod2</w:t>
      </w:r>
    </w:p>
    <w:p>
      <w:pPr>
        <w:spacing w:after="30"/>
      </w:pPr>
      <w:r>
        <w:rPr>
          <w:b/>
          <w:bCs/>
          <w:sz w:val="20"/>
          <w:szCs w:val="20"/>
        </w:rPr>
        <w:t xml:space="preserve">[1] </w:t>
      </w:r>
      <w:r>
        <w:rPr>
          <w:sz w:val="20"/>
          <w:szCs w:val="20"/>
        </w:rPr>
        <w:t xml:space="preserve">Brealey, R. A., Myers, S. C., &amp; Allen, F. (2020). Principles of corporate finance (13th ed.). McGraw-Hill Education.</w:t>
      </w:r>
    </w:p>
    <w:p>
      <w:pPr>
        <w:spacing w:after="80"/>
      </w:pPr>
      <w:r>
        <w:rPr>
          <w:color w:val="718096"/>
          <w:sz w:val="18"/>
          <w:szCs w:val="18"/>
        </w:rPr>
        <w:t xml:space="preserve">Type: - | Category: academic_textbook</w:t>
      </w:r>
    </w:p>
    <w:p>
      <w:pPr>
        <w:spacing w:after="30"/>
      </w:pPr>
      <w:r>
        <w:rPr>
          <w:b/>
          <w:bCs/>
          <w:sz w:val="20"/>
          <w:szCs w:val="20"/>
        </w:rPr>
        <w:t xml:space="preserve">[2] </w:t>
      </w:r>
      <w:r>
        <w:rPr>
          <w:sz w:val="20"/>
          <w:szCs w:val="20"/>
        </w:rPr>
        <w:t xml:space="preserve">Benninga, S. (2022). Financial modeling (5th ed.). MIT Press. https://doi.org/10.7551/mitpress/12989.001.0001</w:t>
      </w:r>
    </w:p>
    <w:p>
      <w:pPr>
        <w:spacing w:after="80"/>
      </w:pPr>
      <w:r>
        <w:rPr>
          <w:color w:val="718096"/>
          <w:sz w:val="18"/>
          <w:szCs w:val="18"/>
        </w:rPr>
        <w:t xml:space="preserve">Type: - | Category: academic_textbook</w:t>
      </w:r>
    </w:p>
    <w:p>
      <w:pPr>
        <w:spacing w:after="30"/>
      </w:pPr>
      <w:r>
        <w:rPr>
          <w:b/>
          <w:bCs/>
          <w:sz w:val="20"/>
          <w:szCs w:val="20"/>
        </w:rPr>
        <w:t xml:space="preserve">[3] </w:t>
      </w:r>
      <w:r>
        <w:rPr>
          <w:sz w:val="20"/>
          <w:szCs w:val="20"/>
        </w:rPr>
        <w:t xml:space="preserve">HM Treasury. (2022). The Green Book: Central government guidance on appraisal and evaluation. https://www.gov.uk/government/publications/the-green-book-appraisal-and-evaluation-in-central-government</w:t>
      </w:r>
    </w:p>
    <w:p>
      <w:pPr>
        <w:spacing w:after="80"/>
      </w:pPr>
      <w:r>
        <w:rPr>
          <w:color w:val="718096"/>
          <w:sz w:val="18"/>
          <w:szCs w:val="18"/>
        </w:rPr>
        <w:t xml:space="preserve">Type: - | Category: professional_body</w:t>
      </w:r>
    </w:p>
    <w:p>
      <w:pPr>
        <w:spacing w:after="30"/>
      </w:pPr>
      <w:r>
        <w:rPr>
          <w:b/>
          <w:bCs/>
          <w:sz w:val="20"/>
          <w:szCs w:val="20"/>
        </w:rPr>
        <w:t xml:space="preserve">[4] </w:t>
      </w:r>
      <w:r>
        <w:rPr>
          <w:sz w:val="20"/>
          <w:szCs w:val="20"/>
        </w:rPr>
        <w:t xml:space="preserve">CFA Institute. (2023). CFA Program Curriculum Level I 2023: Quantitative methods—Time value of money. https://www.cfainstitute.org/programs/cfa/curriculum</w:t>
      </w:r>
    </w:p>
    <w:p>
      <w:pPr>
        <w:spacing w:after="80"/>
      </w:pPr>
      <w:r>
        <w:rPr>
          <w:color w:val="718096"/>
          <w:sz w:val="18"/>
          <w:szCs w:val="18"/>
        </w:rPr>
        <w:t xml:space="preserve">Type: - | Category: professional_body</w:t>
      </w:r>
    </w:p>
    <w:p>
      <w:pPr>
        <w:spacing w:before="150" w:after="100"/>
      </w:pPr>
      <w:r>
        <w:rPr>
          <w:b/>
          <w:bCs/>
          <w:color w:val="1a365d"/>
          <w:sz w:val="22"/>
          <w:szCs w:val="22"/>
        </w:rPr>
        <w:t xml:space="preserve">Module: mod3</w:t>
      </w:r>
    </w:p>
    <w:p>
      <w:pPr>
        <w:spacing w:after="30"/>
      </w:pPr>
      <w:r>
        <w:rPr>
          <w:b/>
          <w:bCs/>
          <w:sz w:val="20"/>
          <w:szCs w:val="20"/>
        </w:rPr>
        <w:t xml:space="preserve">[1] </w:t>
      </w:r>
      <w:r>
        <w:rPr>
          <w:sz w:val="20"/>
          <w:szCs w:val="20"/>
        </w:rPr>
        <w:t xml:space="preserve">Bodie, Z., Kane, A., &amp; Marcus, A. J. (2021). Investments (12th ed.). McGraw-Hill Education.</w:t>
      </w:r>
    </w:p>
    <w:p>
      <w:pPr>
        <w:spacing w:after="80"/>
      </w:pPr>
      <w:r>
        <w:rPr>
          <w:color w:val="718096"/>
          <w:sz w:val="18"/>
          <w:szCs w:val="18"/>
        </w:rPr>
        <w:t xml:space="preserve">Type: - | Category: academic_textbook</w:t>
      </w:r>
    </w:p>
    <w:p>
      <w:pPr>
        <w:spacing w:after="30"/>
      </w:pPr>
      <w:r>
        <w:rPr>
          <w:b/>
          <w:bCs/>
          <w:sz w:val="20"/>
          <w:szCs w:val="20"/>
        </w:rPr>
        <w:t xml:space="preserve">[2] </w:t>
      </w:r>
      <w:r>
        <w:rPr>
          <w:sz w:val="20"/>
          <w:szCs w:val="20"/>
        </w:rPr>
        <w:t xml:space="preserve">International Organization of Securities Commissions. (2023). Good practices relating to the implementation of the IOSCO principles for exchange traded funds. https://www.iosco.org/library/</w:t>
      </w:r>
    </w:p>
    <w:p>
      <w:pPr>
        <w:spacing w:after="80"/>
      </w:pPr>
      <w:r>
        <w:rPr>
          <w:color w:val="718096"/>
          <w:sz w:val="18"/>
          <w:szCs w:val="18"/>
        </w:rPr>
        <w:t xml:space="preserve">Type: - | Category: professional_body</w:t>
      </w:r>
    </w:p>
    <w:p>
      <w:pPr>
        <w:spacing w:after="30"/>
      </w:pPr>
      <w:r>
        <w:rPr>
          <w:b/>
          <w:bCs/>
          <w:sz w:val="20"/>
          <w:szCs w:val="20"/>
        </w:rPr>
        <w:t xml:space="preserve">[3] </w:t>
      </w:r>
      <w:r>
        <w:rPr>
          <w:sz w:val="20"/>
          <w:szCs w:val="20"/>
        </w:rPr>
        <w:t xml:space="preserve">Financial Conduct Authority. (2024). COBS 4: Communicating with clients, including financial promotions. https://www.handbook.fca.org.uk/handbook/COBS/4/</w:t>
      </w:r>
    </w:p>
    <w:p>
      <w:pPr>
        <w:spacing w:after="80"/>
      </w:pPr>
      <w:r>
        <w:rPr>
          <w:color w:val="718096"/>
          <w:sz w:val="18"/>
          <w:szCs w:val="18"/>
        </w:rPr>
        <w:t xml:space="preserve">Type: - | Category: professional_body</w:t>
      </w:r>
    </w:p>
    <w:p>
      <w:pPr>
        <w:spacing w:after="30"/>
      </w:pPr>
      <w:r>
        <w:rPr>
          <w:b/>
          <w:bCs/>
          <w:sz w:val="20"/>
          <w:szCs w:val="20"/>
        </w:rPr>
        <w:t xml:space="preserve">[4] </w:t>
      </w:r>
      <w:r>
        <w:rPr>
          <w:sz w:val="20"/>
          <w:szCs w:val="20"/>
        </w:rPr>
        <w:t xml:space="preserve">Financial Conduct Authority. (2023). PRIIPs: Packaged retail and insurance-based investment products — Regulatory framework (PROD 7). https://www.handbook.fca.org.uk/handbook/PROD/7/</w:t>
      </w:r>
    </w:p>
    <w:p>
      <w:pPr>
        <w:spacing w:after="80"/>
      </w:pPr>
      <w:r>
        <w:rPr>
          <w:color w:val="718096"/>
          <w:sz w:val="18"/>
          <w:szCs w:val="18"/>
        </w:rPr>
        <w:t xml:space="preserve">Type: - | Category: professional_body</w:t>
      </w:r>
    </w:p>
    <w:p>
      <w:pPr>
        <w:spacing w:before="150" w:after="100"/>
      </w:pPr>
      <w:r>
        <w:rPr>
          <w:b/>
          <w:bCs/>
          <w:color w:val="1a365d"/>
          <w:sz w:val="22"/>
          <w:szCs w:val="22"/>
        </w:rPr>
        <w:t xml:space="preserve">Module: mod4</w:t>
      </w:r>
    </w:p>
    <w:p>
      <w:pPr>
        <w:spacing w:after="30"/>
      </w:pPr>
      <w:r>
        <w:rPr>
          <w:b/>
          <w:bCs/>
          <w:sz w:val="20"/>
          <w:szCs w:val="20"/>
        </w:rPr>
        <w:t xml:space="preserve">[1] </w:t>
      </w:r>
      <w:r>
        <w:rPr>
          <w:sz w:val="20"/>
          <w:szCs w:val="20"/>
        </w:rPr>
        <w:t xml:space="preserve">Ilmanen, A. (2022). Investing amid low expected returns: Making the most when markets offer the least. Wiley. https://doi.org/10.1002/9781119860251</w:t>
      </w:r>
    </w:p>
    <w:p>
      <w:pPr>
        <w:spacing w:after="80"/>
      </w:pPr>
      <w:r>
        <w:rPr>
          <w:color w:val="718096"/>
          <w:sz w:val="18"/>
          <w:szCs w:val="18"/>
        </w:rPr>
        <w:t xml:space="preserve">Type: - | Category: academic_textbook</w:t>
      </w:r>
    </w:p>
    <w:p>
      <w:pPr>
        <w:spacing w:after="30"/>
      </w:pPr>
      <w:r>
        <w:rPr>
          <w:b/>
          <w:bCs/>
          <w:sz w:val="20"/>
          <w:szCs w:val="20"/>
        </w:rPr>
        <w:t xml:space="preserve">[2] </w:t>
      </w:r>
      <w:r>
        <w:rPr>
          <w:sz w:val="20"/>
          <w:szCs w:val="20"/>
        </w:rPr>
        <w:t xml:space="preserve">Markowitz, H. (1952). Portfolio selection. The Journal of Finance, 7(1), 77–91. https://doi.org/10.1111/j.1540-6261.1952.tb01525.x</w:t>
      </w:r>
    </w:p>
    <w:p>
      <w:pPr>
        <w:spacing w:after="80"/>
      </w:pPr>
      <w:r>
        <w:rPr>
          <w:color w:val="718096"/>
          <w:sz w:val="18"/>
          <w:szCs w:val="18"/>
        </w:rPr>
        <w:t xml:space="preserve">Type: - | Category: peer_reviewed_journal</w:t>
      </w:r>
    </w:p>
    <w:p>
      <w:pPr>
        <w:spacing w:after="30"/>
      </w:pPr>
      <w:r>
        <w:rPr>
          <w:b/>
          <w:bCs/>
          <w:sz w:val="20"/>
          <w:szCs w:val="20"/>
        </w:rPr>
        <w:t xml:space="preserve">[3] </w:t>
      </w:r>
      <w:r>
        <w:rPr>
          <w:sz w:val="20"/>
          <w:szCs w:val="20"/>
        </w:rPr>
        <w:t xml:space="preserve">Boudoukh, J., Israel, R., &amp; Richardson, M. (2021). The evolution of factor investing. Annual Review of Financial Economics, 13, 45–74. https://doi.org/10.1146/annurev-financial-093020-091052</w:t>
      </w:r>
    </w:p>
    <w:p>
      <w:pPr>
        <w:spacing w:after="80"/>
      </w:pPr>
      <w:r>
        <w:rPr>
          <w:color w:val="718096"/>
          <w:sz w:val="18"/>
          <w:szCs w:val="18"/>
        </w:rPr>
        <w:t xml:space="preserve">Type: - | Category: peer_reviewed_journal</w:t>
      </w:r>
    </w:p>
    <w:p>
      <w:pPr>
        <w:spacing w:after="30"/>
      </w:pPr>
      <w:r>
        <w:rPr>
          <w:b/>
          <w:bCs/>
          <w:sz w:val="20"/>
          <w:szCs w:val="20"/>
        </w:rPr>
        <w:t xml:space="preserve">[4] </w:t>
      </w:r>
      <w:r>
        <w:rPr>
          <w:sz w:val="20"/>
          <w:szCs w:val="20"/>
        </w:rPr>
        <w:t xml:space="preserve">CFA Institute. (2023). Asset allocation. In CFA Program Curriculum Level III 2023. https://www.cfainstitute.org/programs/cfa/curriculum</w:t>
      </w:r>
    </w:p>
    <w:p>
      <w:pPr>
        <w:spacing w:after="80"/>
      </w:pPr>
      <w:r>
        <w:rPr>
          <w:color w:val="718096"/>
          <w:sz w:val="18"/>
          <w:szCs w:val="18"/>
        </w:rPr>
        <w:t xml:space="preserve">Type: - | Category: professional_body</w:t>
      </w:r>
    </w:p>
    <w:p>
      <w:pPr>
        <w:spacing w:before="150" w:after="100"/>
      </w:pPr>
      <w:r>
        <w:rPr>
          <w:b/>
          <w:bCs/>
          <w:color w:val="1a365d"/>
          <w:sz w:val="22"/>
          <w:szCs w:val="22"/>
        </w:rPr>
        <w:t xml:space="preserve">Module: mod5</w:t>
      </w:r>
    </w:p>
    <w:p>
      <w:pPr>
        <w:spacing w:after="30"/>
      </w:pPr>
      <w:r>
        <w:rPr>
          <w:b/>
          <w:bCs/>
          <w:sz w:val="20"/>
          <w:szCs w:val="20"/>
        </w:rPr>
        <w:t xml:space="preserve">[1] </w:t>
      </w:r>
      <w:r>
        <w:rPr>
          <w:sz w:val="20"/>
          <w:szCs w:val="20"/>
        </w:rPr>
        <w:t xml:space="preserve">Information Commissioner's Office. (2023). Guide to the UK GDPR. https://ico.org.uk/for-organisations/uk-gdpr-guidance-and-resources/uk-gdpr-guidance/</w:t>
      </w:r>
    </w:p>
    <w:p>
      <w:pPr>
        <w:spacing w:after="80"/>
      </w:pPr>
      <w:r>
        <w:rPr>
          <w:color w:val="718096"/>
          <w:sz w:val="18"/>
          <w:szCs w:val="18"/>
        </w:rPr>
        <w:t xml:space="preserve">Type: - | Category: professional_body</w:t>
      </w:r>
    </w:p>
    <w:p>
      <w:pPr>
        <w:spacing w:after="30"/>
      </w:pPr>
      <w:r>
        <w:rPr>
          <w:b/>
          <w:bCs/>
          <w:sz w:val="20"/>
          <w:szCs w:val="20"/>
        </w:rPr>
        <w:t xml:space="preserve">[2] </w:t>
      </w:r>
      <w:r>
        <w:rPr>
          <w:sz w:val="20"/>
          <w:szCs w:val="20"/>
        </w:rPr>
        <w:t xml:space="preserve">Financial Conduct Authority. (2024). SYSC: Senior management arrangements, systems and controls. https://www.handbook.fca.org.uk/handbook/SYSC/</w:t>
      </w:r>
    </w:p>
    <w:p>
      <w:pPr>
        <w:spacing w:after="80"/>
      </w:pPr>
      <w:r>
        <w:rPr>
          <w:color w:val="718096"/>
          <w:sz w:val="18"/>
          <w:szCs w:val="18"/>
        </w:rPr>
        <w:t xml:space="preserve">Type: - | Category: professional_body</w:t>
      </w:r>
    </w:p>
    <w:p>
      <w:pPr>
        <w:spacing w:after="30"/>
      </w:pPr>
      <w:r>
        <w:rPr>
          <w:b/>
          <w:bCs/>
          <w:sz w:val="20"/>
          <w:szCs w:val="20"/>
        </w:rPr>
        <w:t xml:space="preserve">[3] </w:t>
      </w:r>
      <w:r>
        <w:rPr>
          <w:sz w:val="20"/>
          <w:szCs w:val="20"/>
        </w:rPr>
        <w:t xml:space="preserve">SFIA Foundation. (2024). SFIA 9: Skills Framework for the Information Age — Information governance, information and data management (Version 9). https://sfia-online.org/en/sfia-9/skills</w:t>
      </w:r>
    </w:p>
    <w:p>
      <w:pPr>
        <w:spacing w:after="80"/>
      </w:pPr>
      <w:r>
        <w:rPr>
          <w:color w:val="718096"/>
          <w:sz w:val="18"/>
          <w:szCs w:val="18"/>
        </w:rPr>
        <w:t xml:space="preserve">Type: - | Category: professional_body</w:t>
      </w:r>
    </w:p>
    <w:p>
      <w:pPr>
        <w:spacing w:after="30"/>
      </w:pPr>
      <w:r>
        <w:rPr>
          <w:b/>
          <w:bCs/>
          <w:sz w:val="20"/>
          <w:szCs w:val="20"/>
        </w:rPr>
        <w:t xml:space="preserve">[4] </w:t>
      </w:r>
      <w:r>
        <w:rPr>
          <w:sz w:val="20"/>
          <w:szCs w:val="20"/>
        </w:rPr>
        <w:t xml:space="preserve">Chartered Institute for Securities &amp; Investment. (2020). Compliance and risk in financial services (2nd ed.). CISI.</w:t>
      </w:r>
    </w:p>
    <w:p>
      <w:pPr>
        <w:spacing w:after="80"/>
      </w:pPr>
      <w:r>
        <w:rPr>
          <w:color w:val="718096"/>
          <w:sz w:val="18"/>
          <w:szCs w:val="18"/>
        </w:rPr>
        <w:t xml:space="preserve">Type: - | Category: professional_body</w:t>
      </w:r>
    </w:p>
    <w:p>
      <w:pPr>
        <w:spacing w:before="150" w:after="100"/>
      </w:pPr>
      <w:r>
        <w:rPr>
          <w:b/>
          <w:bCs/>
          <w:color w:val="1a365d"/>
          <w:sz w:val="22"/>
          <w:szCs w:val="22"/>
        </w:rPr>
        <w:t xml:space="preserve">Module: mod6</w:t>
      </w:r>
    </w:p>
    <w:p>
      <w:pPr>
        <w:spacing w:after="30"/>
      </w:pPr>
      <w:r>
        <w:rPr>
          <w:b/>
          <w:bCs/>
          <w:sz w:val="20"/>
          <w:szCs w:val="20"/>
        </w:rPr>
        <w:t xml:space="preserve">[1] </w:t>
      </w:r>
      <w:r>
        <w:rPr>
          <w:sz w:val="20"/>
          <w:szCs w:val="20"/>
        </w:rPr>
        <w:t xml:space="preserve">CFA Institute. (2020). Global Investment Performance Standards (GIPS) for firms. https://www.cfainstitute.org/en/ethics-standards/codes/gips-standards</w:t>
      </w:r>
    </w:p>
    <w:p>
      <w:pPr>
        <w:spacing w:after="80"/>
      </w:pPr>
      <w:r>
        <w:rPr>
          <w:color w:val="718096"/>
          <w:sz w:val="18"/>
          <w:szCs w:val="18"/>
        </w:rPr>
        <w:t xml:space="preserve">Type: - | Category: professional_body</w:t>
      </w:r>
    </w:p>
    <w:p>
      <w:pPr>
        <w:spacing w:after="30"/>
      </w:pPr>
      <w:r>
        <w:rPr>
          <w:b/>
          <w:bCs/>
          <w:sz w:val="20"/>
          <w:szCs w:val="20"/>
        </w:rPr>
        <w:t xml:space="preserve">[2] </w:t>
      </w:r>
      <w:r>
        <w:rPr>
          <w:sz w:val="20"/>
          <w:szCs w:val="20"/>
        </w:rPr>
        <w:t xml:space="preserve">CFA Institute. (2020). Global Investment Performance Standards (GIPS) for asset owners. https://www.cfainstitute.org/en/ethics-standards/codes/gips-standards</w:t>
      </w:r>
    </w:p>
    <w:p>
      <w:pPr>
        <w:spacing w:after="80"/>
      </w:pPr>
      <w:r>
        <w:rPr>
          <w:color w:val="718096"/>
          <w:sz w:val="18"/>
          <w:szCs w:val="18"/>
        </w:rPr>
        <w:t xml:space="preserve">Type: - | Category: professional_body</w:t>
      </w:r>
    </w:p>
    <w:p>
      <w:pPr>
        <w:spacing w:after="30"/>
      </w:pPr>
      <w:r>
        <w:rPr>
          <w:b/>
          <w:bCs/>
          <w:sz w:val="20"/>
          <w:szCs w:val="20"/>
        </w:rPr>
        <w:t xml:space="preserve">[3] </w:t>
      </w:r>
      <w:r>
        <w:rPr>
          <w:sz w:val="20"/>
          <w:szCs w:val="20"/>
        </w:rPr>
        <w:t xml:space="preserve">Christopherson, J. A., Carino, D. R., &amp; Ferson, W. E. (2022). Portfolio performance measurement and benchmarking (2nd ed.). Wiley. https://doi.org/10.1002/9781119859408</w:t>
      </w:r>
    </w:p>
    <w:p>
      <w:pPr>
        <w:spacing w:after="80"/>
      </w:pPr>
      <w:r>
        <w:rPr>
          <w:color w:val="718096"/>
          <w:sz w:val="18"/>
          <w:szCs w:val="18"/>
        </w:rPr>
        <w:t xml:space="preserve">Type: - | Category: academic_textbook</w:t>
      </w:r>
    </w:p>
    <w:p>
      <w:pPr>
        <w:spacing w:after="30"/>
      </w:pPr>
      <w:r>
        <w:rPr>
          <w:b/>
          <w:bCs/>
          <w:sz w:val="20"/>
          <w:szCs w:val="20"/>
        </w:rPr>
        <w:t xml:space="preserve">[4] </w:t>
      </w:r>
      <w:r>
        <w:rPr>
          <w:sz w:val="20"/>
          <w:szCs w:val="20"/>
        </w:rPr>
        <w:t xml:space="preserve">CFA Institute. (2021). Measuring investment performance: Time-weighted versus money-weighted returns. https://rpc.cfainstitute.org/en/research/foundation/2021/measuring-investment-performance</w:t>
      </w:r>
    </w:p>
    <w:p>
      <w:pPr>
        <w:spacing w:after="80"/>
      </w:pPr>
      <w:r>
        <w:rPr>
          <w:color w:val="718096"/>
          <w:sz w:val="18"/>
          <w:szCs w:val="18"/>
        </w:rPr>
        <w:t xml:space="preserve">Type: - | Category: professional_body</w:t>
      </w:r>
    </w:p>
    <w:p>
      <w:r>
        <w:br w:type="page"/>
      </w:r>
    </w:p>
    <w:p>
      <w:pPr>
        <w:pStyle w:val="Heading1"/>
        <w:spacing w:before="400" w:after="200"/>
      </w:pPr>
      <w:r>
        <w:t xml:space="preserve">6. Reading Lists</w:t>
      </w:r>
    </w:p>
    <w:p>
      <w:pPr>
        <w:spacing w:after="200"/>
      </w:pPr>
      <w:r>
        <w:rPr>
          <w:color w:val="4a5568"/>
          <w:sz w:val="20"/>
          <w:szCs w:val="20"/>
        </w:rPr>
        <w:t xml:space="preserve">Total Readings: 48 | Core: 24 | Supplementary: 24</w:t>
      </w:r>
    </w:p>
    <w:p>
      <w:pPr>
        <w:pStyle w:val="Heading2"/>
        <w:spacing w:before="200" w:after="100"/>
      </w:pPr>
      <w:r>
        <w:t xml:space="preserve">mod1</w:t>
      </w:r>
    </w:p>
    <w:p>
      <w:pPr>
        <w:spacing w:after="50"/>
      </w:pPr>
      <w:r>
        <w:rPr>
          <w:b/>
          <w:bCs/>
          <w:sz w:val="22"/>
          <w:szCs w:val="22"/>
        </w:rPr>
        <w:t xml:space="preserve">Core Readings:</w:t>
      </w:r>
    </w:p>
    <w:p>
      <w:pPr>
        <w:spacing w:after="30"/>
      </w:pPr>
      <w:r>
        <w:rPr>
          <w:sz w:val="20"/>
          <w:szCs w:val="20"/>
        </w:rPr>
        <w:t xml:space="preserve">• Spreadsheet Modeling &amp; Decision Analysis: A Practical Introduction to Business Analytics</w:t>
      </w:r>
      <w:r>
        <w:rPr>
          <w:color w:val="718096"/>
          <w:sz w:val="20"/>
          <w:szCs w:val="20"/>
        </w:rPr>
        <w:t xml:space="preserve"> - Ragsdale, C. T.</w:t>
      </w:r>
      <w:r>
        <w:rPr>
          <w:color w:val="4a5568"/>
          <w:sz w:val="18"/>
          <w:szCs w:val="18"/>
        </w:rPr>
        <w:t xml:space="preserve"> (45 min)</w:t>
      </w:r>
    </w:p>
    <w:p>
      <w:pPr>
        <w:spacing w:after="30"/>
      </w:pPr>
      <w:r>
        <w:rPr>
          <w:sz w:val="20"/>
          <w:szCs w:val="20"/>
        </w:rPr>
        <w:t xml:space="preserve">• Personal Finance</w:t>
      </w:r>
      <w:r>
        <w:rPr>
          <w:color w:val="718096"/>
          <w:sz w:val="20"/>
          <w:szCs w:val="20"/>
        </w:rPr>
        <w:t xml:space="preserve"> - Madura, J.</w:t>
      </w:r>
      <w:r>
        <w:rPr>
          <w:color w:val="4a5568"/>
          <w:sz w:val="18"/>
          <w:szCs w:val="18"/>
        </w:rPr>
        <w:t xml:space="preserve"> (35 min)</w:t>
      </w:r>
    </w:p>
    <w:p>
      <w:pPr>
        <w:spacing w:after="30"/>
      </w:pPr>
      <w:r>
        <w:rPr>
          <w:sz w:val="20"/>
          <w:szCs w:val="20"/>
        </w:rPr>
        <w:t xml:space="preserve">• Guide to the UK GDPR</w:t>
      </w:r>
      <w:r>
        <w:rPr>
          <w:color w:val="718096"/>
          <w:sz w:val="20"/>
          <w:szCs w:val="20"/>
        </w:rPr>
        <w:t xml:space="preserve"> - Information Commissioner's Office</w:t>
      </w:r>
      <w:r>
        <w:rPr>
          <w:color w:val="4a5568"/>
          <w:sz w:val="18"/>
          <w:szCs w:val="18"/>
        </w:rPr>
        <w:t xml:space="preserve"> (28 min)</w:t>
      </w:r>
    </w:p>
    <w:p>
      <w:pPr>
        <w:spacing w:after="30"/>
      </w:pPr>
      <w:r>
        <w:rPr>
          <w:sz w:val="20"/>
          <w:szCs w:val="20"/>
        </w:rPr>
        <w:t xml:space="preserve">• SFIA 9: Skills Framework for the Information Age — Framework Reference</w:t>
      </w:r>
      <w:r>
        <w:rPr>
          <w:color w:val="718096"/>
          <w:sz w:val="20"/>
          <w:szCs w:val="20"/>
        </w:rPr>
        <w:t xml:space="preserve"> - SFIA Foundation</w:t>
      </w:r>
      <w:r>
        <w:rPr>
          <w:color w:val="4a5568"/>
          <w:sz w:val="18"/>
          <w:szCs w:val="18"/>
        </w:rPr>
        <w:t xml:space="preserve"> (15 min)</w:t>
      </w:r>
    </w:p>
    <w:p>
      <w:pPr>
        <w:spacing w:before="100" w:after="50"/>
      </w:pPr>
      <w:r>
        <w:rPr>
          <w:b/>
          <w:bCs/>
          <w:sz w:val="22"/>
          <w:szCs w:val="22"/>
        </w:rPr>
        <w:t xml:space="preserve">Supplementary Readings:</w:t>
      </w:r>
    </w:p>
    <w:p>
      <w:pPr>
        <w:spacing w:after="30"/>
      </w:pPr>
      <w:r>
        <w:rPr>
          <w:sz w:val="20"/>
          <w:szCs w:val="20"/>
        </w:rPr>
        <w:t xml:space="preserve">• Spreadsheet Modeling &amp; Decision Analysis: A Practical Introduction to Business Analytics</w:t>
      </w:r>
      <w:r>
        <w:rPr>
          <w:color w:val="718096"/>
          <w:sz w:val="20"/>
          <w:szCs w:val="20"/>
        </w:rPr>
        <w:t xml:space="preserve"> - Ragsdale, C. T.</w:t>
      </w:r>
    </w:p>
    <w:p>
      <w:pPr>
        <w:spacing w:after="30"/>
      </w:pPr>
      <w:r>
        <w:rPr>
          <w:sz w:val="20"/>
          <w:szCs w:val="20"/>
        </w:rPr>
        <w:t xml:space="preserve">• Personal Finance</w:t>
      </w:r>
      <w:r>
        <w:rPr>
          <w:color w:val="718096"/>
          <w:sz w:val="20"/>
          <w:szCs w:val="20"/>
        </w:rPr>
        <w:t xml:space="preserve"> - Madura, J.</w:t>
      </w:r>
    </w:p>
    <w:p>
      <w:pPr>
        <w:spacing w:after="30"/>
      </w:pPr>
      <w:r>
        <w:rPr>
          <w:sz w:val="20"/>
          <w:szCs w:val="20"/>
        </w:rPr>
        <w:t xml:space="preserve">• Guide to the UK GDPR</w:t>
      </w:r>
      <w:r>
        <w:rPr>
          <w:color w:val="718096"/>
          <w:sz w:val="20"/>
          <w:szCs w:val="20"/>
        </w:rPr>
        <w:t xml:space="preserve"> - Information Commissioner's Office</w:t>
      </w:r>
    </w:p>
    <w:p>
      <w:pPr>
        <w:spacing w:after="30"/>
      </w:pPr>
      <w:r>
        <w:rPr>
          <w:sz w:val="20"/>
          <w:szCs w:val="20"/>
        </w:rPr>
        <w:t xml:space="preserve">• SFIA 9: Skills Framework for the Information Age — Framework Reference</w:t>
      </w:r>
      <w:r>
        <w:rPr>
          <w:color w:val="718096"/>
          <w:sz w:val="20"/>
          <w:szCs w:val="20"/>
        </w:rPr>
        <w:t xml:space="preserve"> - SFIA Foundation</w:t>
      </w:r>
    </w:p>
    <w:p>
      <w:pPr>
        <w:pStyle w:val="Heading2"/>
        <w:spacing w:before="200" w:after="100"/>
      </w:pPr>
      <w:r>
        <w:t xml:space="preserve">mod2</w:t>
      </w:r>
    </w:p>
    <w:p>
      <w:pPr>
        <w:spacing w:after="50"/>
      </w:pPr>
      <w:r>
        <w:rPr>
          <w:b/>
          <w:bCs/>
          <w:sz w:val="22"/>
          <w:szCs w:val="22"/>
        </w:rPr>
        <w:t xml:space="preserve">Core Readings:</w:t>
      </w:r>
    </w:p>
    <w:p>
      <w:pPr>
        <w:spacing w:after="30"/>
      </w:pPr>
      <w:r>
        <w:rPr>
          <w:sz w:val="20"/>
          <w:szCs w:val="20"/>
        </w:rPr>
        <w:t xml:space="preserve">• CFA Program Curriculum Level I 2023: Quantitative Methods—Time Value of Money</w:t>
      </w:r>
      <w:r>
        <w:rPr>
          <w:color w:val="718096"/>
          <w:sz w:val="20"/>
          <w:szCs w:val="20"/>
        </w:rPr>
        <w:t xml:space="preserve"> - CFA Institute</w:t>
      </w:r>
      <w:r>
        <w:rPr>
          <w:color w:val="4a5568"/>
          <w:sz w:val="18"/>
          <w:szCs w:val="18"/>
        </w:rPr>
        <w:t xml:space="preserve"> (38 min)</w:t>
      </w:r>
    </w:p>
    <w:p>
      <w:pPr>
        <w:spacing w:after="30"/>
      </w:pPr>
      <w:r>
        <w:rPr>
          <w:sz w:val="20"/>
          <w:szCs w:val="20"/>
        </w:rPr>
        <w:t xml:space="preserve">• Principles of Corporate Finance</w:t>
      </w:r>
      <w:r>
        <w:rPr>
          <w:color w:val="718096"/>
          <w:sz w:val="20"/>
          <w:szCs w:val="20"/>
        </w:rPr>
        <w:t xml:space="preserve"> - Brealey, R. A., Myers, S. C., Allen, F.</w:t>
      </w:r>
      <w:r>
        <w:rPr>
          <w:color w:val="4a5568"/>
          <w:sz w:val="18"/>
          <w:szCs w:val="18"/>
        </w:rPr>
        <w:t xml:space="preserve"> (30 min)</w:t>
      </w:r>
    </w:p>
    <w:p>
      <w:pPr>
        <w:spacing w:after="30"/>
      </w:pPr>
      <w:r>
        <w:rPr>
          <w:sz w:val="20"/>
          <w:szCs w:val="20"/>
        </w:rPr>
        <w:t xml:space="preserve">• Financial Modeling</w:t>
      </w:r>
      <w:r>
        <w:rPr>
          <w:color w:val="718096"/>
          <w:sz w:val="20"/>
          <w:szCs w:val="20"/>
        </w:rPr>
        <w:t xml:space="preserve"> - Benninga, S.</w:t>
      </w:r>
      <w:r>
        <w:rPr>
          <w:color w:val="4a5568"/>
          <w:sz w:val="18"/>
          <w:szCs w:val="18"/>
        </w:rPr>
        <w:t xml:space="preserve"> (39 min)</w:t>
      </w:r>
    </w:p>
    <w:p>
      <w:pPr>
        <w:spacing w:after="30"/>
      </w:pPr>
      <w:r>
        <w:rPr>
          <w:sz w:val="20"/>
          <w:szCs w:val="20"/>
        </w:rPr>
        <w:t xml:space="preserve">• The Green Book: Central Government Guidance on Appraisal and Evaluation</w:t>
      </w:r>
      <w:r>
        <w:rPr>
          <w:color w:val="718096"/>
          <w:sz w:val="20"/>
          <w:szCs w:val="20"/>
        </w:rPr>
        <w:t xml:space="preserve"> - HM Treasury</w:t>
      </w:r>
      <w:r>
        <w:rPr>
          <w:color w:val="4a5568"/>
          <w:sz w:val="18"/>
          <w:szCs w:val="18"/>
        </w:rPr>
        <w:t xml:space="preserve"> (20 min)</w:t>
      </w:r>
    </w:p>
    <w:p>
      <w:pPr>
        <w:spacing w:before="100" w:after="50"/>
      </w:pPr>
      <w:r>
        <w:rPr>
          <w:b/>
          <w:bCs/>
          <w:sz w:val="22"/>
          <w:szCs w:val="22"/>
        </w:rPr>
        <w:t xml:space="preserve">Supplementary Readings:</w:t>
      </w:r>
    </w:p>
    <w:p>
      <w:pPr>
        <w:spacing w:after="30"/>
      </w:pPr>
      <w:r>
        <w:rPr>
          <w:sz w:val="20"/>
          <w:szCs w:val="20"/>
        </w:rPr>
        <w:t xml:space="preserve">• Financial Modeling</w:t>
      </w:r>
      <w:r>
        <w:rPr>
          <w:color w:val="718096"/>
          <w:sz w:val="20"/>
          <w:szCs w:val="20"/>
        </w:rPr>
        <w:t xml:space="preserve"> - Benninga, S.</w:t>
      </w:r>
    </w:p>
    <w:p>
      <w:pPr>
        <w:spacing w:after="30"/>
      </w:pPr>
      <w:r>
        <w:rPr>
          <w:sz w:val="20"/>
          <w:szCs w:val="20"/>
        </w:rPr>
        <w:t xml:space="preserve">• CFA Program Curriculum Level I 2023: Quantitative Methods—Time Value of Money</w:t>
      </w:r>
      <w:r>
        <w:rPr>
          <w:color w:val="718096"/>
          <w:sz w:val="20"/>
          <w:szCs w:val="20"/>
        </w:rPr>
        <w:t xml:space="preserve"> - CFA Institute</w:t>
      </w:r>
    </w:p>
    <w:p>
      <w:pPr>
        <w:spacing w:after="30"/>
      </w:pPr>
      <w:r>
        <w:rPr>
          <w:sz w:val="20"/>
          <w:szCs w:val="20"/>
        </w:rPr>
        <w:t xml:space="preserve">• Principles of Corporate Finance</w:t>
      </w:r>
      <w:r>
        <w:rPr>
          <w:color w:val="718096"/>
          <w:sz w:val="20"/>
          <w:szCs w:val="20"/>
        </w:rPr>
        <w:t xml:space="preserve"> - Brealey, R. A., Myers, S. C., Allen, F.</w:t>
      </w:r>
    </w:p>
    <w:p>
      <w:pPr>
        <w:spacing w:after="30"/>
      </w:pPr>
      <w:r>
        <w:rPr>
          <w:sz w:val="20"/>
          <w:szCs w:val="20"/>
        </w:rPr>
        <w:t xml:space="preserve">• The Green Book: Central Government Guidance on Appraisal and Evaluation</w:t>
      </w:r>
      <w:r>
        <w:rPr>
          <w:color w:val="718096"/>
          <w:sz w:val="20"/>
          <w:szCs w:val="20"/>
        </w:rPr>
        <w:t xml:space="preserve"> - HM Treasury</w:t>
      </w:r>
    </w:p>
    <w:p>
      <w:pPr>
        <w:pStyle w:val="Heading2"/>
        <w:spacing w:before="200" w:after="100"/>
      </w:pPr>
      <w:r>
        <w:t xml:space="preserve">mod3</w:t>
      </w:r>
    </w:p>
    <w:p>
      <w:pPr>
        <w:spacing w:after="50"/>
      </w:pPr>
      <w:r>
        <w:rPr>
          <w:b/>
          <w:bCs/>
          <w:sz w:val="22"/>
          <w:szCs w:val="22"/>
        </w:rPr>
        <w:t xml:space="preserve">Core Readings:</w:t>
      </w:r>
    </w:p>
    <w:p>
      <w:pPr>
        <w:spacing w:after="30"/>
      </w:pPr>
      <w:r>
        <w:rPr>
          <w:sz w:val="20"/>
          <w:szCs w:val="20"/>
        </w:rPr>
        <w:t xml:space="preserve">• Investments</w:t>
      </w:r>
      <w:r>
        <w:rPr>
          <w:color w:val="718096"/>
          <w:sz w:val="20"/>
          <w:szCs w:val="20"/>
        </w:rPr>
        <w:t xml:space="preserve"> - Bodie, Z., Kane, A., Marcus, A. J.</w:t>
      </w:r>
      <w:r>
        <w:rPr>
          <w:color w:val="4a5568"/>
          <w:sz w:val="18"/>
          <w:szCs w:val="18"/>
        </w:rPr>
        <w:t xml:space="preserve"> (48 min)</w:t>
      </w:r>
    </w:p>
    <w:p>
      <w:pPr>
        <w:spacing w:after="30"/>
      </w:pPr>
      <w:r>
        <w:rPr>
          <w:sz w:val="20"/>
          <w:szCs w:val="20"/>
        </w:rPr>
        <w:t xml:space="preserve">• Good Practices Relating to the Implementation of the IOSCO Principles for Exchange Traded Funds</w:t>
      </w:r>
      <w:r>
        <w:rPr>
          <w:color w:val="718096"/>
          <w:sz w:val="20"/>
          <w:szCs w:val="20"/>
        </w:rPr>
        <w:t xml:space="preserve"> - International Organization of Securities Commissions</w:t>
      </w:r>
      <w:r>
        <w:rPr>
          <w:color w:val="4a5568"/>
          <w:sz w:val="18"/>
          <w:szCs w:val="18"/>
        </w:rPr>
        <w:t xml:space="preserve"> (23 min)</w:t>
      </w:r>
    </w:p>
    <w:p>
      <w:pPr>
        <w:spacing w:after="30"/>
      </w:pPr>
      <w:r>
        <w:rPr>
          <w:sz w:val="20"/>
          <w:szCs w:val="20"/>
        </w:rPr>
        <w:t xml:space="preserve">• PRIIPs: Packaged Retail and Insurance-based Investment Products — Regulatory Framework (UK)</w:t>
      </w:r>
      <w:r>
        <w:rPr>
          <w:color w:val="718096"/>
          <w:sz w:val="20"/>
          <w:szCs w:val="20"/>
        </w:rPr>
        <w:t xml:space="preserve"> - Financial Conduct Authority</w:t>
      </w:r>
      <w:r>
        <w:rPr>
          <w:color w:val="4a5568"/>
          <w:sz w:val="18"/>
          <w:szCs w:val="18"/>
        </w:rPr>
        <w:t xml:space="preserve"> (30 min)</w:t>
      </w:r>
    </w:p>
    <w:p>
      <w:pPr>
        <w:spacing w:after="30"/>
      </w:pPr>
      <w:r>
        <w:rPr>
          <w:sz w:val="20"/>
          <w:szCs w:val="20"/>
        </w:rPr>
        <w:t xml:space="preserve">• COBS 4: Communicating with Clients, Including Financial Promotions</w:t>
      </w:r>
      <w:r>
        <w:rPr>
          <w:color w:val="718096"/>
          <w:sz w:val="20"/>
          <w:szCs w:val="20"/>
        </w:rPr>
        <w:t xml:space="preserve"> - Financial Conduct Authority</w:t>
      </w:r>
      <w:r>
        <w:rPr>
          <w:color w:val="4a5568"/>
          <w:sz w:val="18"/>
          <w:szCs w:val="18"/>
        </w:rPr>
        <w:t xml:space="preserve"> (18 min)</w:t>
      </w:r>
    </w:p>
    <w:p>
      <w:pPr>
        <w:spacing w:before="100" w:after="50"/>
      </w:pPr>
      <w:r>
        <w:rPr>
          <w:b/>
          <w:bCs/>
          <w:sz w:val="22"/>
          <w:szCs w:val="22"/>
        </w:rPr>
        <w:t xml:space="preserve">Supplementary Readings:</w:t>
      </w:r>
    </w:p>
    <w:p>
      <w:pPr>
        <w:spacing w:after="30"/>
      </w:pPr>
      <w:r>
        <w:rPr>
          <w:sz w:val="20"/>
          <w:szCs w:val="20"/>
        </w:rPr>
        <w:t xml:space="preserve">• Investments</w:t>
      </w:r>
      <w:r>
        <w:rPr>
          <w:color w:val="718096"/>
          <w:sz w:val="20"/>
          <w:szCs w:val="20"/>
        </w:rPr>
        <w:t xml:space="preserve"> - Bodie, Z., Kane, A., Marcus, A. J.</w:t>
      </w:r>
    </w:p>
    <w:p>
      <w:pPr>
        <w:spacing w:after="30"/>
      </w:pPr>
      <w:r>
        <w:rPr>
          <w:sz w:val="20"/>
          <w:szCs w:val="20"/>
        </w:rPr>
        <w:t xml:space="preserve">• PRIIPs: Packaged Retail and Insurance-based Investment Products — Regulatory Framework (UK)</w:t>
      </w:r>
      <w:r>
        <w:rPr>
          <w:color w:val="718096"/>
          <w:sz w:val="20"/>
          <w:szCs w:val="20"/>
        </w:rPr>
        <w:t xml:space="preserve"> - Financial Conduct Authority</w:t>
      </w:r>
    </w:p>
    <w:p>
      <w:pPr>
        <w:spacing w:after="30"/>
      </w:pPr>
      <w:r>
        <w:rPr>
          <w:sz w:val="20"/>
          <w:szCs w:val="20"/>
        </w:rPr>
        <w:t xml:space="preserve">• Good Practices Relating to the Implementation of the IOSCO Principles for Exchange Traded Funds</w:t>
      </w:r>
      <w:r>
        <w:rPr>
          <w:color w:val="718096"/>
          <w:sz w:val="20"/>
          <w:szCs w:val="20"/>
        </w:rPr>
        <w:t xml:space="preserve"> - International Organization of Securities Commissions</w:t>
      </w:r>
    </w:p>
    <w:p>
      <w:pPr>
        <w:spacing w:after="30"/>
      </w:pPr>
      <w:r>
        <w:rPr>
          <w:sz w:val="20"/>
          <w:szCs w:val="20"/>
        </w:rPr>
        <w:t xml:space="preserve">• COBS 4: Communicating with Clients, Including Financial Promotions</w:t>
      </w:r>
      <w:r>
        <w:rPr>
          <w:color w:val="718096"/>
          <w:sz w:val="20"/>
          <w:szCs w:val="20"/>
        </w:rPr>
        <w:t xml:space="preserve"> - Financial Conduct Authority</w:t>
      </w:r>
    </w:p>
    <w:p>
      <w:pPr>
        <w:pStyle w:val="Heading2"/>
        <w:spacing w:before="200" w:after="100"/>
      </w:pPr>
      <w:r>
        <w:t xml:space="preserve">mod4</w:t>
      </w:r>
    </w:p>
    <w:p>
      <w:pPr>
        <w:spacing w:after="50"/>
      </w:pPr>
      <w:r>
        <w:rPr>
          <w:b/>
          <w:bCs/>
          <w:sz w:val="22"/>
          <w:szCs w:val="22"/>
        </w:rPr>
        <w:t xml:space="preserve">Core Readings:</w:t>
      </w:r>
    </w:p>
    <w:p>
      <w:pPr>
        <w:spacing w:after="30"/>
      </w:pPr>
      <w:r>
        <w:rPr>
          <w:sz w:val="20"/>
          <w:szCs w:val="20"/>
        </w:rPr>
        <w:t xml:space="preserve">• Asset Allocation</w:t>
      </w:r>
      <w:r>
        <w:rPr>
          <w:color w:val="718096"/>
          <w:sz w:val="20"/>
          <w:szCs w:val="20"/>
        </w:rPr>
        <w:t xml:space="preserve"> - CFA Institute</w:t>
      </w:r>
      <w:r>
        <w:rPr>
          <w:color w:val="4a5568"/>
          <w:sz w:val="18"/>
          <w:szCs w:val="18"/>
        </w:rPr>
        <w:t xml:space="preserve"> (42 min)</w:t>
      </w:r>
    </w:p>
    <w:p>
      <w:pPr>
        <w:spacing w:after="30"/>
      </w:pPr>
      <w:r>
        <w:rPr>
          <w:sz w:val="20"/>
          <w:szCs w:val="20"/>
        </w:rPr>
        <w:t xml:space="preserve">• Portfolio Selection</w:t>
      </w:r>
      <w:r>
        <w:rPr>
          <w:color w:val="718096"/>
          <w:sz w:val="20"/>
          <w:szCs w:val="20"/>
        </w:rPr>
        <w:t xml:space="preserve"> - Markowitz, H.</w:t>
      </w:r>
      <w:r>
        <w:rPr>
          <w:color w:val="4a5568"/>
          <w:sz w:val="18"/>
          <w:szCs w:val="18"/>
        </w:rPr>
        <w:t xml:space="preserve"> (26 min)</w:t>
      </w:r>
    </w:p>
    <w:p>
      <w:pPr>
        <w:spacing w:after="30"/>
      </w:pPr>
      <w:r>
        <w:rPr>
          <w:sz w:val="20"/>
          <w:szCs w:val="20"/>
        </w:rPr>
        <w:t xml:space="preserve">• Investing Amid Low Expected Returns: Making the Most When Markets Offer the Least</w:t>
      </w:r>
      <w:r>
        <w:rPr>
          <w:color w:val="718096"/>
          <w:sz w:val="20"/>
          <w:szCs w:val="20"/>
        </w:rPr>
        <w:t xml:space="preserve"> - Ilmanen, A.</w:t>
      </w:r>
      <w:r>
        <w:rPr>
          <w:color w:val="4a5568"/>
          <w:sz w:val="18"/>
          <w:szCs w:val="18"/>
        </w:rPr>
        <w:t xml:space="preserve"> (38 min)</w:t>
      </w:r>
    </w:p>
    <w:p>
      <w:pPr>
        <w:spacing w:after="30"/>
      </w:pPr>
      <w:r>
        <w:rPr>
          <w:sz w:val="20"/>
          <w:szCs w:val="20"/>
        </w:rPr>
        <w:t xml:space="preserve">• The Evolution of Factor Investing</w:t>
      </w:r>
      <w:r>
        <w:rPr>
          <w:color w:val="718096"/>
          <w:sz w:val="20"/>
          <w:szCs w:val="20"/>
        </w:rPr>
        <w:t xml:space="preserve"> - Boudoukh, J., Israel, R., Richardson, M.</w:t>
      </w:r>
      <w:r>
        <w:rPr>
          <w:color w:val="4a5568"/>
          <w:sz w:val="18"/>
          <w:szCs w:val="18"/>
        </w:rPr>
        <w:t xml:space="preserve"> (30 min)</w:t>
      </w:r>
    </w:p>
    <w:p>
      <w:pPr>
        <w:spacing w:before="100" w:after="50"/>
      </w:pPr>
      <w:r>
        <w:rPr>
          <w:b/>
          <w:bCs/>
          <w:sz w:val="22"/>
          <w:szCs w:val="22"/>
        </w:rPr>
        <w:t xml:space="preserve">Supplementary Readings:</w:t>
      </w:r>
    </w:p>
    <w:p>
      <w:pPr>
        <w:spacing w:after="30"/>
      </w:pPr>
      <w:r>
        <w:rPr>
          <w:sz w:val="20"/>
          <w:szCs w:val="20"/>
        </w:rPr>
        <w:t xml:space="preserve">• Asset Allocation</w:t>
      </w:r>
      <w:r>
        <w:rPr>
          <w:color w:val="718096"/>
          <w:sz w:val="20"/>
          <w:szCs w:val="20"/>
        </w:rPr>
        <w:t xml:space="preserve"> - CFA Institute</w:t>
      </w:r>
    </w:p>
    <w:p>
      <w:pPr>
        <w:spacing w:after="30"/>
      </w:pPr>
      <w:r>
        <w:rPr>
          <w:sz w:val="20"/>
          <w:szCs w:val="20"/>
        </w:rPr>
        <w:t xml:space="preserve">• Portfolio Selection</w:t>
      </w:r>
      <w:r>
        <w:rPr>
          <w:color w:val="718096"/>
          <w:sz w:val="20"/>
          <w:szCs w:val="20"/>
        </w:rPr>
        <w:t xml:space="preserve"> - Markowitz, H.</w:t>
      </w:r>
    </w:p>
    <w:p>
      <w:pPr>
        <w:spacing w:after="30"/>
      </w:pPr>
      <w:r>
        <w:rPr>
          <w:sz w:val="20"/>
          <w:szCs w:val="20"/>
        </w:rPr>
        <w:t xml:space="preserve">• Investing Amid Low Expected Returns: Making the Most When Markets Offer the Least</w:t>
      </w:r>
      <w:r>
        <w:rPr>
          <w:color w:val="718096"/>
          <w:sz w:val="20"/>
          <w:szCs w:val="20"/>
        </w:rPr>
        <w:t xml:space="preserve"> - Ilmanen, A.</w:t>
      </w:r>
    </w:p>
    <w:p>
      <w:pPr>
        <w:spacing w:after="30"/>
      </w:pPr>
      <w:r>
        <w:rPr>
          <w:sz w:val="20"/>
          <w:szCs w:val="20"/>
        </w:rPr>
        <w:t xml:space="preserve">• The Evolution of Factor Investing</w:t>
      </w:r>
      <w:r>
        <w:rPr>
          <w:color w:val="718096"/>
          <w:sz w:val="20"/>
          <w:szCs w:val="20"/>
        </w:rPr>
        <w:t xml:space="preserve"> - Boudoukh, J., Israel, R., Richardson, M.</w:t>
      </w:r>
    </w:p>
    <w:p>
      <w:pPr>
        <w:pStyle w:val="Heading2"/>
        <w:spacing w:before="200" w:after="100"/>
      </w:pPr>
      <w:r>
        <w:t xml:space="preserve">mod5</w:t>
      </w:r>
    </w:p>
    <w:p>
      <w:pPr>
        <w:spacing w:after="50"/>
      </w:pPr>
      <w:r>
        <w:rPr>
          <w:b/>
          <w:bCs/>
          <w:sz w:val="22"/>
          <w:szCs w:val="22"/>
        </w:rPr>
        <w:t xml:space="preserve">Core Readings:</w:t>
      </w:r>
    </w:p>
    <w:p>
      <w:pPr>
        <w:spacing w:after="30"/>
      </w:pPr>
      <w:r>
        <w:rPr>
          <w:sz w:val="20"/>
          <w:szCs w:val="20"/>
        </w:rPr>
        <w:t xml:space="preserve">• Guide to the UK GDPR</w:t>
      </w:r>
      <w:r>
        <w:rPr>
          <w:color w:val="718096"/>
          <w:sz w:val="20"/>
          <w:szCs w:val="20"/>
        </w:rPr>
        <w:t xml:space="preserve"> - Information Commissioner's Office</w:t>
      </w:r>
      <w:r>
        <w:rPr>
          <w:color w:val="4a5568"/>
          <w:sz w:val="18"/>
          <w:szCs w:val="18"/>
        </w:rPr>
        <w:t xml:space="preserve"> (39 min)</w:t>
      </w:r>
    </w:p>
    <w:p>
      <w:pPr>
        <w:spacing w:after="30"/>
      </w:pPr>
      <w:r>
        <w:rPr>
          <w:sz w:val="20"/>
          <w:szCs w:val="20"/>
        </w:rPr>
        <w:t xml:space="preserve">• SYSC: Senior Management Arrangements, Systems and Controls</w:t>
      </w:r>
      <w:r>
        <w:rPr>
          <w:color w:val="718096"/>
          <w:sz w:val="20"/>
          <w:szCs w:val="20"/>
        </w:rPr>
        <w:t xml:space="preserve"> - Financial Conduct Authority</w:t>
      </w:r>
      <w:r>
        <w:rPr>
          <w:color w:val="4a5568"/>
          <w:sz w:val="18"/>
          <w:szCs w:val="18"/>
        </w:rPr>
        <w:t xml:space="preserve"> (36 min)</w:t>
      </w:r>
    </w:p>
    <w:p>
      <w:pPr>
        <w:spacing w:after="30"/>
      </w:pPr>
      <w:r>
        <w:rPr>
          <w:sz w:val="20"/>
          <w:szCs w:val="20"/>
        </w:rPr>
        <w:t xml:space="preserve">• Compliance and Risk in Financial Services</w:t>
      </w:r>
      <w:r>
        <w:rPr>
          <w:color w:val="718096"/>
          <w:sz w:val="20"/>
          <w:szCs w:val="20"/>
        </w:rPr>
        <w:t xml:space="preserve"> - Chartered Institute for Securities &amp; Investment</w:t>
      </w:r>
      <w:r>
        <w:rPr>
          <w:color w:val="4a5568"/>
          <w:sz w:val="18"/>
          <w:szCs w:val="18"/>
        </w:rPr>
        <w:t xml:space="preserve"> (25 min)</w:t>
      </w:r>
    </w:p>
    <w:p>
      <w:pPr>
        <w:spacing w:after="30"/>
      </w:pPr>
      <w:r>
        <w:rPr>
          <w:sz w:val="20"/>
          <w:szCs w:val="20"/>
        </w:rPr>
        <w:t xml:space="preserve">• SFIA 9: Skills Framework for the Information Age — Information Governance, Information and Data Management</w:t>
      </w:r>
      <w:r>
        <w:rPr>
          <w:color w:val="718096"/>
          <w:sz w:val="20"/>
          <w:szCs w:val="20"/>
        </w:rPr>
        <w:t xml:space="preserve"> - SFIA Foundation</w:t>
      </w:r>
      <w:r>
        <w:rPr>
          <w:color w:val="4a5568"/>
          <w:sz w:val="18"/>
          <w:szCs w:val="18"/>
        </w:rPr>
        <w:t xml:space="preserve"> (15 min)</w:t>
      </w:r>
    </w:p>
    <w:p>
      <w:pPr>
        <w:spacing w:before="100" w:after="50"/>
      </w:pPr>
      <w:r>
        <w:rPr>
          <w:b/>
          <w:bCs/>
          <w:sz w:val="22"/>
          <w:szCs w:val="22"/>
        </w:rPr>
        <w:t xml:space="preserve">Supplementary Readings:</w:t>
      </w:r>
    </w:p>
    <w:p>
      <w:pPr>
        <w:spacing w:after="30"/>
      </w:pPr>
      <w:r>
        <w:rPr>
          <w:sz w:val="20"/>
          <w:szCs w:val="20"/>
        </w:rPr>
        <w:t xml:space="preserve">• Guide to the UK GDPR</w:t>
      </w:r>
      <w:r>
        <w:rPr>
          <w:color w:val="718096"/>
          <w:sz w:val="20"/>
          <w:szCs w:val="20"/>
        </w:rPr>
        <w:t xml:space="preserve"> - Information Commissioner's Office</w:t>
      </w:r>
    </w:p>
    <w:p>
      <w:pPr>
        <w:spacing w:after="30"/>
      </w:pPr>
      <w:r>
        <w:rPr>
          <w:sz w:val="20"/>
          <w:szCs w:val="20"/>
        </w:rPr>
        <w:t xml:space="preserve">• SYSC: Senior Management Arrangements, Systems and Controls</w:t>
      </w:r>
      <w:r>
        <w:rPr>
          <w:color w:val="718096"/>
          <w:sz w:val="20"/>
          <w:szCs w:val="20"/>
        </w:rPr>
        <w:t xml:space="preserve"> - Financial Conduct Authority</w:t>
      </w:r>
    </w:p>
    <w:p>
      <w:pPr>
        <w:spacing w:after="30"/>
      </w:pPr>
      <w:r>
        <w:rPr>
          <w:sz w:val="20"/>
          <w:szCs w:val="20"/>
        </w:rPr>
        <w:t xml:space="preserve">• Compliance and Risk in Financial Services</w:t>
      </w:r>
      <w:r>
        <w:rPr>
          <w:color w:val="718096"/>
          <w:sz w:val="20"/>
          <w:szCs w:val="20"/>
        </w:rPr>
        <w:t xml:space="preserve"> - Chartered Institute for Securities &amp; Investment</w:t>
      </w:r>
    </w:p>
    <w:p>
      <w:pPr>
        <w:spacing w:after="30"/>
      </w:pPr>
      <w:r>
        <w:rPr>
          <w:sz w:val="20"/>
          <w:szCs w:val="20"/>
        </w:rPr>
        <w:t xml:space="preserve">• SFIA 9: Skills Framework for the Information Age — Information Governance, Information and Data Management</w:t>
      </w:r>
      <w:r>
        <w:rPr>
          <w:color w:val="718096"/>
          <w:sz w:val="20"/>
          <w:szCs w:val="20"/>
        </w:rPr>
        <w:t xml:space="preserve"> - SFIA Foundation</w:t>
      </w:r>
    </w:p>
    <w:p>
      <w:pPr>
        <w:pStyle w:val="Heading2"/>
        <w:spacing w:before="200" w:after="100"/>
      </w:pPr>
      <w:r>
        <w:t xml:space="preserve">mod6</w:t>
      </w:r>
    </w:p>
    <w:p>
      <w:pPr>
        <w:spacing w:after="50"/>
      </w:pPr>
      <w:r>
        <w:rPr>
          <w:b/>
          <w:bCs/>
          <w:sz w:val="22"/>
          <w:szCs w:val="22"/>
        </w:rPr>
        <w:t xml:space="preserve">Core Readings:</w:t>
      </w:r>
    </w:p>
    <w:p>
      <w:pPr>
        <w:spacing w:after="30"/>
      </w:pPr>
      <w:r>
        <w:rPr>
          <w:sz w:val="20"/>
          <w:szCs w:val="20"/>
        </w:rPr>
        <w:t xml:space="preserve">• Measuring Investment Performance: Time-Weighted versus Money-Weighted Returns</w:t>
      </w:r>
      <w:r>
        <w:rPr>
          <w:color w:val="718096"/>
          <w:sz w:val="20"/>
          <w:szCs w:val="20"/>
        </w:rPr>
        <w:t xml:space="preserve"> - CFA Institute</w:t>
      </w:r>
      <w:r>
        <w:rPr>
          <w:color w:val="4a5568"/>
          <w:sz w:val="18"/>
          <w:szCs w:val="18"/>
        </w:rPr>
        <w:t xml:space="preserve"> (23 min)</w:t>
      </w:r>
    </w:p>
    <w:p>
      <w:pPr>
        <w:spacing w:after="30"/>
      </w:pPr>
      <w:r>
        <w:rPr>
          <w:sz w:val="20"/>
          <w:szCs w:val="20"/>
        </w:rPr>
        <w:t xml:space="preserve">• Global Investment Performance Standards (GIPS) for Firms</w:t>
      </w:r>
      <w:r>
        <w:rPr>
          <w:color w:val="718096"/>
          <w:sz w:val="20"/>
          <w:szCs w:val="20"/>
        </w:rPr>
        <w:t xml:space="preserve"> - CFA Institute</w:t>
      </w:r>
      <w:r>
        <w:rPr>
          <w:color w:val="4a5568"/>
          <w:sz w:val="18"/>
          <w:szCs w:val="18"/>
        </w:rPr>
        <w:t xml:space="preserve"> (36 min)</w:t>
      </w:r>
    </w:p>
    <w:p>
      <w:pPr>
        <w:spacing w:after="30"/>
      </w:pPr>
      <w:r>
        <w:rPr>
          <w:sz w:val="20"/>
          <w:szCs w:val="20"/>
        </w:rPr>
        <w:t xml:space="preserve">• Portfolio Performance Measurement and Benchmarking</w:t>
      </w:r>
      <w:r>
        <w:rPr>
          <w:color w:val="718096"/>
          <w:sz w:val="20"/>
          <w:szCs w:val="20"/>
        </w:rPr>
        <w:t xml:space="preserve"> - Christopherson, J. A., Carino, D. R., Ferson, W. E.</w:t>
      </w:r>
      <w:r>
        <w:rPr>
          <w:color w:val="4a5568"/>
          <w:sz w:val="18"/>
          <w:szCs w:val="18"/>
        </w:rPr>
        <w:t xml:space="preserve"> (41 min)</w:t>
      </w:r>
    </w:p>
    <w:p>
      <w:pPr>
        <w:spacing w:after="30"/>
      </w:pPr>
      <w:r>
        <w:rPr>
          <w:sz w:val="20"/>
          <w:szCs w:val="20"/>
        </w:rPr>
        <w:t xml:space="preserve">• Global Investment Performance Standards (GIPS) for Asset Owners</w:t>
      </w:r>
      <w:r>
        <w:rPr>
          <w:color w:val="718096"/>
          <w:sz w:val="20"/>
          <w:szCs w:val="20"/>
        </w:rPr>
        <w:t xml:space="preserve"> - CFA Institute</w:t>
      </w:r>
      <w:r>
        <w:rPr>
          <w:color w:val="4a5568"/>
          <w:sz w:val="18"/>
          <w:szCs w:val="18"/>
        </w:rPr>
        <w:t xml:space="preserve"> (27 min)</w:t>
      </w:r>
    </w:p>
    <w:p>
      <w:pPr>
        <w:spacing w:before="100" w:after="50"/>
      </w:pPr>
      <w:r>
        <w:rPr>
          <w:b/>
          <w:bCs/>
          <w:sz w:val="22"/>
          <w:szCs w:val="22"/>
        </w:rPr>
        <w:t xml:space="preserve">Supplementary Readings:</w:t>
      </w:r>
    </w:p>
    <w:p>
      <w:pPr>
        <w:spacing w:after="30"/>
      </w:pPr>
      <w:r>
        <w:rPr>
          <w:sz w:val="20"/>
          <w:szCs w:val="20"/>
        </w:rPr>
        <w:t xml:space="preserve">• Global Investment Performance Standards (GIPS) for Firms</w:t>
      </w:r>
      <w:r>
        <w:rPr>
          <w:color w:val="718096"/>
          <w:sz w:val="20"/>
          <w:szCs w:val="20"/>
        </w:rPr>
        <w:t xml:space="preserve"> - CFA Institute</w:t>
      </w:r>
    </w:p>
    <w:p>
      <w:pPr>
        <w:spacing w:after="30"/>
      </w:pPr>
      <w:r>
        <w:rPr>
          <w:sz w:val="20"/>
          <w:szCs w:val="20"/>
        </w:rPr>
        <w:t xml:space="preserve">• Portfolio Performance Measurement and Benchmarking</w:t>
      </w:r>
      <w:r>
        <w:rPr>
          <w:color w:val="718096"/>
          <w:sz w:val="20"/>
          <w:szCs w:val="20"/>
        </w:rPr>
        <w:t xml:space="preserve"> - Christopherson, J. A., Carino, D. R., Ferson, W. E.</w:t>
      </w:r>
    </w:p>
    <w:p>
      <w:pPr>
        <w:spacing w:after="30"/>
      </w:pPr>
      <w:r>
        <w:rPr>
          <w:sz w:val="20"/>
          <w:szCs w:val="20"/>
        </w:rPr>
        <w:t xml:space="preserve">• Measuring Investment Performance: Time-Weighted versus Money-Weighted Returns</w:t>
      </w:r>
      <w:r>
        <w:rPr>
          <w:color w:val="718096"/>
          <w:sz w:val="20"/>
          <w:szCs w:val="20"/>
        </w:rPr>
        <w:t xml:space="preserve"> - CFA Institute</w:t>
      </w:r>
    </w:p>
    <w:p>
      <w:pPr>
        <w:spacing w:after="30"/>
      </w:pPr>
      <w:r>
        <w:rPr>
          <w:sz w:val="20"/>
          <w:szCs w:val="20"/>
        </w:rPr>
        <w:t xml:space="preserve">• Global Investment Performance Standards (GIPS) for Asset Owners</w:t>
      </w:r>
      <w:r>
        <w:rPr>
          <w:color w:val="718096"/>
          <w:sz w:val="20"/>
          <w:szCs w:val="20"/>
        </w:rPr>
        <w:t xml:space="preserve"> - CFA Institute</w:t>
      </w:r>
    </w:p>
    <w:p>
      <w:r>
        <w:br w:type="page"/>
      </w:r>
    </w:p>
    <w:p>
      <w:pPr>
        <w:pStyle w:val="Heading1"/>
        <w:spacing w:before="400" w:after="200"/>
      </w:pPr>
      <w:r>
        <w:t xml:space="preserve">7. Assessment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sz w:val="20"/>
                <w:szCs w:val="20"/>
              </w:rPr>
              <w:t xml:space="preserve">Parameter</w:t>
            </w:r>
          </w:p>
        </w:tc>
        <w:tc>
          <w:tcPr>
            <w:shd w:fill="e2e8f0"/>
          </w:tcPr>
          <w:p>
            <w:r>
              <w:rPr>
                <w:b/>
                <w:bCs/>
                <w:sz w:val="20"/>
                <w:szCs w:val="20"/>
              </w:rPr>
              <w:t xml:space="preserve">Value</w:t>
            </w:r>
          </w:p>
        </w:tc>
      </w:tr>
      <w:tr>
        <w:tc>
          <w:p>
            <w:r>
              <w:rPr>
                <w:b w:val="false"/>
                <w:bCs w:val="false"/>
                <w:sz w:val="20"/>
                <w:szCs w:val="20"/>
              </w:rPr>
              <w:t xml:space="preserve">Final Exam Weight</w:t>
            </w:r>
          </w:p>
        </w:tc>
        <w:tc>
          <w:p>
            <w:r>
              <w:rPr>
                <w:b w:val="false"/>
                <w:bCs w:val="false"/>
                <w:sz w:val="20"/>
                <w:szCs w:val="20"/>
              </w:rPr>
              <w:t xml:space="preserve">40%</w:t>
            </w:r>
          </w:p>
        </w:tc>
      </w:tr>
      <w:tr>
        <w:tc>
          <w:p>
            <w:r>
              <w:rPr>
                <w:b w:val="false"/>
                <w:bCs w:val="false"/>
                <w:sz w:val="20"/>
                <w:szCs w:val="20"/>
              </w:rPr>
              <w:t xml:space="preserve">Total Quiz Weight</w:t>
            </w:r>
          </w:p>
        </w:tc>
        <w:tc>
          <w:p>
            <w:r>
              <w:rPr>
                <w:b w:val="false"/>
                <w:bCs w:val="false"/>
                <w:sz w:val="20"/>
                <w:szCs w:val="20"/>
              </w:rPr>
              <w:t xml:space="preserve">60%</w:t>
            </w:r>
          </w:p>
        </w:tc>
      </w:tr>
      <w:tr>
        <w:tc>
          <w:p>
            <w:r>
              <w:rPr>
                <w:b w:val="false"/>
                <w:bCs w:val="false"/>
                <w:sz w:val="20"/>
                <w:szCs w:val="20"/>
              </w:rPr>
              <w:t xml:space="preserve">Pass Mark</w:t>
            </w:r>
          </w:p>
        </w:tc>
        <w:tc>
          <w:p>
            <w:r>
              <w:rPr>
                <w:b w:val="false"/>
                <w:bCs w:val="false"/>
                <w:sz w:val="20"/>
                <w:szCs w:val="20"/>
              </w:rPr>
              <w:t xml:space="preserve">60%</w:t>
            </w:r>
          </w:p>
        </w:tc>
      </w:tr>
      <w:tr>
        <w:tc>
          <w:p>
            <w:r>
              <w:rPr>
                <w:b w:val="false"/>
                <w:bCs w:val="false"/>
                <w:sz w:val="20"/>
                <w:szCs w:val="20"/>
              </w:rPr>
              <w:t xml:space="preserve">Questions Per Quiz</w:t>
            </w:r>
          </w:p>
        </w:tc>
        <w:tc>
          <w:p>
            <w:r>
              <w:rPr>
                <w:b w:val="false"/>
                <w:bCs w:val="false"/>
                <w:sz w:val="20"/>
                <w:szCs w:val="20"/>
              </w:rPr>
              <w:t xml:space="preserve">20</w:t>
            </w:r>
          </w:p>
        </w:tc>
      </w:tr>
      <w:tr>
        <w:tc>
          <w:p>
            <w:r>
              <w:rPr>
                <w:b w:val="false"/>
                <w:bCs w:val="false"/>
                <w:sz w:val="20"/>
                <w:szCs w:val="20"/>
              </w:rPr>
              <w:t xml:space="preserve">Questions for Final</w:t>
            </w:r>
          </w:p>
        </w:tc>
        <w:tc>
          <w:p>
            <w:r>
              <w:rPr>
                <w:b w:val="false"/>
                <w:bCs w:val="false"/>
                <w:sz w:val="20"/>
                <w:szCs w:val="20"/>
              </w:rPr>
              <w:t xml:space="preserve">60</w:t>
            </w:r>
          </w:p>
        </w:tc>
      </w:tr>
      <w:tr>
        <w:tc>
          <w:p>
            <w:r>
              <w:rPr>
                <w:b w:val="false"/>
                <w:bCs w:val="false"/>
                <w:sz w:val="20"/>
                <w:szCs w:val="20"/>
              </w:rPr>
              <w:t xml:space="preserve">Bank Multiplier</w:t>
            </w:r>
          </w:p>
        </w:tc>
        <w:tc>
          <w:p>
            <w:r>
              <w:rPr>
                <w:b w:val="false"/>
                <w:bCs w:val="false"/>
                <w:sz w:val="20"/>
                <w:szCs w:val="20"/>
              </w:rPr>
              <w:t xml:space="preserve">3x</w:t>
            </w:r>
          </w:p>
        </w:tc>
      </w:tr>
      <w:tr>
        <w:tc>
          <w:p>
            <w:r>
              <w:rPr>
                <w:b w:val="false"/>
                <w:bCs w:val="false"/>
                <w:sz w:val="20"/>
                <w:szCs w:val="20"/>
              </w:rPr>
              <w:t xml:space="preserve">Total Questions</w:t>
            </w:r>
          </w:p>
        </w:tc>
        <w:tc>
          <w:p>
            <w:r>
              <w:rPr>
                <w:b w:val="false"/>
                <w:bCs w:val="false"/>
                <w:sz w:val="20"/>
                <w:szCs w:val="20"/>
              </w:rPr>
              <w:t xml:space="preserve">20</w:t>
            </w:r>
          </w:p>
        </w:tc>
      </w:tr>
      <w:tr>
        <w:tc>
          <w:p>
            <w:r>
              <w:rPr>
                <w:b w:val="false"/>
                <w:bCs w:val="false"/>
                <w:sz w:val="20"/>
                <w:szCs w:val="20"/>
              </w:rPr>
              <w:t xml:space="preserve">Total Bank Questions</w:t>
            </w:r>
          </w:p>
        </w:tc>
        <w:tc>
          <w:p>
            <w:r>
              <w:rPr>
                <w:b w:val="false"/>
                <w:bCs w:val="false"/>
                <w:sz w:val="20"/>
                <w:szCs w:val="20"/>
              </w:rPr>
              <w:t xml:space="preserve">20</w:t>
            </w:r>
          </w:p>
        </w:tc>
      </w:tr>
    </w:tbl>
    <w:p>
      <w:pPr>
        <w:spacing w:after="200"/>
      </w:pPr>
    </w:p>
    <w:p>
      <w:pPr>
        <w:spacing w:before="100" w:after="100"/>
      </w:pPr>
      <w:r>
        <w:rPr>
          <w:b/>
          <w:bCs/>
          <w:sz w:val="22"/>
          <w:szCs w:val="22"/>
        </w:rPr>
        <w:t xml:space="preserve">Module Quizzes:</w:t>
      </w:r>
    </w:p>
    <w:p>
      <w:pPr>
        <w:spacing w:after="30"/>
      </w:pPr>
      <w:r>
        <w:rPr>
          <w:b/>
          <w:bCs/>
          <w:sz w:val="20"/>
          <w:szCs w:val="20"/>
        </w:rPr>
        <w:t xml:space="preserve">• Personal Budgeting and Spreadsheet Foundations Quiz: </w:t>
      </w:r>
      <w:r>
        <w:rPr>
          <w:sz w:val="20"/>
          <w:szCs w:val="20"/>
        </w:rPr>
        <w:t xml:space="preserve">20 questions, 10%</w:t>
      </w:r>
    </w:p>
    <w:p>
      <w:pPr>
        <w:spacing w:after="30"/>
      </w:pPr>
      <w:r>
        <w:rPr>
          <w:b/>
          <w:bCs/>
          <w:sz w:val="20"/>
          <w:szCs w:val="20"/>
        </w:rPr>
        <w:t xml:space="preserve">• Time Value of Money Essentials Quiz: </w:t>
      </w:r>
      <w:r>
        <w:rPr>
          <w:sz w:val="20"/>
          <w:szCs w:val="20"/>
        </w:rPr>
        <w:t xml:space="preserve">0 questions, 10%</w:t>
      </w:r>
    </w:p>
    <w:p>
      <w:pPr>
        <w:spacing w:after="30"/>
      </w:pPr>
      <w:r>
        <w:rPr>
          <w:b/>
          <w:bCs/>
          <w:sz w:val="20"/>
          <w:szCs w:val="20"/>
        </w:rPr>
        <w:t xml:space="preserve">• Investment Products and Market Data Quiz: </w:t>
      </w:r>
      <w:r>
        <w:rPr>
          <w:sz w:val="20"/>
          <w:szCs w:val="20"/>
        </w:rPr>
        <w:t xml:space="preserve">0 questions, 10%</w:t>
      </w:r>
    </w:p>
    <w:p>
      <w:pPr>
        <w:spacing w:after="30"/>
      </w:pPr>
      <w:r>
        <w:rPr>
          <w:b/>
          <w:bCs/>
          <w:sz w:val="20"/>
          <w:szCs w:val="20"/>
        </w:rPr>
        <w:t xml:space="preserve">• Risk, Return, and Asset Allocation Quiz: </w:t>
      </w:r>
      <w:r>
        <w:rPr>
          <w:sz w:val="20"/>
          <w:szCs w:val="20"/>
        </w:rPr>
        <w:t xml:space="preserve">0 questions, 10%</w:t>
      </w:r>
    </w:p>
    <w:p>
      <w:pPr>
        <w:spacing w:after="30"/>
      </w:pPr>
      <w:r>
        <w:rPr>
          <w:b/>
          <w:bCs/>
          <w:sz w:val="20"/>
          <w:szCs w:val="20"/>
        </w:rPr>
        <w:t xml:space="preserve">• Compliance and Client File Management Quiz: </w:t>
      </w:r>
      <w:r>
        <w:rPr>
          <w:sz w:val="20"/>
          <w:szCs w:val="20"/>
        </w:rPr>
        <w:t xml:space="preserve">0 questions, 10%</w:t>
      </w:r>
    </w:p>
    <w:p>
      <w:pPr>
        <w:spacing w:after="30"/>
      </w:pPr>
      <w:r>
        <w:rPr>
          <w:b/>
          <w:bCs/>
          <w:sz w:val="20"/>
          <w:szCs w:val="20"/>
        </w:rPr>
        <w:t xml:space="preserve">• Portfolio Reconciliation, Performance, and Reporting Quiz: </w:t>
      </w:r>
      <w:r>
        <w:rPr>
          <w:sz w:val="20"/>
          <w:szCs w:val="20"/>
        </w:rPr>
        <w:t xml:space="preserve">0 questions, 10%</w:t>
      </w:r>
    </w:p>
    <w:p>
      <w:pPr>
        <w:spacing w:before="300" w:after="150"/>
      </w:pPr>
      <w:r>
        <w:rPr>
          <w:b/>
          <w:bCs/>
          <w:sz w:val="24"/>
          <w:szCs w:val="24"/>
        </w:rPr>
        <w:t xml:space="preserve">Question Bank</w:t>
      </w:r>
      <w:r>
        <w:rPr>
          <w:color w:val="4a5568"/>
          <w:sz w:val="20"/>
          <w:szCs w:val="20"/>
        </w:rPr>
        <w:t xml:space="preserve"> (20 questions)</w:t>
      </w:r>
    </w:p>
    <w:p>
      <w:pPr>
        <w:spacing w:before="150" w:after="50"/>
      </w:pPr>
      <w:r>
        <w:rPr>
          <w:b/>
          <w:bCs/>
          <w:sz w:val="22"/>
          <w:szCs w:val="22"/>
        </w:rPr>
        <w:t xml:space="preserve">Question 1</w:t>
      </w:r>
      <w:r>
        <w:rPr>
          <w:i/>
          <w:iCs/>
          <w:color w:val="6b7280"/>
          <w:sz w:val="16"/>
          <w:szCs w:val="16"/>
        </w:rPr>
        <w:t xml:space="preserve"> [apply | easy | MLO: M1-LO1]</w:t>
      </w:r>
    </w:p>
    <w:p>
      <w:pPr>
        <w:spacing w:after="50"/>
      </w:pPr>
      <w:r>
        <w:rPr>
          <w:sz w:val="20"/>
          <w:szCs w:val="20"/>
        </w:rPr>
        <w:t xml:space="preserve">In a budget worksheet, you have a named range 'Categories' listing approved expense categories. What is the simplest built-in Data Validation configuration to ensure only those categories can be entered in cell B2?</w:t>
      </w:r>
    </w:p>
    <w:p>
      <w:pPr>
        <w:spacing w:after="20"/>
      </w:pPr>
      <w:r>
        <w:rPr>
          <w:b w:val="false"/>
          <w:bCs w:val="false"/>
          <w:color w:val="374151"/>
          <w:sz w:val="18"/>
          <w:szCs w:val="18"/>
        </w:rPr>
        <w:t xml:space="preserve">A. Allow: Any value; Ignore blank ticked</w:t>
      </w:r>
      <w:r>
        <w:t xml:space="preserve"/>
      </w:r>
    </w:p>
    <w:p>
      <w:pPr>
        <w:spacing w:after="10"/>
      </w:pPr>
      <w:r>
        <w:rPr>
          <w:i/>
          <w:iCs/>
          <w:color w:val="6b7280"/>
          <w:sz w:val="16"/>
          <w:szCs w:val="16"/>
        </w:rPr>
        <w:t xml:space="preserve">   Explanation: </w:t>
      </w:r>
      <w:r>
        <w:rPr>
          <w:i/>
          <w:iCs/>
          <w:color w:val="6b7280"/>
          <w:sz w:val="16"/>
          <w:szCs w:val="16"/>
        </w:rPr>
        <w:t xml:space="preserve">This imposes no restriction, so entries outside the approved list would be accepted.</w:t>
      </w:r>
    </w:p>
    <w:p>
      <w:pPr>
        <w:spacing w:after="20"/>
      </w:pPr>
      <w:r>
        <w:rPr>
          <w:b/>
          <w:bCs/>
          <w:color w:val="16a34a"/>
          <w:sz w:val="18"/>
          <w:szCs w:val="18"/>
        </w:rPr>
        <w:t xml:space="preserve">B. Allow: List; Source: =Categories</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A List validation referencing the named range restricts entries to the approved items and provides a dropdown.</w:t>
      </w:r>
    </w:p>
    <w:p>
      <w:pPr>
        <w:spacing w:after="20"/>
      </w:pPr>
      <w:r>
        <w:rPr>
          <w:b w:val="false"/>
          <w:bCs w:val="false"/>
          <w:color w:val="374151"/>
          <w:sz w:val="18"/>
          <w:szCs w:val="18"/>
        </w:rPr>
        <w:t xml:space="preserve">C. Allow: Text length; Data: less than 20</w:t>
      </w:r>
      <w:r>
        <w:t xml:space="preserve"/>
      </w:r>
    </w:p>
    <w:p>
      <w:pPr>
        <w:spacing w:after="10"/>
      </w:pPr>
      <w:r>
        <w:rPr>
          <w:i/>
          <w:iCs/>
          <w:color w:val="6b7280"/>
          <w:sz w:val="16"/>
          <w:szCs w:val="16"/>
        </w:rPr>
        <w:t xml:space="preserve">   Explanation: </w:t>
      </w:r>
      <w:r>
        <w:rPr>
          <w:i/>
          <w:iCs/>
          <w:color w:val="6b7280"/>
          <w:sz w:val="16"/>
          <w:szCs w:val="16"/>
        </w:rPr>
        <w:t xml:space="preserve">Text length limits character count, not membership of an approved list.</w:t>
      </w:r>
    </w:p>
    <w:p>
      <w:pPr>
        <w:spacing w:after="20"/>
      </w:pPr>
      <w:r>
        <w:rPr>
          <w:b w:val="false"/>
          <w:bCs w:val="false"/>
          <w:color w:val="374151"/>
          <w:sz w:val="18"/>
          <w:szCs w:val="18"/>
        </w:rPr>
        <w:t xml:space="preserve">D. Allow: Custom; Formula: =ISTEXT(B2)</w:t>
      </w:r>
      <w:r>
        <w:t xml:space="preserve"/>
      </w:r>
    </w:p>
    <w:p>
      <w:pPr>
        <w:spacing w:after="10"/>
      </w:pPr>
      <w:r>
        <w:rPr>
          <w:i/>
          <w:iCs/>
          <w:color w:val="6b7280"/>
          <w:sz w:val="16"/>
          <w:szCs w:val="16"/>
        </w:rPr>
        <w:t xml:space="preserve">   Explanation: </w:t>
      </w:r>
      <w:r>
        <w:rPr>
          <w:i/>
          <w:iCs/>
          <w:color w:val="6b7280"/>
          <w:sz w:val="16"/>
          <w:szCs w:val="16"/>
        </w:rPr>
        <w:t xml:space="preserve">This only checks that the entry is text, not that it matches an approved category.</w:t>
      </w:r>
    </w:p>
    <w:p>
      <w:pPr>
        <w:spacing w:before="50" w:after="100"/>
      </w:pPr>
      <w:r>
        <w:rPr>
          <w:b/>
          <w:bCs/>
          <w:color w:val="1e40af"/>
          <w:sz w:val="18"/>
          <w:szCs w:val="18"/>
        </w:rPr>
        <w:t xml:space="preserve">Rationale: </w:t>
      </w:r>
      <w:r>
        <w:rPr>
          <w:i/>
          <w:iCs/>
          <w:color w:val="1e40af"/>
          <w:sz w:val="18"/>
          <w:szCs w:val="18"/>
        </w:rPr>
        <w:t xml:space="preserve">Using Data Validation of type List with the Source set to the named range is the most direct way to restrict inputs to approved categories and offer a dropdown for accuracy and speed. Any value imposes no control (A). Text length (C) controls characters, not content validity. A custom ISTEXT formula (D) validates datatype, not membership. The list method aligns with good data governance for client budget templates.</w:t>
      </w:r>
    </w:p>
    <w:p>
      <w:pPr>
        <w:spacing w:before="150" w:after="50"/>
      </w:pPr>
      <w:r>
        <w:rPr>
          <w:b/>
          <w:bCs/>
          <w:sz w:val="22"/>
          <w:szCs w:val="22"/>
        </w:rPr>
        <w:t xml:space="preserve">Question 2</w:t>
      </w:r>
      <w:r>
        <w:rPr>
          <w:i/>
          <w:iCs/>
          <w:color w:val="6b7280"/>
          <w:sz w:val="16"/>
          <w:szCs w:val="16"/>
        </w:rPr>
        <w:t xml:space="preserve"> [understand | easy | MLO: M1-LO2]</w:t>
      </w:r>
    </w:p>
    <w:p>
      <w:pPr>
        <w:spacing w:after="50"/>
      </w:pPr>
      <w:r>
        <w:rPr>
          <w:sz w:val="20"/>
          <w:szCs w:val="20"/>
        </w:rPr>
        <w:t xml:space="preserve">A client asks what “net cashflow” means on their monthly budget. Which plain-English explanation is most accurate?</w:t>
      </w:r>
    </w:p>
    <w:p>
      <w:pPr>
        <w:spacing w:after="20"/>
      </w:pPr>
      <w:r>
        <w:rPr>
          <w:b w:val="false"/>
          <w:bCs w:val="false"/>
          <w:color w:val="374151"/>
          <w:sz w:val="18"/>
          <w:szCs w:val="18"/>
        </w:rPr>
        <w:t xml:space="preserve">A. It is your salary before tax and pension deductions</w:t>
      </w:r>
      <w:r>
        <w:t xml:space="preserve"/>
      </w:r>
    </w:p>
    <w:p>
      <w:pPr>
        <w:spacing w:after="10"/>
      </w:pPr>
      <w:r>
        <w:rPr>
          <w:i/>
          <w:iCs/>
          <w:color w:val="6b7280"/>
          <w:sz w:val="16"/>
          <w:szCs w:val="16"/>
        </w:rPr>
        <w:t xml:space="preserve">   Explanation: </w:t>
      </w:r>
      <w:r>
        <w:rPr>
          <w:i/>
          <w:iCs/>
          <w:color w:val="6b7280"/>
          <w:sz w:val="16"/>
          <w:szCs w:val="16"/>
        </w:rPr>
        <w:t xml:space="preserve">This describes gross income, not net cashflow after expenses.</w:t>
      </w:r>
    </w:p>
    <w:p>
      <w:pPr>
        <w:spacing w:after="20"/>
      </w:pPr>
      <w:r>
        <w:rPr>
          <w:b/>
          <w:bCs/>
          <w:color w:val="16a34a"/>
          <w:sz w:val="18"/>
          <w:szCs w:val="18"/>
        </w:rPr>
        <w:t xml:space="preserve">B. It is the money left after all income and expenses for the month</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Net cashflow is income minus expenses, showing the surplus or shortfall.</w:t>
      </w:r>
    </w:p>
    <w:p>
      <w:pPr>
        <w:spacing w:after="20"/>
      </w:pPr>
      <w:r>
        <w:rPr>
          <w:b w:val="false"/>
          <w:bCs w:val="false"/>
          <w:color w:val="374151"/>
          <w:sz w:val="18"/>
          <w:szCs w:val="18"/>
        </w:rPr>
        <w:t xml:space="preserve">C. It is your total spending divided by the number of days in the month</w:t>
      </w:r>
      <w:r>
        <w:t xml:space="preserve"/>
      </w:r>
    </w:p>
    <w:p>
      <w:pPr>
        <w:spacing w:after="10"/>
      </w:pPr>
      <w:r>
        <w:rPr>
          <w:i/>
          <w:iCs/>
          <w:color w:val="6b7280"/>
          <w:sz w:val="16"/>
          <w:szCs w:val="16"/>
        </w:rPr>
        <w:t xml:space="preserve">   Explanation: </w:t>
      </w:r>
      <w:r>
        <w:rPr>
          <w:i/>
          <w:iCs/>
          <w:color w:val="6b7280"/>
          <w:sz w:val="16"/>
          <w:szCs w:val="16"/>
        </w:rPr>
        <w:t xml:space="preserve">This is an average daily spend, not net cashflow.</w:t>
      </w:r>
    </w:p>
    <w:p>
      <w:pPr>
        <w:spacing w:after="20"/>
      </w:pPr>
      <w:r>
        <w:rPr>
          <w:b w:val="false"/>
          <w:bCs w:val="false"/>
          <w:color w:val="374151"/>
          <w:sz w:val="18"/>
          <w:szCs w:val="18"/>
        </w:rPr>
        <w:t xml:space="preserve">D. It is the interest you earn on savings each month</w:t>
      </w:r>
      <w:r>
        <w:t xml:space="preserve"/>
      </w:r>
    </w:p>
    <w:p>
      <w:pPr>
        <w:spacing w:after="10"/>
      </w:pPr>
      <w:r>
        <w:rPr>
          <w:i/>
          <w:iCs/>
          <w:color w:val="6b7280"/>
          <w:sz w:val="16"/>
          <w:szCs w:val="16"/>
        </w:rPr>
        <w:t xml:space="preserve">   Explanation: </w:t>
      </w:r>
      <w:r>
        <w:rPr>
          <w:i/>
          <w:iCs/>
          <w:color w:val="6b7280"/>
          <w:sz w:val="16"/>
          <w:szCs w:val="16"/>
        </w:rPr>
        <w:t xml:space="preserve">Interest income is one cashflow component, not the net position.</w:t>
      </w:r>
    </w:p>
    <w:p>
      <w:pPr>
        <w:spacing w:before="50" w:after="100"/>
      </w:pPr>
      <w:r>
        <w:rPr>
          <w:b/>
          <w:bCs/>
          <w:color w:val="1e40af"/>
          <w:sz w:val="18"/>
          <w:szCs w:val="18"/>
        </w:rPr>
        <w:t xml:space="preserve">Rationale: </w:t>
      </w:r>
      <w:r>
        <w:rPr>
          <w:i/>
          <w:iCs/>
          <w:color w:val="1e40af"/>
          <w:sz w:val="18"/>
          <w:szCs w:val="18"/>
        </w:rPr>
        <w:t xml:space="preserve">Net cashflow measures how much money you have left after accounting for all income and all expenses in a period. Option B captures this simply. Option A confuses gross income with net results. Option C introduces an average spending concept but ignores income. Option D focuses on one income type, missing the holistic net measure that guides budgeting decisions.</w:t>
      </w:r>
    </w:p>
    <w:p>
      <w:pPr>
        <w:spacing w:before="150" w:after="50"/>
      </w:pPr>
      <w:r>
        <w:rPr>
          <w:b/>
          <w:bCs/>
          <w:sz w:val="22"/>
          <w:szCs w:val="22"/>
        </w:rPr>
        <w:t xml:space="preserve">Question 3</w:t>
      </w:r>
      <w:r>
        <w:rPr>
          <w:i/>
          <w:iCs/>
          <w:color w:val="6b7280"/>
          <w:sz w:val="16"/>
          <w:szCs w:val="16"/>
        </w:rPr>
        <w:t xml:space="preserve"> [apply | medium | MLO: M1-LO1]</w:t>
      </w:r>
    </w:p>
    <w:p>
      <w:pPr>
        <w:spacing w:after="50"/>
      </w:pPr>
      <w:r>
        <w:rPr>
          <w:sz w:val="20"/>
          <w:szCs w:val="20"/>
        </w:rPr>
        <w:t xml:space="preserve">You need a rolling year-to-date (YTD) total of 'Food' expenses in column F matching dates in column A and categories in column B. Which formula best fits in cell G2 of a structured table called 'Txns'?</w:t>
      </w:r>
    </w:p>
    <w:p>
      <w:pPr>
        <w:spacing w:after="20"/>
      </w:pPr>
      <w:r>
        <w:rPr>
          <w:b w:val="false"/>
          <w:bCs w:val="false"/>
          <w:color w:val="374151"/>
          <w:sz w:val="18"/>
          <w:szCs w:val="18"/>
        </w:rPr>
        <w:t xml:space="preserve">A. =SUM(F:F)</w:t>
      </w:r>
      <w:r>
        <w:t xml:space="preserve"/>
      </w:r>
    </w:p>
    <w:p>
      <w:pPr>
        <w:spacing w:after="10"/>
      </w:pPr>
      <w:r>
        <w:rPr>
          <w:i/>
          <w:iCs/>
          <w:color w:val="6b7280"/>
          <w:sz w:val="16"/>
          <w:szCs w:val="16"/>
        </w:rPr>
        <w:t xml:space="preserve">   Explanation: </w:t>
      </w:r>
      <w:r>
        <w:rPr>
          <w:i/>
          <w:iCs/>
          <w:color w:val="6b7280"/>
          <w:sz w:val="16"/>
          <w:szCs w:val="16"/>
        </w:rPr>
        <w:t xml:space="preserve">This sums all amounts without filtering for category or date range.</w:t>
      </w:r>
    </w:p>
    <w:p>
      <w:pPr>
        <w:spacing w:after="20"/>
      </w:pPr>
      <w:r>
        <w:rPr>
          <w:b/>
          <w:bCs/>
          <w:color w:val="16a34a"/>
          <w:sz w:val="18"/>
          <w:szCs w:val="18"/>
        </w:rPr>
        <w:t xml:space="preserve">B. =SUMIFS(Txns[Amount],Txns[Category],"Food",Txns[Date],"&gt;="&amp;DATE(YEAR(A2),1,1),Txns[Date],"&lt;="&amp;A2)</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SUMIFS with date bounds and category criteria calculates YTD for 'Food' up to the current row’s date.</w:t>
      </w:r>
    </w:p>
    <w:p>
      <w:pPr>
        <w:spacing w:after="20"/>
      </w:pPr>
      <w:r>
        <w:rPr>
          <w:b w:val="false"/>
          <w:bCs w:val="false"/>
          <w:color w:val="374151"/>
          <w:sz w:val="18"/>
          <w:szCs w:val="18"/>
        </w:rPr>
        <w:t xml:space="preserve">C. =IF(B2="Food",F2,0)</w:t>
      </w:r>
      <w:r>
        <w:t xml:space="preserve"/>
      </w:r>
    </w:p>
    <w:p>
      <w:pPr>
        <w:spacing w:after="10"/>
      </w:pPr>
      <w:r>
        <w:rPr>
          <w:i/>
          <w:iCs/>
          <w:color w:val="6b7280"/>
          <w:sz w:val="16"/>
          <w:szCs w:val="16"/>
        </w:rPr>
        <w:t xml:space="preserve">   Explanation: </w:t>
      </w:r>
      <w:r>
        <w:rPr>
          <w:i/>
          <w:iCs/>
          <w:color w:val="6b7280"/>
          <w:sz w:val="16"/>
          <w:szCs w:val="16"/>
        </w:rPr>
        <w:t xml:space="preserve">This returns the current row amount only when category matches, not a YTD accumulation.</w:t>
      </w:r>
    </w:p>
    <w:p>
      <w:pPr>
        <w:spacing w:after="20"/>
      </w:pPr>
      <w:r>
        <w:rPr>
          <w:b w:val="false"/>
          <w:bCs w:val="false"/>
          <w:color w:val="374151"/>
          <w:sz w:val="18"/>
          <w:szCs w:val="18"/>
        </w:rPr>
        <w:t xml:space="preserve">D. =VLOOKUP("Food",Txns,3,FALSE)</w:t>
      </w:r>
      <w:r>
        <w:t xml:space="preserve"/>
      </w:r>
    </w:p>
    <w:p>
      <w:pPr>
        <w:spacing w:after="10"/>
      </w:pPr>
      <w:r>
        <w:rPr>
          <w:i/>
          <w:iCs/>
          <w:color w:val="6b7280"/>
          <w:sz w:val="16"/>
          <w:szCs w:val="16"/>
        </w:rPr>
        <w:t xml:space="preserve">   Explanation: </w:t>
      </w:r>
      <w:r>
        <w:rPr>
          <w:i/>
          <w:iCs/>
          <w:color w:val="6b7280"/>
          <w:sz w:val="16"/>
          <w:szCs w:val="16"/>
        </w:rPr>
        <w:t xml:space="preserve">VLOOKUP returns a single matched value, not a conditional sum across dates.</w:t>
      </w:r>
    </w:p>
    <w:p>
      <w:pPr>
        <w:spacing w:before="50" w:after="100"/>
      </w:pPr>
      <w:r>
        <w:rPr>
          <w:b/>
          <w:bCs/>
          <w:color w:val="1e40af"/>
          <w:sz w:val="18"/>
          <w:szCs w:val="18"/>
        </w:rPr>
        <w:t xml:space="preserve">Rationale: </w:t>
      </w:r>
      <w:r>
        <w:rPr>
          <w:i/>
          <w:iCs/>
          <w:color w:val="1e40af"/>
          <w:sz w:val="18"/>
          <w:szCs w:val="18"/>
        </w:rPr>
        <w:t xml:space="preserve">A year-to-date total requires conditional summation by category and date range. SUMIFS with 'Food' and a start-of-year lower bound and current date upper bound provides the required cumulative result. A sums everything (no filter). C checks the row but doesn't accumulate. VLOOKUP retrieves a single value, not an aggregate. Using structured references adheres to best practice for table-based trackers.</w:t>
      </w:r>
    </w:p>
    <w:p>
      <w:pPr>
        <w:spacing w:before="150" w:after="50"/>
      </w:pPr>
      <w:r>
        <w:rPr>
          <w:b/>
          <w:bCs/>
          <w:sz w:val="22"/>
          <w:szCs w:val="22"/>
        </w:rPr>
        <w:t xml:space="preserve">Question 4</w:t>
      </w:r>
      <w:r>
        <w:rPr>
          <w:i/>
          <w:iCs/>
          <w:color w:val="6b7280"/>
          <w:sz w:val="16"/>
          <w:szCs w:val="16"/>
        </w:rPr>
        <w:t xml:space="preserve"> [understand | easy | MLO: M1-LO2]</w:t>
      </w:r>
    </w:p>
    <w:p>
      <w:pPr>
        <w:spacing w:after="50"/>
      </w:pPr>
      <w:r>
        <w:rPr>
          <w:sz w:val="20"/>
          <w:szCs w:val="20"/>
        </w:rPr>
        <w:t xml:space="preserve">In a monthly tracker, which item is best classified as a fixed expense for most households?</w:t>
      </w:r>
    </w:p>
    <w:p>
      <w:pPr>
        <w:spacing w:after="20"/>
      </w:pPr>
      <w:r>
        <w:rPr>
          <w:b/>
          <w:bCs/>
          <w:color w:val="16a34a"/>
          <w:sz w:val="18"/>
          <w:szCs w:val="18"/>
        </w:rPr>
        <w:t xml:space="preserve">A. Council tax payments</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Council tax is typically a predictable, regular fixed cost across months.</w:t>
      </w:r>
    </w:p>
    <w:p>
      <w:pPr>
        <w:spacing w:after="20"/>
      </w:pPr>
      <w:r>
        <w:rPr>
          <w:b w:val="false"/>
          <w:bCs w:val="false"/>
          <w:color w:val="374151"/>
          <w:sz w:val="18"/>
          <w:szCs w:val="18"/>
        </w:rPr>
        <w:t xml:space="preserve">B. Groceries for dinners</w:t>
      </w:r>
      <w:r>
        <w:t xml:space="preserve"/>
      </w:r>
    </w:p>
    <w:p>
      <w:pPr>
        <w:spacing w:after="10"/>
      </w:pPr>
      <w:r>
        <w:rPr>
          <w:i/>
          <w:iCs/>
          <w:color w:val="6b7280"/>
          <w:sz w:val="16"/>
          <w:szCs w:val="16"/>
        </w:rPr>
        <w:t xml:space="preserve">   Explanation: </w:t>
      </w:r>
      <w:r>
        <w:rPr>
          <w:i/>
          <w:iCs/>
          <w:color w:val="6b7280"/>
          <w:sz w:val="16"/>
          <w:szCs w:val="16"/>
        </w:rPr>
        <w:t xml:space="preserve">Groceries vary week to week, making them variable expenses.</w:t>
      </w:r>
    </w:p>
    <w:p>
      <w:pPr>
        <w:spacing w:after="20"/>
      </w:pPr>
      <w:r>
        <w:rPr>
          <w:b w:val="false"/>
          <w:bCs w:val="false"/>
          <w:color w:val="374151"/>
          <w:sz w:val="18"/>
          <w:szCs w:val="18"/>
        </w:rPr>
        <w:t xml:space="preserve">C. Electricity top-ups</w:t>
      </w:r>
      <w:r>
        <w:t xml:space="preserve"/>
      </w:r>
    </w:p>
    <w:p>
      <w:pPr>
        <w:spacing w:after="10"/>
      </w:pPr>
      <w:r>
        <w:rPr>
          <w:i/>
          <w:iCs/>
          <w:color w:val="6b7280"/>
          <w:sz w:val="16"/>
          <w:szCs w:val="16"/>
        </w:rPr>
        <w:t xml:space="preserve">   Explanation: </w:t>
      </w:r>
      <w:r>
        <w:rPr>
          <w:i/>
          <w:iCs/>
          <w:color w:val="6b7280"/>
          <w:sz w:val="16"/>
          <w:szCs w:val="16"/>
        </w:rPr>
        <w:t xml:space="preserve">Utility usage fluctuates, so amounts vary month to month.</w:t>
      </w:r>
    </w:p>
    <w:p>
      <w:pPr>
        <w:spacing w:after="20"/>
      </w:pPr>
      <w:r>
        <w:rPr>
          <w:b w:val="false"/>
          <w:bCs w:val="false"/>
          <w:color w:val="374151"/>
          <w:sz w:val="18"/>
          <w:szCs w:val="18"/>
        </w:rPr>
        <w:t xml:space="preserve">D. Occasional home repairs</w:t>
      </w:r>
      <w:r>
        <w:t xml:space="preserve"/>
      </w:r>
    </w:p>
    <w:p>
      <w:pPr>
        <w:spacing w:after="10"/>
      </w:pPr>
      <w:r>
        <w:rPr>
          <w:i/>
          <w:iCs/>
          <w:color w:val="6b7280"/>
          <w:sz w:val="16"/>
          <w:szCs w:val="16"/>
        </w:rPr>
        <w:t xml:space="preserve">   Explanation: </w:t>
      </w:r>
      <w:r>
        <w:rPr>
          <w:i/>
          <w:iCs/>
          <w:color w:val="6b7280"/>
          <w:sz w:val="16"/>
          <w:szCs w:val="16"/>
        </w:rPr>
        <w:t xml:space="preserve">Irregular and unpredictable costs are not fixed expenses.</w:t>
      </w:r>
    </w:p>
    <w:p>
      <w:pPr>
        <w:spacing w:before="50" w:after="100"/>
      </w:pPr>
      <w:r>
        <w:rPr>
          <w:b/>
          <w:bCs/>
          <w:color w:val="1e40af"/>
          <w:sz w:val="18"/>
          <w:szCs w:val="18"/>
        </w:rPr>
        <w:t xml:space="preserve">Rationale: </w:t>
      </w:r>
      <w:r>
        <w:rPr>
          <w:i/>
          <w:iCs/>
          <w:color w:val="1e40af"/>
          <w:sz w:val="18"/>
          <w:szCs w:val="18"/>
        </w:rPr>
        <w:t xml:space="preserve">Fixed expenses are predictable, recurring costs, such as rent, mortgage, or council tax. Council tax is generally set for the year and paid on a regular schedule. Groceries (B) and electricity (C) fluctuate and are variable. Home repairs (D) are irregular. Correct classification supports stable budgeting and identification of adjustable versus non-adjustable spending.</w:t>
      </w:r>
    </w:p>
    <w:p>
      <w:pPr>
        <w:spacing w:before="150" w:after="50"/>
      </w:pPr>
      <w:r>
        <w:rPr>
          <w:b/>
          <w:bCs/>
          <w:sz w:val="22"/>
          <w:szCs w:val="22"/>
        </w:rPr>
        <w:t xml:space="preserve">Question 5</w:t>
      </w:r>
      <w:r>
        <w:rPr>
          <w:i/>
          <w:iCs/>
          <w:color w:val="6b7280"/>
          <w:sz w:val="16"/>
          <w:szCs w:val="16"/>
        </w:rPr>
        <w:t xml:space="preserve"> [apply | easy | MLO: M1-LO1]</w:t>
      </w:r>
    </w:p>
    <w:p>
      <w:pPr>
        <w:spacing w:after="50"/>
      </w:pPr>
      <w:r>
        <w:rPr>
          <w:sz w:val="20"/>
          <w:szCs w:val="20"/>
        </w:rPr>
        <w:t xml:space="preserve">You are designing a tracker that prevents negative values for 'Planned Savings'. Which Data Validation custom formula should be applied to the active cell H2?</w:t>
      </w:r>
    </w:p>
    <w:p>
      <w:pPr>
        <w:spacing w:after="20"/>
      </w:pPr>
      <w:r>
        <w:rPr>
          <w:b w:val="false"/>
          <w:bCs w:val="false"/>
          <w:color w:val="374151"/>
          <w:sz w:val="18"/>
          <w:szCs w:val="18"/>
        </w:rPr>
        <w:t xml:space="preserve">A. =H2&gt;0</w:t>
      </w:r>
      <w:r>
        <w:t xml:space="preserve"/>
      </w:r>
    </w:p>
    <w:p>
      <w:pPr>
        <w:spacing w:after="10"/>
      </w:pPr>
      <w:r>
        <w:rPr>
          <w:i/>
          <w:iCs/>
          <w:color w:val="6b7280"/>
          <w:sz w:val="16"/>
          <w:szCs w:val="16"/>
        </w:rPr>
        <w:t xml:space="preserve">   Explanation: </w:t>
      </w:r>
      <w:r>
        <w:rPr>
          <w:i/>
          <w:iCs/>
          <w:color w:val="6b7280"/>
          <w:sz w:val="16"/>
          <w:szCs w:val="16"/>
        </w:rPr>
        <w:t xml:space="preserve">This disallows zero, which might be acceptable in some months.</w:t>
      </w:r>
    </w:p>
    <w:p>
      <w:pPr>
        <w:spacing w:after="20"/>
      </w:pPr>
      <w:r>
        <w:rPr>
          <w:b/>
          <w:bCs/>
          <w:color w:val="16a34a"/>
          <w:sz w:val="18"/>
          <w:szCs w:val="18"/>
        </w:rPr>
        <w:t xml:space="preserve">B. =H2&gt;=0</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This permits zero or positive values while blocking negatives.</w:t>
      </w:r>
    </w:p>
    <w:p>
      <w:pPr>
        <w:spacing w:after="20"/>
      </w:pPr>
      <w:r>
        <w:rPr>
          <w:b w:val="false"/>
          <w:bCs w:val="false"/>
          <w:color w:val="374151"/>
          <w:sz w:val="18"/>
          <w:szCs w:val="18"/>
        </w:rPr>
        <w:t xml:space="preserve">C. =ISNUMBER(H2)</w:t>
      </w:r>
      <w:r>
        <w:t xml:space="preserve"/>
      </w:r>
    </w:p>
    <w:p>
      <w:pPr>
        <w:spacing w:after="10"/>
      </w:pPr>
      <w:r>
        <w:rPr>
          <w:i/>
          <w:iCs/>
          <w:color w:val="6b7280"/>
          <w:sz w:val="16"/>
          <w:szCs w:val="16"/>
        </w:rPr>
        <w:t xml:space="preserve">   Explanation: </w:t>
      </w:r>
      <w:r>
        <w:rPr>
          <w:i/>
          <w:iCs/>
          <w:color w:val="6b7280"/>
          <w:sz w:val="16"/>
          <w:szCs w:val="16"/>
        </w:rPr>
        <w:t xml:space="preserve">This checks data type but still allows negative numbers.</w:t>
      </w:r>
    </w:p>
    <w:p>
      <w:pPr>
        <w:spacing w:after="20"/>
      </w:pPr>
      <w:r>
        <w:rPr>
          <w:b w:val="false"/>
          <w:bCs w:val="false"/>
          <w:color w:val="374151"/>
          <w:sz w:val="18"/>
          <w:szCs w:val="18"/>
        </w:rPr>
        <w:t xml:space="preserve">D. =LEN(H2)&gt;0</w:t>
      </w:r>
      <w:r>
        <w:t xml:space="preserve"/>
      </w:r>
    </w:p>
    <w:p>
      <w:pPr>
        <w:spacing w:after="10"/>
      </w:pPr>
      <w:r>
        <w:rPr>
          <w:i/>
          <w:iCs/>
          <w:color w:val="6b7280"/>
          <w:sz w:val="16"/>
          <w:szCs w:val="16"/>
        </w:rPr>
        <w:t xml:space="preserve">   Explanation: </w:t>
      </w:r>
      <w:r>
        <w:rPr>
          <w:i/>
          <w:iCs/>
          <w:color w:val="6b7280"/>
          <w:sz w:val="16"/>
          <w:szCs w:val="16"/>
        </w:rPr>
        <w:t xml:space="preserve">This prevents blanks but does not constrain numeric sign.</w:t>
      </w:r>
    </w:p>
    <w:p>
      <w:pPr>
        <w:spacing w:before="50" w:after="100"/>
      </w:pPr>
      <w:r>
        <w:rPr>
          <w:b/>
          <w:bCs/>
          <w:color w:val="1e40af"/>
          <w:sz w:val="18"/>
          <w:szCs w:val="18"/>
        </w:rPr>
        <w:t xml:space="preserve">Rationale: </w:t>
      </w:r>
      <w:r>
        <w:rPr>
          <w:i/>
          <w:iCs/>
          <w:color w:val="1e40af"/>
          <w:sz w:val="18"/>
          <w:szCs w:val="18"/>
        </w:rPr>
        <w:t xml:space="preserve">A custom validation rule should allow only non-negative numbers for planned savings. The expression H2&gt;=0 meets this need, allowing months with zero savings. H2&gt;0 (A) blocks zero. ISNUMBER (C) ensures numeric input but not sign constraints. LEN(H2)&gt;0 (D) prevents blanks, not negatives. Applying simple, clear validation avoids common data entry errors in client trackers.</w:t>
      </w:r>
    </w:p>
    <w:p>
      <w:pPr>
        <w:spacing w:before="150" w:after="50"/>
      </w:pPr>
      <w:r>
        <w:rPr>
          <w:b/>
          <w:bCs/>
          <w:sz w:val="22"/>
          <w:szCs w:val="22"/>
        </w:rPr>
        <w:t xml:space="preserve">Question 6</w:t>
      </w:r>
      <w:r>
        <w:rPr>
          <w:i/>
          <w:iCs/>
          <w:color w:val="6b7280"/>
          <w:sz w:val="16"/>
          <w:szCs w:val="16"/>
        </w:rPr>
        <w:t xml:space="preserve"> [apply | medium | MLO: M1-LO3]</w:t>
      </w:r>
    </w:p>
    <w:p>
      <w:pPr>
        <w:spacing w:after="50"/>
      </w:pPr>
      <w:r>
        <w:rPr>
          <w:sz w:val="20"/>
          <w:szCs w:val="20"/>
        </w:rPr>
        <w:t xml:space="preserve">Which filename best follows a compliant, searchable convention for saving a client’s budgeting workbook to a shared drive?</w:t>
      </w:r>
    </w:p>
    <w:p>
      <w:pPr>
        <w:spacing w:after="20"/>
      </w:pPr>
      <w:r>
        <w:rPr>
          <w:b w:val="false"/>
          <w:bCs w:val="false"/>
          <w:color w:val="374151"/>
          <w:sz w:val="18"/>
          <w:szCs w:val="18"/>
        </w:rPr>
        <w:t xml:space="preserve">A. Budget_vFinal.xlsx</w:t>
      </w:r>
      <w:r>
        <w:t xml:space="preserve"/>
      </w:r>
    </w:p>
    <w:p>
      <w:pPr>
        <w:spacing w:after="10"/>
      </w:pPr>
      <w:r>
        <w:rPr>
          <w:i/>
          <w:iCs/>
          <w:color w:val="6b7280"/>
          <w:sz w:val="16"/>
          <w:szCs w:val="16"/>
        </w:rPr>
        <w:t xml:space="preserve">   Explanation: </w:t>
      </w:r>
      <w:r>
        <w:rPr>
          <w:i/>
          <w:iCs/>
          <w:color w:val="6b7280"/>
          <w:sz w:val="16"/>
          <w:szCs w:val="16"/>
        </w:rPr>
        <w:t xml:space="preserve">Lacks client identifier, date, and version control, making audit trails weak.</w:t>
      </w:r>
    </w:p>
    <w:p>
      <w:pPr>
        <w:spacing w:after="20"/>
      </w:pPr>
      <w:r>
        <w:rPr>
          <w:b w:val="false"/>
          <w:bCs w:val="false"/>
          <w:color w:val="374151"/>
          <w:sz w:val="18"/>
          <w:szCs w:val="18"/>
        </w:rPr>
        <w:t xml:space="preserve">B. 2023Budget.xlsx</w:t>
      </w:r>
      <w:r>
        <w:t xml:space="preserve"/>
      </w:r>
    </w:p>
    <w:p>
      <w:pPr>
        <w:spacing w:after="10"/>
      </w:pPr>
      <w:r>
        <w:rPr>
          <w:i/>
          <w:iCs/>
          <w:color w:val="6b7280"/>
          <w:sz w:val="16"/>
          <w:szCs w:val="16"/>
        </w:rPr>
        <w:t xml:space="preserve">   Explanation: </w:t>
      </w:r>
      <w:r>
        <w:rPr>
          <w:i/>
          <w:iCs/>
          <w:color w:val="6b7280"/>
          <w:sz w:val="16"/>
          <w:szCs w:val="16"/>
        </w:rPr>
        <w:t xml:space="preserve">Year only; no client ID, no version, and ambiguous content.</w:t>
      </w:r>
    </w:p>
    <w:p>
      <w:pPr>
        <w:spacing w:after="20"/>
      </w:pPr>
      <w:r>
        <w:rPr>
          <w:b/>
          <w:bCs/>
          <w:color w:val="16a34a"/>
          <w:sz w:val="18"/>
          <w:szCs w:val="18"/>
        </w:rPr>
        <w:t xml:space="preserve">C. CL12345_Budget_2024-04-30_v02.xlsx</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Includes client ID, document type, ISO date, and version—good for audit and retrieval.</w:t>
      </w:r>
    </w:p>
    <w:p>
      <w:pPr>
        <w:spacing w:after="20"/>
      </w:pPr>
      <w:r>
        <w:rPr>
          <w:b w:val="false"/>
          <w:bCs w:val="false"/>
          <w:color w:val="374151"/>
          <w:sz w:val="18"/>
          <w:szCs w:val="18"/>
        </w:rPr>
        <w:t xml:space="preserve">D. JohnSmithHomeBudgetApril.xlsx</w:t>
      </w:r>
      <w:r>
        <w:t xml:space="preserve"/>
      </w:r>
    </w:p>
    <w:p>
      <w:pPr>
        <w:spacing w:after="10"/>
      </w:pPr>
      <w:r>
        <w:rPr>
          <w:i/>
          <w:iCs/>
          <w:color w:val="6b7280"/>
          <w:sz w:val="16"/>
          <w:szCs w:val="16"/>
        </w:rPr>
        <w:t xml:space="preserve">   Explanation: </w:t>
      </w:r>
      <w:r>
        <w:rPr>
          <w:i/>
          <w:iCs/>
          <w:color w:val="6b7280"/>
          <w:sz w:val="16"/>
          <w:szCs w:val="16"/>
        </w:rPr>
        <w:t xml:space="preserve">Personal name usage may raise privacy risks; lacks date standard and version.</w:t>
      </w:r>
    </w:p>
    <w:p>
      <w:pPr>
        <w:spacing w:before="50" w:after="100"/>
      </w:pPr>
      <w:r>
        <w:rPr>
          <w:b/>
          <w:bCs/>
          <w:color w:val="1e40af"/>
          <w:sz w:val="18"/>
          <w:szCs w:val="18"/>
        </w:rPr>
        <w:t xml:space="preserve">Rationale: </w:t>
      </w:r>
      <w:r>
        <w:rPr>
          <w:i/>
          <w:iCs/>
          <w:color w:val="1e40af"/>
          <w:sz w:val="18"/>
          <w:szCs w:val="18"/>
        </w:rPr>
        <w:t xml:space="preserve">A robust naming convention includes a client identifier, document type, standardised date (ISO 8601), and version. Option C supports searchability, sorting, and auditability. A (vFinal) is ambiguous and discourages proper versioning. B lacks key metadata. D uses a personal name, which can raise privacy concerns, and lacks versioning. Consistent conventions support compliance and team collaboration.</w:t>
      </w:r>
    </w:p>
    <w:p>
      <w:pPr>
        <w:spacing w:before="150" w:after="50"/>
      </w:pPr>
      <w:r>
        <w:rPr>
          <w:b/>
          <w:bCs/>
          <w:sz w:val="22"/>
          <w:szCs w:val="22"/>
        </w:rPr>
        <w:t xml:space="preserve">Question 7</w:t>
      </w:r>
      <w:r>
        <w:rPr>
          <w:i/>
          <w:iCs/>
          <w:color w:val="6b7280"/>
          <w:sz w:val="16"/>
          <w:szCs w:val="16"/>
        </w:rPr>
        <w:t xml:space="preserve"> [understand | easy | MLO: M1-LO1]</w:t>
      </w:r>
    </w:p>
    <w:p>
      <w:pPr>
        <w:spacing w:after="50"/>
      </w:pPr>
      <w:r>
        <w:rPr>
          <w:sz w:val="20"/>
          <w:szCs w:val="20"/>
        </w:rPr>
        <w:t xml:space="preserve">In a tracker, a formula reads =SUM($C$2:$C$13) copied across several sheets for each month. What does the $ symbol achieve here?</w:t>
      </w:r>
    </w:p>
    <w:p>
      <w:pPr>
        <w:spacing w:after="20"/>
      </w:pPr>
      <w:r>
        <w:rPr>
          <w:b w:val="false"/>
          <w:bCs w:val="false"/>
          <w:color w:val="374151"/>
          <w:sz w:val="18"/>
          <w:szCs w:val="18"/>
        </w:rPr>
        <w:t xml:space="preserve">A. It converts all numbers in the range to currency</w:t>
      </w:r>
      <w:r>
        <w:t xml:space="preserve"/>
      </w:r>
    </w:p>
    <w:p>
      <w:pPr>
        <w:spacing w:after="10"/>
      </w:pPr>
      <w:r>
        <w:rPr>
          <w:i/>
          <w:iCs/>
          <w:color w:val="6b7280"/>
          <w:sz w:val="16"/>
          <w:szCs w:val="16"/>
        </w:rPr>
        <w:t xml:space="preserve">   Explanation: </w:t>
      </w:r>
      <w:r>
        <w:rPr>
          <w:i/>
          <w:iCs/>
          <w:color w:val="6b7280"/>
          <w:sz w:val="16"/>
          <w:szCs w:val="16"/>
        </w:rPr>
        <w:t xml:space="preserve">Formatting, not referencing, controls currency display.</w:t>
      </w:r>
    </w:p>
    <w:p>
      <w:pPr>
        <w:spacing w:after="20"/>
      </w:pPr>
      <w:r>
        <w:rPr>
          <w:b w:val="false"/>
          <w:bCs w:val="false"/>
          <w:color w:val="374151"/>
          <w:sz w:val="18"/>
          <w:szCs w:val="18"/>
        </w:rPr>
        <w:t xml:space="preserve">B. It locks the row numbers only, allowing column shift</w:t>
      </w:r>
      <w:r>
        <w:t xml:space="preserve"/>
      </w:r>
    </w:p>
    <w:p>
      <w:pPr>
        <w:spacing w:after="10"/>
      </w:pPr>
      <w:r>
        <w:rPr>
          <w:i/>
          <w:iCs/>
          <w:color w:val="6b7280"/>
          <w:sz w:val="16"/>
          <w:szCs w:val="16"/>
        </w:rPr>
        <w:t xml:space="preserve">   Explanation: </w:t>
      </w:r>
      <w:r>
        <w:rPr>
          <w:i/>
          <w:iCs/>
          <w:color w:val="6b7280"/>
          <w:sz w:val="16"/>
          <w:szCs w:val="16"/>
        </w:rPr>
        <w:t xml:space="preserve">Both columns and rows are fixed with $C$2:$C$13.</w:t>
      </w:r>
    </w:p>
    <w:p>
      <w:pPr>
        <w:spacing w:after="20"/>
      </w:pPr>
      <w:r>
        <w:rPr>
          <w:b/>
          <w:bCs/>
          <w:color w:val="16a34a"/>
          <w:sz w:val="18"/>
          <w:szCs w:val="18"/>
        </w:rPr>
        <w:t xml:space="preserve">C. It makes the cell references absolute and prevents movement when copied</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Absolute references fix the range so the formula points to the same cells when copied.</w:t>
      </w:r>
    </w:p>
    <w:p>
      <w:pPr>
        <w:spacing w:after="20"/>
      </w:pPr>
      <w:r>
        <w:rPr>
          <w:b w:val="false"/>
          <w:bCs w:val="false"/>
          <w:color w:val="374151"/>
          <w:sz w:val="18"/>
          <w:szCs w:val="18"/>
        </w:rPr>
        <w:t xml:space="preserve">D. It creates a named range for the selection</w:t>
      </w:r>
      <w:r>
        <w:t xml:space="preserve"/>
      </w:r>
    </w:p>
    <w:p>
      <w:pPr>
        <w:spacing w:after="10"/>
      </w:pPr>
      <w:r>
        <w:rPr>
          <w:i/>
          <w:iCs/>
          <w:color w:val="6b7280"/>
          <w:sz w:val="16"/>
          <w:szCs w:val="16"/>
        </w:rPr>
        <w:t xml:space="preserve">   Explanation: </w:t>
      </w:r>
      <w:r>
        <w:rPr>
          <w:i/>
          <w:iCs/>
          <w:color w:val="6b7280"/>
          <w:sz w:val="16"/>
          <w:szCs w:val="16"/>
        </w:rPr>
        <w:t xml:space="preserve">Named ranges are created via Name Manager, not by using $ symbols.</w:t>
      </w:r>
    </w:p>
    <w:p>
      <w:pPr>
        <w:spacing w:before="50" w:after="100"/>
      </w:pPr>
      <w:r>
        <w:rPr>
          <w:b/>
          <w:bCs/>
          <w:color w:val="1e40af"/>
          <w:sz w:val="18"/>
          <w:szCs w:val="18"/>
        </w:rPr>
        <w:t xml:space="preserve">Rationale: </w:t>
      </w:r>
      <w:r>
        <w:rPr>
          <w:i/>
          <w:iCs/>
          <w:color w:val="1e40af"/>
          <w:sz w:val="18"/>
          <w:szCs w:val="18"/>
        </w:rPr>
        <w:t xml:space="preserve">Dollar signs make references absolute. In $C$2:$C$13, both column and row are fixed, ensuring copying the formula doesn’t change the referenced range. Option A confuses referencing with formatting. Option B is incorrect because both elements are fixed. Option D confuses naming with referencing syntax. Absolute references are essential for reliable roll-forward templates.</w:t>
      </w:r>
    </w:p>
    <w:p>
      <w:pPr>
        <w:spacing w:before="150" w:after="50"/>
      </w:pPr>
      <w:r>
        <w:rPr>
          <w:b/>
          <w:bCs/>
          <w:sz w:val="22"/>
          <w:szCs w:val="22"/>
        </w:rPr>
        <w:t xml:space="preserve">Question 8</w:t>
      </w:r>
      <w:r>
        <w:rPr>
          <w:i/>
          <w:iCs/>
          <w:color w:val="6b7280"/>
          <w:sz w:val="16"/>
          <w:szCs w:val="16"/>
        </w:rPr>
        <w:t xml:space="preserve"> [analyse | medium | MLO: M1-LO2]</w:t>
      </w:r>
    </w:p>
    <w:p>
      <w:pPr>
        <w:spacing w:after="50"/>
      </w:pPr>
      <w:r>
        <w:rPr>
          <w:sz w:val="20"/>
          <w:szCs w:val="20"/>
        </w:rPr>
        <w:t xml:space="preserve">A client’s monthly surplus is positive, yet their bank balance is falling. Which explanation is most likely and should be checked first in the tracker?</w:t>
      </w:r>
    </w:p>
    <w:p>
      <w:pPr>
        <w:spacing w:after="20"/>
      </w:pPr>
      <w:r>
        <w:rPr>
          <w:b/>
          <w:bCs/>
          <w:color w:val="16a34a"/>
          <w:sz w:val="18"/>
          <w:szCs w:val="18"/>
        </w:rPr>
        <w:t xml:space="preserve">A. Irregular annual payments excluded from monthly plan</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Annual or quarterly costs (e.g., insurance) can cause cash outflows not reflected in average months.</w:t>
      </w:r>
    </w:p>
    <w:p>
      <w:pPr>
        <w:spacing w:after="20"/>
      </w:pPr>
      <w:r>
        <w:rPr>
          <w:b w:val="false"/>
          <w:bCs w:val="false"/>
          <w:color w:val="374151"/>
          <w:sz w:val="18"/>
          <w:szCs w:val="18"/>
        </w:rPr>
        <w:t xml:space="preserve">B. Incorrect formatting of currency symbols</w:t>
      </w:r>
      <w:r>
        <w:t xml:space="preserve"/>
      </w:r>
    </w:p>
    <w:p>
      <w:pPr>
        <w:spacing w:after="10"/>
      </w:pPr>
      <w:r>
        <w:rPr>
          <w:i/>
          <w:iCs/>
          <w:color w:val="6b7280"/>
          <w:sz w:val="16"/>
          <w:szCs w:val="16"/>
        </w:rPr>
        <w:t xml:space="preserve">   Explanation: </w:t>
      </w:r>
      <w:r>
        <w:rPr>
          <w:i/>
          <w:iCs/>
          <w:color w:val="6b7280"/>
          <w:sz w:val="16"/>
          <w:szCs w:val="16"/>
        </w:rPr>
        <w:t xml:space="preserve">Formatting doesn’t change actual balances; it affects display only.</w:t>
      </w:r>
    </w:p>
    <w:p>
      <w:pPr>
        <w:spacing w:after="20"/>
      </w:pPr>
      <w:r>
        <w:rPr>
          <w:b w:val="false"/>
          <w:bCs w:val="false"/>
          <w:color w:val="374151"/>
          <w:sz w:val="18"/>
          <w:szCs w:val="18"/>
        </w:rPr>
        <w:t xml:space="preserve">C. Rounding amounts to the nearest pound</w:t>
      </w:r>
      <w:r>
        <w:t xml:space="preserve"/>
      </w:r>
    </w:p>
    <w:p>
      <w:pPr>
        <w:spacing w:after="10"/>
      </w:pPr>
      <w:r>
        <w:rPr>
          <w:i/>
          <w:iCs/>
          <w:color w:val="6b7280"/>
          <w:sz w:val="16"/>
          <w:szCs w:val="16"/>
        </w:rPr>
        <w:t xml:space="preserve">   Explanation: </w:t>
      </w:r>
      <w:r>
        <w:rPr>
          <w:i/>
          <w:iCs/>
          <w:color w:val="6b7280"/>
          <w:sz w:val="16"/>
          <w:szCs w:val="16"/>
        </w:rPr>
        <w:t xml:space="preserve">Rounding creates small errors, unlikely to explain a falling balance trend.</w:t>
      </w:r>
    </w:p>
    <w:p>
      <w:pPr>
        <w:spacing w:after="20"/>
      </w:pPr>
      <w:r>
        <w:rPr>
          <w:b w:val="false"/>
          <w:bCs w:val="false"/>
          <w:color w:val="374151"/>
          <w:sz w:val="18"/>
          <w:szCs w:val="18"/>
        </w:rPr>
        <w:t xml:space="preserve">D. Use of absolute references in formulas</w:t>
      </w:r>
      <w:r>
        <w:t xml:space="preserve"/>
      </w:r>
    </w:p>
    <w:p>
      <w:pPr>
        <w:spacing w:after="10"/>
      </w:pPr>
      <w:r>
        <w:rPr>
          <w:i/>
          <w:iCs/>
          <w:color w:val="6b7280"/>
          <w:sz w:val="16"/>
          <w:szCs w:val="16"/>
        </w:rPr>
        <w:t xml:space="preserve">   Explanation: </w:t>
      </w:r>
      <w:r>
        <w:rPr>
          <w:i/>
          <w:iCs/>
          <w:color w:val="6b7280"/>
          <w:sz w:val="16"/>
          <w:szCs w:val="16"/>
        </w:rPr>
        <w:t xml:space="preserve">Reference style doesn’t inherently cause surplus/balance divergence.</w:t>
      </w:r>
    </w:p>
    <w:p>
      <w:pPr>
        <w:spacing w:before="50" w:after="100"/>
      </w:pPr>
      <w:r>
        <w:rPr>
          <w:b/>
          <w:bCs/>
          <w:color w:val="1e40af"/>
          <w:sz w:val="18"/>
          <w:szCs w:val="18"/>
        </w:rPr>
        <w:t xml:space="preserve">Rationale: </w:t>
      </w:r>
      <w:r>
        <w:rPr>
          <w:i/>
          <w:iCs/>
          <w:color w:val="1e40af"/>
          <w:sz w:val="18"/>
          <w:szCs w:val="18"/>
        </w:rPr>
        <w:t xml:space="preserve">A common budgeting error is omitting irregular but predictable expenses like insurance or car tax. These can erode bank balances despite apparent monthly surpluses. Formatting (B) and rounding (C) don’t materially change balances. Absolute references (D) are unrelated to cashflow timing. Incorporating sinking funds or annualised allocations helps align budgets to real cash movements.</w:t>
      </w:r>
    </w:p>
    <w:p>
      <w:pPr>
        <w:spacing w:before="150" w:after="50"/>
      </w:pPr>
      <w:r>
        <w:rPr>
          <w:b/>
          <w:bCs/>
          <w:sz w:val="22"/>
          <w:szCs w:val="22"/>
        </w:rPr>
        <w:t xml:space="preserve">Question 9</w:t>
      </w:r>
      <w:r>
        <w:rPr>
          <w:i/>
          <w:iCs/>
          <w:color w:val="6b7280"/>
          <w:sz w:val="16"/>
          <w:szCs w:val="16"/>
        </w:rPr>
        <w:t xml:space="preserve"> [apply | medium | MLO: M1-LO3]</w:t>
      </w:r>
    </w:p>
    <w:p>
      <w:pPr>
        <w:spacing w:after="50"/>
      </w:pPr>
      <w:r>
        <w:rPr>
          <w:sz w:val="20"/>
          <w:szCs w:val="20"/>
        </w:rPr>
        <w:t xml:space="preserve">You must store client budget files in a shared repository with access limited to the advice team. Which control is most appropriate to apply?</w:t>
      </w:r>
    </w:p>
    <w:p>
      <w:pPr>
        <w:spacing w:after="20"/>
      </w:pPr>
      <w:r>
        <w:rPr>
          <w:b w:val="false"/>
          <w:bCs w:val="false"/>
          <w:color w:val="374151"/>
          <w:sz w:val="18"/>
          <w:szCs w:val="18"/>
        </w:rPr>
        <w:t xml:space="preserve">A. Share via public link without sign-in</w:t>
      </w:r>
      <w:r>
        <w:t xml:space="preserve"/>
      </w:r>
    </w:p>
    <w:p>
      <w:pPr>
        <w:spacing w:after="10"/>
      </w:pPr>
      <w:r>
        <w:rPr>
          <w:i/>
          <w:iCs/>
          <w:color w:val="6b7280"/>
          <w:sz w:val="16"/>
          <w:szCs w:val="16"/>
        </w:rPr>
        <w:t xml:space="preserve">   Explanation: </w:t>
      </w:r>
      <w:r>
        <w:rPr>
          <w:i/>
          <w:iCs/>
          <w:color w:val="6b7280"/>
          <w:sz w:val="16"/>
          <w:szCs w:val="16"/>
        </w:rPr>
        <w:t xml:space="preserve">Public links allow uncontrolled access and are non-compliant.</w:t>
      </w:r>
    </w:p>
    <w:p>
      <w:pPr>
        <w:spacing w:after="20"/>
      </w:pPr>
      <w:r>
        <w:rPr>
          <w:b/>
          <w:bCs/>
          <w:color w:val="16a34a"/>
          <w:sz w:val="18"/>
          <w:szCs w:val="18"/>
        </w:rPr>
        <w:t xml:space="preserve">B. Grant folder access to an advice-team group with MFA</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Role-based access via a group and MFA enforces least privilege and secure access.</w:t>
      </w:r>
    </w:p>
    <w:p>
      <w:pPr>
        <w:spacing w:after="20"/>
      </w:pPr>
      <w:r>
        <w:rPr>
          <w:b w:val="false"/>
          <w:bCs w:val="false"/>
          <w:color w:val="374151"/>
          <w:sz w:val="18"/>
          <w:szCs w:val="18"/>
        </w:rPr>
        <w:t xml:space="preserve">C. Email copies to team members as needed</w:t>
      </w:r>
      <w:r>
        <w:t xml:space="preserve"/>
      </w:r>
    </w:p>
    <w:p>
      <w:pPr>
        <w:spacing w:after="10"/>
      </w:pPr>
      <w:r>
        <w:rPr>
          <w:i/>
          <w:iCs/>
          <w:color w:val="6b7280"/>
          <w:sz w:val="16"/>
          <w:szCs w:val="16"/>
        </w:rPr>
        <w:t xml:space="preserve">   Explanation: </w:t>
      </w:r>
      <w:r>
        <w:rPr>
          <w:i/>
          <w:iCs/>
          <w:color w:val="6b7280"/>
          <w:sz w:val="16"/>
          <w:szCs w:val="16"/>
        </w:rPr>
        <w:t xml:space="preserve">Email proliferates versions and raises data leakage risk.</w:t>
      </w:r>
    </w:p>
    <w:p>
      <w:pPr>
        <w:spacing w:after="20"/>
      </w:pPr>
      <w:r>
        <w:rPr>
          <w:b w:val="false"/>
          <w:bCs w:val="false"/>
          <w:color w:val="374151"/>
          <w:sz w:val="18"/>
          <w:szCs w:val="18"/>
        </w:rPr>
        <w:t xml:space="preserve">D. Save locally and upload on request</w:t>
      </w:r>
      <w:r>
        <w:t xml:space="preserve"/>
      </w:r>
    </w:p>
    <w:p>
      <w:pPr>
        <w:spacing w:after="10"/>
      </w:pPr>
      <w:r>
        <w:rPr>
          <w:i/>
          <w:iCs/>
          <w:color w:val="6b7280"/>
          <w:sz w:val="16"/>
          <w:szCs w:val="16"/>
        </w:rPr>
        <w:t xml:space="preserve">   Explanation: </w:t>
      </w:r>
      <w:r>
        <w:rPr>
          <w:i/>
          <w:iCs/>
          <w:color w:val="6b7280"/>
          <w:sz w:val="16"/>
          <w:szCs w:val="16"/>
        </w:rPr>
        <w:t xml:space="preserve">Local-only storage breaks central records and weakens audit trails.</w:t>
      </w:r>
    </w:p>
    <w:p>
      <w:pPr>
        <w:spacing w:before="50" w:after="100"/>
      </w:pPr>
      <w:r>
        <w:rPr>
          <w:b/>
          <w:bCs/>
          <w:color w:val="1e40af"/>
          <w:sz w:val="18"/>
          <w:szCs w:val="18"/>
        </w:rPr>
        <w:t xml:space="preserve">Rationale: </w:t>
      </w:r>
      <w:r>
        <w:rPr>
          <w:i/>
          <w:iCs/>
          <w:color w:val="1e40af"/>
          <w:sz w:val="18"/>
          <w:szCs w:val="18"/>
        </w:rPr>
        <w:t xml:space="preserve">Applying role-based permissions to a team group with multi-factor authentication enforces least privilege and secure access to personal data. Public links (A) are non-compliant. Emailing copies (C) increases duplication and leakage risk. Local storage (D) undermines central control and retention. Proper identity and access management supports GDPR principles and audit readiness.</w:t>
      </w:r>
    </w:p>
    <w:p>
      <w:pPr>
        <w:spacing w:before="150" w:after="50"/>
      </w:pPr>
      <w:r>
        <w:rPr>
          <w:b/>
          <w:bCs/>
          <w:sz w:val="22"/>
          <w:szCs w:val="22"/>
        </w:rPr>
        <w:t xml:space="preserve">Question 10</w:t>
      </w:r>
      <w:r>
        <w:rPr>
          <w:i/>
          <w:iCs/>
          <w:color w:val="6b7280"/>
          <w:sz w:val="16"/>
          <w:szCs w:val="16"/>
        </w:rPr>
        <w:t xml:space="preserve"> [apply | easy | MLO: M1-LO1]</w:t>
      </w:r>
    </w:p>
    <w:p>
      <w:pPr>
        <w:spacing w:after="50"/>
      </w:pPr>
      <w:r>
        <w:rPr>
          <w:sz w:val="20"/>
          <w:szCs w:val="20"/>
        </w:rPr>
        <w:t xml:space="preserve">Which spreadsheet technique best prevents accidental overwriting of formulas in a client-facing budget template?</w:t>
      </w:r>
    </w:p>
    <w:p>
      <w:pPr>
        <w:spacing w:after="20"/>
      </w:pPr>
      <w:r>
        <w:rPr>
          <w:b w:val="false"/>
          <w:bCs w:val="false"/>
          <w:color w:val="374151"/>
          <w:sz w:val="18"/>
          <w:szCs w:val="18"/>
        </w:rPr>
        <w:t xml:space="preserve">A. Freeze top row and first column</w:t>
      </w:r>
      <w:r>
        <w:t xml:space="preserve"/>
      </w:r>
    </w:p>
    <w:p>
      <w:pPr>
        <w:spacing w:after="10"/>
      </w:pPr>
      <w:r>
        <w:rPr>
          <w:i/>
          <w:iCs/>
          <w:color w:val="6b7280"/>
          <w:sz w:val="16"/>
          <w:szCs w:val="16"/>
        </w:rPr>
        <w:t xml:space="preserve">   Explanation: </w:t>
      </w:r>
      <w:r>
        <w:rPr>
          <w:i/>
          <w:iCs/>
          <w:color w:val="6b7280"/>
          <w:sz w:val="16"/>
          <w:szCs w:val="16"/>
        </w:rPr>
        <w:t xml:space="preserve">Freezing aids navigation, not cell protection.</w:t>
      </w:r>
    </w:p>
    <w:p>
      <w:pPr>
        <w:spacing w:after="20"/>
      </w:pPr>
      <w:r>
        <w:rPr>
          <w:b/>
          <w:bCs/>
          <w:color w:val="16a34a"/>
          <w:sz w:val="18"/>
          <w:szCs w:val="18"/>
        </w:rPr>
        <w:t xml:space="preserve">B. Protect sheet with input cells unlocked</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Lock formula cells, unlock inputs, then protect the sheet to prevent overwrites.</w:t>
      </w:r>
    </w:p>
    <w:p>
      <w:pPr>
        <w:spacing w:after="20"/>
      </w:pPr>
      <w:r>
        <w:rPr>
          <w:b w:val="false"/>
          <w:bCs w:val="false"/>
          <w:color w:val="374151"/>
          <w:sz w:val="18"/>
          <w:szCs w:val="18"/>
        </w:rPr>
        <w:t xml:space="preserve">C. Format formula cells in bold</w:t>
      </w:r>
      <w:r>
        <w:t xml:space="preserve"/>
      </w:r>
    </w:p>
    <w:p>
      <w:pPr>
        <w:spacing w:after="10"/>
      </w:pPr>
      <w:r>
        <w:rPr>
          <w:i/>
          <w:iCs/>
          <w:color w:val="6b7280"/>
          <w:sz w:val="16"/>
          <w:szCs w:val="16"/>
        </w:rPr>
        <w:t xml:space="preserve">   Explanation: </w:t>
      </w:r>
      <w:r>
        <w:rPr>
          <w:i/>
          <w:iCs/>
          <w:color w:val="6b7280"/>
          <w:sz w:val="16"/>
          <w:szCs w:val="16"/>
        </w:rPr>
        <w:t xml:space="preserve">Formatting does not stop edits; it only signals.</w:t>
      </w:r>
    </w:p>
    <w:p>
      <w:pPr>
        <w:spacing w:after="20"/>
      </w:pPr>
      <w:r>
        <w:rPr>
          <w:b w:val="false"/>
          <w:bCs w:val="false"/>
          <w:color w:val="374151"/>
          <w:sz w:val="18"/>
          <w:szCs w:val="18"/>
        </w:rPr>
        <w:t xml:space="preserve">D. Hide the formula bar</w:t>
      </w:r>
      <w:r>
        <w:t xml:space="preserve"/>
      </w:r>
    </w:p>
    <w:p>
      <w:pPr>
        <w:spacing w:after="10"/>
      </w:pPr>
      <w:r>
        <w:rPr>
          <w:i/>
          <w:iCs/>
          <w:color w:val="6b7280"/>
          <w:sz w:val="16"/>
          <w:szCs w:val="16"/>
        </w:rPr>
        <w:t xml:space="preserve">   Explanation: </w:t>
      </w:r>
      <w:r>
        <w:rPr>
          <w:i/>
          <w:iCs/>
          <w:color w:val="6b7280"/>
          <w:sz w:val="16"/>
          <w:szCs w:val="16"/>
        </w:rPr>
        <w:t xml:space="preserve">Hiding the bar obscures formulas but doesn’t prevent changes.</w:t>
      </w:r>
    </w:p>
    <w:p>
      <w:pPr>
        <w:spacing w:before="50" w:after="100"/>
      </w:pPr>
      <w:r>
        <w:rPr>
          <w:b/>
          <w:bCs/>
          <w:color w:val="1e40af"/>
          <w:sz w:val="18"/>
          <w:szCs w:val="18"/>
        </w:rPr>
        <w:t xml:space="preserve">Rationale: </w:t>
      </w:r>
      <w:r>
        <w:rPr>
          <w:i/>
          <w:iCs/>
          <w:color w:val="1e40af"/>
          <w:sz w:val="18"/>
          <w:szCs w:val="18"/>
        </w:rPr>
        <w:t xml:space="preserve">The standard method is to leave input cells unlocked, lock formula cells, and protect the sheet with an optional password. Freezing panes (A) helps viewing. Formatting (C) and hiding the formula bar (D) are cosmetic or obfuscation but do not enforce protection. Proper protection reduces support issues and maintains template integrity for clients.</w:t>
      </w:r>
    </w:p>
    <w:p>
      <w:pPr>
        <w:spacing w:before="150" w:after="50"/>
      </w:pPr>
      <w:r>
        <w:rPr>
          <w:b/>
          <w:bCs/>
          <w:sz w:val="22"/>
          <w:szCs w:val="22"/>
        </w:rPr>
        <w:t xml:space="preserve">Question 11</w:t>
      </w:r>
      <w:r>
        <w:rPr>
          <w:i/>
          <w:iCs/>
          <w:color w:val="6b7280"/>
          <w:sz w:val="16"/>
          <w:szCs w:val="16"/>
        </w:rPr>
        <w:t xml:space="preserve"> [apply | medium | MLO: M1-LO1]</w:t>
      </w:r>
    </w:p>
    <w:p>
      <w:pPr>
        <w:spacing w:after="50"/>
      </w:pPr>
      <w:r>
        <w:rPr>
          <w:sz w:val="20"/>
          <w:szCs w:val="20"/>
        </w:rPr>
        <w:t xml:space="preserve">Your monthly tracker summarises spending by category using a PivotTable. Which field layout correctly shows Category as rows and the sum of Amounts?</w:t>
      </w:r>
    </w:p>
    <w:p>
      <w:pPr>
        <w:spacing w:after="20"/>
      </w:pPr>
      <w:r>
        <w:rPr>
          <w:b w:val="false"/>
          <w:bCs w:val="false"/>
          <w:color w:val="374151"/>
          <w:sz w:val="18"/>
          <w:szCs w:val="18"/>
        </w:rPr>
        <w:t xml:space="preserve">A. Rows: Amount; Values: Category (Count)</w:t>
      </w:r>
      <w:r>
        <w:t xml:space="preserve"/>
      </w:r>
    </w:p>
    <w:p>
      <w:pPr>
        <w:spacing w:after="10"/>
      </w:pPr>
      <w:r>
        <w:rPr>
          <w:i/>
          <w:iCs/>
          <w:color w:val="6b7280"/>
          <w:sz w:val="16"/>
          <w:szCs w:val="16"/>
        </w:rPr>
        <w:t xml:space="preserve">   Explanation: </w:t>
      </w:r>
      <w:r>
        <w:rPr>
          <w:i/>
          <w:iCs/>
          <w:color w:val="6b7280"/>
          <w:sz w:val="16"/>
          <w:szCs w:val="16"/>
        </w:rPr>
        <w:t xml:space="preserve">This counts category labels and places amounts as labels, not sums.</w:t>
      </w:r>
    </w:p>
    <w:p>
      <w:pPr>
        <w:spacing w:after="20"/>
      </w:pPr>
      <w:r>
        <w:rPr>
          <w:b/>
          <w:bCs/>
          <w:color w:val="16a34a"/>
          <w:sz w:val="18"/>
          <w:szCs w:val="18"/>
        </w:rPr>
        <w:t xml:space="preserve">B. Rows: Category; Values: Amount (Sum)</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Placing Category on rows and Amount as Sum produces total spend per category.</w:t>
      </w:r>
    </w:p>
    <w:p>
      <w:pPr>
        <w:spacing w:after="20"/>
      </w:pPr>
      <w:r>
        <w:rPr>
          <w:b w:val="false"/>
          <w:bCs w:val="false"/>
          <w:color w:val="374151"/>
          <w:sz w:val="18"/>
          <w:szCs w:val="18"/>
        </w:rPr>
        <w:t xml:space="preserve">C. Columns: Category; Filters: Amount (Sum)</w:t>
      </w:r>
      <w:r>
        <w:t xml:space="preserve"/>
      </w:r>
    </w:p>
    <w:p>
      <w:pPr>
        <w:spacing w:after="10"/>
      </w:pPr>
      <w:r>
        <w:rPr>
          <w:i/>
          <w:iCs/>
          <w:color w:val="6b7280"/>
          <w:sz w:val="16"/>
          <w:szCs w:val="16"/>
        </w:rPr>
        <w:t xml:space="preserve">   Explanation: </w:t>
      </w:r>
      <w:r>
        <w:rPr>
          <w:i/>
          <w:iCs/>
          <w:color w:val="6b7280"/>
          <w:sz w:val="16"/>
          <w:szCs w:val="16"/>
        </w:rPr>
        <w:t xml:space="preserve">Amounts cannot be a filter; this setup won’t summarise totals.</w:t>
      </w:r>
    </w:p>
    <w:p>
      <w:pPr>
        <w:spacing w:after="20"/>
      </w:pPr>
      <w:r>
        <w:rPr>
          <w:b w:val="false"/>
          <w:bCs w:val="false"/>
          <w:color w:val="374151"/>
          <w:sz w:val="18"/>
          <w:szCs w:val="18"/>
        </w:rPr>
        <w:t xml:space="preserve">D. Filters: Category; Values: Amount (Average)</w:t>
      </w:r>
      <w:r>
        <w:t xml:space="preserve"/>
      </w:r>
    </w:p>
    <w:p>
      <w:pPr>
        <w:spacing w:after="10"/>
      </w:pPr>
      <w:r>
        <w:rPr>
          <w:i/>
          <w:iCs/>
          <w:color w:val="6b7280"/>
          <w:sz w:val="16"/>
          <w:szCs w:val="16"/>
        </w:rPr>
        <w:t xml:space="preserve">   Explanation: </w:t>
      </w:r>
      <w:r>
        <w:rPr>
          <w:i/>
          <w:iCs/>
          <w:color w:val="6b7280"/>
          <w:sz w:val="16"/>
          <w:szCs w:val="16"/>
        </w:rPr>
        <w:t xml:space="preserve">This averages values and hides the category breakdown in a filter.</w:t>
      </w:r>
    </w:p>
    <w:p>
      <w:pPr>
        <w:spacing w:before="50" w:after="100"/>
      </w:pPr>
      <w:r>
        <w:rPr>
          <w:b/>
          <w:bCs/>
          <w:color w:val="1e40af"/>
          <w:sz w:val="18"/>
          <w:szCs w:val="18"/>
        </w:rPr>
        <w:t xml:space="preserve">Rationale: </w:t>
      </w:r>
      <w:r>
        <w:rPr>
          <w:i/>
          <w:iCs/>
          <w:color w:val="1e40af"/>
          <w:sz w:val="18"/>
          <w:szCs w:val="18"/>
        </w:rPr>
        <w:t xml:space="preserve">To summarise spend by category, place Category in the Rows area and Amount in Values summarised by Sum. A swaps roles and counts labels. C misplaces Amount as a filter. D averages and hides the breakdown behind a filter, which isn’t a summary by row. PivotTables provide quick, reliable aggregations for monthly reporting.</w:t>
      </w:r>
    </w:p>
    <w:p>
      <w:pPr>
        <w:spacing w:before="150" w:after="50"/>
      </w:pPr>
      <w:r>
        <w:rPr>
          <w:b/>
          <w:bCs/>
          <w:sz w:val="22"/>
          <w:szCs w:val="22"/>
        </w:rPr>
        <w:t xml:space="preserve">Question 12</w:t>
      </w:r>
      <w:r>
        <w:rPr>
          <w:i/>
          <w:iCs/>
          <w:color w:val="6b7280"/>
          <w:sz w:val="16"/>
          <w:szCs w:val="16"/>
        </w:rPr>
        <w:t xml:space="preserve"> [understand | easy | MLO: M1-LO2]</w:t>
      </w:r>
    </w:p>
    <w:p>
      <w:pPr>
        <w:spacing w:after="50"/>
      </w:pPr>
      <w:r>
        <w:rPr>
          <w:sz w:val="20"/>
          <w:szCs w:val="20"/>
        </w:rPr>
        <w:t xml:space="preserve">Which statement best explains “emergency fund” to a client in clear language?</w:t>
      </w:r>
    </w:p>
    <w:p>
      <w:pPr>
        <w:spacing w:after="20"/>
      </w:pPr>
      <w:r>
        <w:rPr>
          <w:b w:val="false"/>
          <w:bCs w:val="false"/>
          <w:color w:val="374151"/>
          <w:sz w:val="18"/>
          <w:szCs w:val="18"/>
        </w:rPr>
        <w:t xml:space="preserve">A. A fund for speculative opportunities with high returns</w:t>
      </w:r>
      <w:r>
        <w:t xml:space="preserve"/>
      </w:r>
    </w:p>
    <w:p>
      <w:pPr>
        <w:spacing w:after="10"/>
      </w:pPr>
      <w:r>
        <w:rPr>
          <w:i/>
          <w:iCs/>
          <w:color w:val="6b7280"/>
          <w:sz w:val="16"/>
          <w:szCs w:val="16"/>
        </w:rPr>
        <w:t xml:space="preserve">   Explanation: </w:t>
      </w:r>
      <w:r>
        <w:rPr>
          <w:i/>
          <w:iCs/>
          <w:color w:val="6b7280"/>
          <w:sz w:val="16"/>
          <w:szCs w:val="16"/>
        </w:rPr>
        <w:t xml:space="preserve">This describes risk-taking, not emergencies.</w:t>
      </w:r>
    </w:p>
    <w:p>
      <w:pPr>
        <w:spacing w:after="20"/>
      </w:pPr>
      <w:r>
        <w:rPr>
          <w:b/>
          <w:bCs/>
          <w:color w:val="16a34a"/>
          <w:sz w:val="18"/>
          <w:szCs w:val="18"/>
        </w:rPr>
        <w:t xml:space="preserve">B. Cash set aside to cover essential costs if income stops</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An emergency fund is a cash buffer for unexpected events like job loss.</w:t>
      </w:r>
    </w:p>
    <w:p>
      <w:pPr>
        <w:spacing w:after="20"/>
      </w:pPr>
      <w:r>
        <w:rPr>
          <w:b w:val="false"/>
          <w:bCs w:val="false"/>
          <w:color w:val="374151"/>
          <w:sz w:val="18"/>
          <w:szCs w:val="18"/>
        </w:rPr>
        <w:t xml:space="preserve">C. A monthly budget category for holidays and leisure</w:t>
      </w:r>
      <w:r>
        <w:t xml:space="preserve"/>
      </w:r>
    </w:p>
    <w:p>
      <w:pPr>
        <w:spacing w:after="10"/>
      </w:pPr>
      <w:r>
        <w:rPr>
          <w:i/>
          <w:iCs/>
          <w:color w:val="6b7280"/>
          <w:sz w:val="16"/>
          <w:szCs w:val="16"/>
        </w:rPr>
        <w:t xml:space="preserve">   Explanation: </w:t>
      </w:r>
      <w:r>
        <w:rPr>
          <w:i/>
          <w:iCs/>
          <w:color w:val="6b7280"/>
          <w:sz w:val="16"/>
          <w:szCs w:val="16"/>
        </w:rPr>
        <w:t xml:space="preserve">Discretionary spending is not an emergency reserve.</w:t>
      </w:r>
    </w:p>
    <w:p>
      <w:pPr>
        <w:spacing w:after="20"/>
      </w:pPr>
      <w:r>
        <w:rPr>
          <w:b w:val="false"/>
          <w:bCs w:val="false"/>
          <w:color w:val="374151"/>
          <w:sz w:val="18"/>
          <w:szCs w:val="18"/>
        </w:rPr>
        <w:t xml:space="preserve">D. A loan facility arranged in advance with a bank</w:t>
      </w:r>
      <w:r>
        <w:t xml:space="preserve"/>
      </w:r>
    </w:p>
    <w:p>
      <w:pPr>
        <w:spacing w:after="10"/>
      </w:pPr>
      <w:r>
        <w:rPr>
          <w:i/>
          <w:iCs/>
          <w:color w:val="6b7280"/>
          <w:sz w:val="16"/>
          <w:szCs w:val="16"/>
        </w:rPr>
        <w:t xml:space="preserve">   Explanation: </w:t>
      </w:r>
      <w:r>
        <w:rPr>
          <w:i/>
          <w:iCs/>
          <w:color w:val="6b7280"/>
          <w:sz w:val="16"/>
          <w:szCs w:val="16"/>
        </w:rPr>
        <w:t xml:space="preserve">Credit lines are debt, not a cash buffer.</w:t>
      </w:r>
    </w:p>
    <w:p>
      <w:pPr>
        <w:spacing w:before="50" w:after="100"/>
      </w:pPr>
      <w:r>
        <w:rPr>
          <w:b/>
          <w:bCs/>
          <w:color w:val="1e40af"/>
          <w:sz w:val="18"/>
          <w:szCs w:val="18"/>
        </w:rPr>
        <w:t xml:space="preserve">Rationale: </w:t>
      </w:r>
      <w:r>
        <w:rPr>
          <w:i/>
          <w:iCs/>
          <w:color w:val="1e40af"/>
          <w:sz w:val="18"/>
          <w:szCs w:val="18"/>
        </w:rPr>
        <w:t xml:space="preserve">An emergency fund is a readily accessible cash reserve designed to cover essential expenses if income is disrupted or unexpected costs arise. A focuses on speculation. C confuses discretionary spending with contingency funds. D substitutes borrowing for savings, which may add cost and risk. Clear explanations build client understanding and adherence to budgeting plans.</w:t>
      </w:r>
    </w:p>
    <w:p>
      <w:pPr>
        <w:spacing w:before="150" w:after="50"/>
      </w:pPr>
      <w:r>
        <w:rPr>
          <w:b/>
          <w:bCs/>
          <w:sz w:val="22"/>
          <w:szCs w:val="22"/>
        </w:rPr>
        <w:t xml:space="preserve">Question 13</w:t>
      </w:r>
      <w:r>
        <w:rPr>
          <w:i/>
          <w:iCs/>
          <w:color w:val="6b7280"/>
          <w:sz w:val="16"/>
          <w:szCs w:val="16"/>
        </w:rPr>
        <w:t xml:space="preserve"> [apply | medium | MLO: M1-LO1]</w:t>
      </w:r>
    </w:p>
    <w:p>
      <w:pPr>
        <w:spacing w:after="50"/>
      </w:pPr>
      <w:r>
        <w:rPr>
          <w:sz w:val="20"/>
          <w:szCs w:val="20"/>
        </w:rPr>
        <w:t xml:space="preserve">Your tracker shows #DIV/0! in a 'Savings Rate' cell calculated as Savings/Income. Which robust formula handles months with zero income without errors?</w:t>
      </w:r>
    </w:p>
    <w:p>
      <w:pPr>
        <w:spacing w:after="20"/>
      </w:pPr>
      <w:r>
        <w:rPr>
          <w:b w:val="false"/>
          <w:bCs w:val="false"/>
          <w:color w:val="374151"/>
          <w:sz w:val="18"/>
          <w:szCs w:val="18"/>
        </w:rPr>
        <w:t xml:space="preserve">A. =Savings/Income</w:t>
      </w:r>
      <w:r>
        <w:t xml:space="preserve"/>
      </w:r>
    </w:p>
    <w:p>
      <w:pPr>
        <w:spacing w:after="10"/>
      </w:pPr>
      <w:r>
        <w:rPr>
          <w:i/>
          <w:iCs/>
          <w:color w:val="6b7280"/>
          <w:sz w:val="16"/>
          <w:szCs w:val="16"/>
        </w:rPr>
        <w:t xml:space="preserve">   Explanation: </w:t>
      </w:r>
      <w:r>
        <w:rPr>
          <w:i/>
          <w:iCs/>
          <w:color w:val="6b7280"/>
          <w:sz w:val="16"/>
          <w:szCs w:val="16"/>
        </w:rPr>
        <w:t xml:space="preserve">This divides by zero when income is blank or zero, causing errors.</w:t>
      </w:r>
    </w:p>
    <w:p>
      <w:pPr>
        <w:spacing w:after="20"/>
      </w:pPr>
      <w:r>
        <w:rPr>
          <w:b/>
          <w:bCs/>
          <w:color w:val="16a34a"/>
          <w:sz w:val="18"/>
          <w:szCs w:val="18"/>
        </w:rPr>
        <w:t xml:space="preserve">B. =IFERROR(Savings/Income,0)</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IFERROR catches division by zero and returns 0 (or a chosen default).</w:t>
      </w:r>
    </w:p>
    <w:p>
      <w:pPr>
        <w:spacing w:after="20"/>
      </w:pPr>
      <w:r>
        <w:rPr>
          <w:b w:val="false"/>
          <w:bCs w:val="false"/>
          <w:color w:val="374151"/>
          <w:sz w:val="18"/>
          <w:szCs w:val="18"/>
        </w:rPr>
        <w:t xml:space="preserve">C. =IF(Income&gt;0,Savings,0)</w:t>
      </w:r>
      <w:r>
        <w:t xml:space="preserve"/>
      </w:r>
    </w:p>
    <w:p>
      <w:pPr>
        <w:spacing w:after="10"/>
      </w:pPr>
      <w:r>
        <w:rPr>
          <w:i/>
          <w:iCs/>
          <w:color w:val="6b7280"/>
          <w:sz w:val="16"/>
          <w:szCs w:val="16"/>
        </w:rPr>
        <w:t xml:space="preserve">   Explanation: </w:t>
      </w:r>
      <w:r>
        <w:rPr>
          <w:i/>
          <w:iCs/>
          <w:color w:val="6b7280"/>
          <w:sz w:val="16"/>
          <w:szCs w:val="16"/>
        </w:rPr>
        <w:t xml:space="preserve">Returns Savings, not the rate; units are inconsistent.</w:t>
      </w:r>
    </w:p>
    <w:p>
      <w:pPr>
        <w:spacing w:after="20"/>
      </w:pPr>
      <w:r>
        <w:rPr>
          <w:b w:val="false"/>
          <w:bCs w:val="false"/>
          <w:color w:val="374151"/>
          <w:sz w:val="18"/>
          <w:szCs w:val="18"/>
        </w:rPr>
        <w:t xml:space="preserve">D. =IF(Income=0,Income,Savings)</w:t>
      </w:r>
      <w:r>
        <w:t xml:space="preserve"/>
      </w:r>
    </w:p>
    <w:p>
      <w:pPr>
        <w:spacing w:after="10"/>
      </w:pPr>
      <w:r>
        <w:rPr>
          <w:i/>
          <w:iCs/>
          <w:color w:val="6b7280"/>
          <w:sz w:val="16"/>
          <w:szCs w:val="16"/>
        </w:rPr>
        <w:t xml:space="preserve">   Explanation: </w:t>
      </w:r>
      <w:r>
        <w:rPr>
          <w:i/>
          <w:iCs/>
          <w:color w:val="6b7280"/>
          <w:sz w:val="16"/>
          <w:szCs w:val="16"/>
        </w:rPr>
        <w:t xml:space="preserve">This never computes a ratio and misuses the condition.</w:t>
      </w:r>
    </w:p>
    <w:p>
      <w:pPr>
        <w:spacing w:before="50" w:after="100"/>
      </w:pPr>
      <w:r>
        <w:rPr>
          <w:b/>
          <w:bCs/>
          <w:color w:val="1e40af"/>
          <w:sz w:val="18"/>
          <w:szCs w:val="18"/>
        </w:rPr>
        <w:t xml:space="preserve">Rationale: </w:t>
      </w:r>
      <w:r>
        <w:rPr>
          <w:i/>
          <w:iCs/>
          <w:color w:val="1e40af"/>
          <w:sz w:val="18"/>
          <w:szCs w:val="18"/>
        </w:rPr>
        <w:t xml:space="preserve">IFERROR around the division safely returns a defined value (e.g., 0) when income is zero or blank, eliminating #DIV/0! while preserving correct ratios otherwise. The raw division (A) breaks on zero income. C substitutes the numerator, not the ratio. D does not calculate a rate at all. Robust error handling improves template reliability for client use.</w:t>
      </w:r>
    </w:p>
    <w:p>
      <w:pPr>
        <w:spacing w:before="150" w:after="50"/>
      </w:pPr>
      <w:r>
        <w:rPr>
          <w:b/>
          <w:bCs/>
          <w:sz w:val="22"/>
          <w:szCs w:val="22"/>
        </w:rPr>
        <w:t xml:space="preserve">Question 14</w:t>
      </w:r>
      <w:r>
        <w:rPr>
          <w:i/>
          <w:iCs/>
          <w:color w:val="6b7280"/>
          <w:sz w:val="16"/>
          <w:szCs w:val="16"/>
        </w:rPr>
        <w:t xml:space="preserve"> [analyse | medium | MLO: M1-LO3]</w:t>
      </w:r>
    </w:p>
    <w:p>
      <w:pPr>
        <w:spacing w:after="50"/>
      </w:pPr>
      <w:r>
        <w:rPr>
          <w:sz w:val="20"/>
          <w:szCs w:val="20"/>
        </w:rPr>
        <w:t xml:space="preserve">A colleague stores client budget files in a personal desktop folder then syncs them to the shared drive monthly. What is the primary compliance risk?</w:t>
      </w:r>
    </w:p>
    <w:p>
      <w:pPr>
        <w:spacing w:after="20"/>
      </w:pPr>
      <w:r>
        <w:rPr>
          <w:b w:val="false"/>
          <w:bCs w:val="false"/>
          <w:color w:val="374151"/>
          <w:sz w:val="18"/>
          <w:szCs w:val="18"/>
        </w:rPr>
        <w:t xml:space="preserve">A. Excessive file compression reduces quality</w:t>
      </w:r>
      <w:r>
        <w:t xml:space="preserve"/>
      </w:r>
    </w:p>
    <w:p>
      <w:pPr>
        <w:spacing w:after="10"/>
      </w:pPr>
      <w:r>
        <w:rPr>
          <w:i/>
          <w:iCs/>
          <w:color w:val="6b7280"/>
          <w:sz w:val="16"/>
          <w:szCs w:val="16"/>
        </w:rPr>
        <w:t xml:space="preserve">   Explanation: </w:t>
      </w:r>
      <w:r>
        <w:rPr>
          <w:i/>
          <w:iCs/>
          <w:color w:val="6b7280"/>
          <w:sz w:val="16"/>
          <w:szCs w:val="16"/>
        </w:rPr>
        <w:t xml:space="preserve">Compression quality is not the main compliance issue here.</w:t>
      </w:r>
    </w:p>
    <w:p>
      <w:pPr>
        <w:spacing w:after="20"/>
      </w:pPr>
      <w:r>
        <w:rPr>
          <w:b/>
          <w:bCs/>
          <w:color w:val="16a34a"/>
          <w:sz w:val="18"/>
          <w:szCs w:val="18"/>
        </w:rPr>
        <w:t xml:space="preserve">B. Lack of central access control and incomplete audit trail</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Local storage delays central records, weakens access control, and impairs auditability.</w:t>
      </w:r>
    </w:p>
    <w:p>
      <w:pPr>
        <w:spacing w:after="20"/>
      </w:pPr>
      <w:r>
        <w:rPr>
          <w:b w:val="false"/>
          <w:bCs w:val="false"/>
          <w:color w:val="374151"/>
          <w:sz w:val="18"/>
          <w:szCs w:val="18"/>
        </w:rPr>
        <w:t xml:space="preserve">C. File names cannot include dates on desktops</w:t>
      </w:r>
      <w:r>
        <w:t xml:space="preserve"/>
      </w:r>
    </w:p>
    <w:p>
      <w:pPr>
        <w:spacing w:after="10"/>
      </w:pPr>
      <w:r>
        <w:rPr>
          <w:i/>
          <w:iCs/>
          <w:color w:val="6b7280"/>
          <w:sz w:val="16"/>
          <w:szCs w:val="16"/>
        </w:rPr>
        <w:t xml:space="preserve">   Explanation: </w:t>
      </w:r>
      <w:r>
        <w:rPr>
          <w:i/>
          <w:iCs/>
          <w:color w:val="6b7280"/>
          <w:sz w:val="16"/>
          <w:szCs w:val="16"/>
        </w:rPr>
        <w:t xml:space="preserve">Filenames can include dates regardless of storage location.</w:t>
      </w:r>
    </w:p>
    <w:p>
      <w:pPr>
        <w:spacing w:after="20"/>
      </w:pPr>
      <w:r>
        <w:rPr>
          <w:b w:val="false"/>
          <w:bCs w:val="false"/>
          <w:color w:val="374151"/>
          <w:sz w:val="18"/>
          <w:szCs w:val="18"/>
        </w:rPr>
        <w:t xml:space="preserve">D. Version numbers are not allowed in local folders</w:t>
      </w:r>
      <w:r>
        <w:t xml:space="preserve"/>
      </w:r>
    </w:p>
    <w:p>
      <w:pPr>
        <w:spacing w:after="10"/>
      </w:pPr>
      <w:r>
        <w:rPr>
          <w:i/>
          <w:iCs/>
          <w:color w:val="6b7280"/>
          <w:sz w:val="16"/>
          <w:szCs w:val="16"/>
        </w:rPr>
        <w:t xml:space="preserve">   Explanation: </w:t>
      </w:r>
      <w:r>
        <w:rPr>
          <w:i/>
          <w:iCs/>
          <w:color w:val="6b7280"/>
          <w:sz w:val="16"/>
          <w:szCs w:val="16"/>
        </w:rPr>
        <w:t xml:space="preserve">Versioning is possible anywhere; the issue is governance, not capability.</w:t>
      </w:r>
    </w:p>
    <w:p>
      <w:pPr>
        <w:spacing w:before="50" w:after="100"/>
      </w:pPr>
      <w:r>
        <w:rPr>
          <w:b/>
          <w:bCs/>
          <w:color w:val="1e40af"/>
          <w:sz w:val="18"/>
          <w:szCs w:val="18"/>
        </w:rPr>
        <w:t xml:space="preserve">Rationale: </w:t>
      </w:r>
      <w:r>
        <w:rPr>
          <w:i/>
          <w:iCs/>
          <w:color w:val="1e40af"/>
          <w:sz w:val="18"/>
          <w:szCs w:val="18"/>
        </w:rPr>
        <w:t xml:space="preserve">Storing client files locally undermines central access control, retention, and audit trails, and increases data loss/leakage risks. The key compliance concern is governance and security, not file formatting. A is irrelevant to compliance. C and D are incorrect constraints. Organisations should mandate timely saving to the controlled repository with appropriate permissions.</w:t>
      </w:r>
    </w:p>
    <w:p>
      <w:pPr>
        <w:spacing w:before="150" w:after="50"/>
      </w:pPr>
      <w:r>
        <w:rPr>
          <w:b/>
          <w:bCs/>
          <w:sz w:val="22"/>
          <w:szCs w:val="22"/>
        </w:rPr>
        <w:t xml:space="preserve">Question 15</w:t>
      </w:r>
      <w:r>
        <w:rPr>
          <w:i/>
          <w:iCs/>
          <w:color w:val="6b7280"/>
          <w:sz w:val="16"/>
          <w:szCs w:val="16"/>
        </w:rPr>
        <w:t xml:space="preserve"> [apply | easy | MLO: M1-LO1]</w:t>
      </w:r>
    </w:p>
    <w:p>
      <w:pPr>
        <w:spacing w:after="50"/>
      </w:pPr>
      <w:r>
        <w:rPr>
          <w:sz w:val="20"/>
          <w:szCs w:val="20"/>
        </w:rPr>
        <w:t xml:space="preserve">You need the month name from a transaction date in A2 to summarise spending by month. Which formula reliably returns the full month name?</w:t>
      </w:r>
    </w:p>
    <w:p>
      <w:pPr>
        <w:spacing w:after="20"/>
      </w:pPr>
      <w:r>
        <w:rPr>
          <w:b/>
          <w:bCs/>
          <w:color w:val="16a34a"/>
          <w:sz w:val="18"/>
          <w:szCs w:val="18"/>
        </w:rPr>
        <w:t xml:space="preserve">A. =TEXT(A2,"mmmm")</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TEXT with "mmmm" formats the date as the full month name.</w:t>
      </w:r>
    </w:p>
    <w:p>
      <w:pPr>
        <w:spacing w:after="20"/>
      </w:pPr>
      <w:r>
        <w:rPr>
          <w:b w:val="false"/>
          <w:bCs w:val="false"/>
          <w:color w:val="374151"/>
          <w:sz w:val="18"/>
          <w:szCs w:val="18"/>
        </w:rPr>
        <w:t xml:space="preserve">B. =MONTH(A2)</w:t>
      </w:r>
      <w:r>
        <w:t xml:space="preserve"/>
      </w:r>
    </w:p>
    <w:p>
      <w:pPr>
        <w:spacing w:after="10"/>
      </w:pPr>
      <w:r>
        <w:rPr>
          <w:i/>
          <w:iCs/>
          <w:color w:val="6b7280"/>
          <w:sz w:val="16"/>
          <w:szCs w:val="16"/>
        </w:rPr>
        <w:t xml:space="preserve">   Explanation: </w:t>
      </w:r>
      <w:r>
        <w:rPr>
          <w:i/>
          <w:iCs/>
          <w:color w:val="6b7280"/>
          <w:sz w:val="16"/>
          <w:szCs w:val="16"/>
        </w:rPr>
        <w:t xml:space="preserve">MONTH returns a number 1–12, not the name.</w:t>
      </w:r>
    </w:p>
    <w:p>
      <w:pPr>
        <w:spacing w:after="20"/>
      </w:pPr>
      <w:r>
        <w:rPr>
          <w:b w:val="false"/>
          <w:bCs w:val="false"/>
          <w:color w:val="374151"/>
          <w:sz w:val="18"/>
          <w:szCs w:val="18"/>
        </w:rPr>
        <w:t xml:space="preserve">C. =DATE(A2)</w:t>
      </w:r>
      <w:r>
        <w:t xml:space="preserve"/>
      </w:r>
    </w:p>
    <w:p>
      <w:pPr>
        <w:spacing w:after="10"/>
      </w:pPr>
      <w:r>
        <w:rPr>
          <w:i/>
          <w:iCs/>
          <w:color w:val="6b7280"/>
          <w:sz w:val="16"/>
          <w:szCs w:val="16"/>
        </w:rPr>
        <w:t xml:space="preserve">   Explanation: </w:t>
      </w:r>
      <w:r>
        <w:rPr>
          <w:i/>
          <w:iCs/>
          <w:color w:val="6b7280"/>
          <w:sz w:val="16"/>
          <w:szCs w:val="16"/>
        </w:rPr>
        <w:t xml:space="preserve">DATE constructs a date from year, month, day; it does not extract a name.</w:t>
      </w:r>
    </w:p>
    <w:p>
      <w:pPr>
        <w:spacing w:after="20"/>
      </w:pPr>
      <w:r>
        <w:rPr>
          <w:b w:val="false"/>
          <w:bCs w:val="false"/>
          <w:color w:val="374151"/>
          <w:sz w:val="18"/>
          <w:szCs w:val="18"/>
        </w:rPr>
        <w:t xml:space="preserve">D. =WEEKDAY(A2)</w:t>
      </w:r>
      <w:r>
        <w:t xml:space="preserve"/>
      </w:r>
    </w:p>
    <w:p>
      <w:pPr>
        <w:spacing w:after="10"/>
      </w:pPr>
      <w:r>
        <w:rPr>
          <w:i/>
          <w:iCs/>
          <w:color w:val="6b7280"/>
          <w:sz w:val="16"/>
          <w:szCs w:val="16"/>
        </w:rPr>
        <w:t xml:space="preserve">   Explanation: </w:t>
      </w:r>
      <w:r>
        <w:rPr>
          <w:i/>
          <w:iCs/>
          <w:color w:val="6b7280"/>
          <w:sz w:val="16"/>
          <w:szCs w:val="16"/>
        </w:rPr>
        <w:t xml:space="preserve">WEEKDAY returns day-of-week index, not the month.</w:t>
      </w:r>
    </w:p>
    <w:p>
      <w:pPr>
        <w:spacing w:before="50" w:after="100"/>
      </w:pPr>
      <w:r>
        <w:rPr>
          <w:b/>
          <w:bCs/>
          <w:color w:val="1e40af"/>
          <w:sz w:val="18"/>
          <w:szCs w:val="18"/>
        </w:rPr>
        <w:t xml:space="preserve">Rationale: </w:t>
      </w:r>
      <w:r>
        <w:rPr>
          <w:i/>
          <w:iCs/>
          <w:color w:val="1e40af"/>
          <w:sz w:val="18"/>
          <w:szCs w:val="18"/>
        </w:rPr>
        <w:t xml:space="preserve">TEXT(A2, "mmmm") is the standard way to display a date’s month as a full name for grouping labels. MONTH(A2) provides a numeric month. DATE(A2) is misused. WEEKDAY returns a number for day of week. Converting dates to readable labels helps users interpret budget summaries and charts.</w:t>
      </w:r>
    </w:p>
    <w:p>
      <w:pPr>
        <w:spacing w:before="150" w:after="50"/>
      </w:pPr>
      <w:r>
        <w:rPr>
          <w:b/>
          <w:bCs/>
          <w:sz w:val="22"/>
          <w:szCs w:val="22"/>
        </w:rPr>
        <w:t xml:space="preserve">Question 16</w:t>
      </w:r>
      <w:r>
        <w:rPr>
          <w:i/>
          <w:iCs/>
          <w:color w:val="6b7280"/>
          <w:sz w:val="16"/>
          <w:szCs w:val="16"/>
        </w:rPr>
        <w:t xml:space="preserve"> [apply | medium | MLO: M1-LO3]</w:t>
      </w:r>
    </w:p>
    <w:p>
      <w:pPr>
        <w:spacing w:after="50"/>
      </w:pPr>
      <w:r>
        <w:rPr>
          <w:sz w:val="20"/>
          <w:szCs w:val="20"/>
        </w:rPr>
        <w:t xml:space="preserve">Your chart summarising monthly income and expenses looks cluttered. Which visual change most improves clarity for a client?</w:t>
      </w:r>
    </w:p>
    <w:p>
      <w:pPr>
        <w:spacing w:after="20"/>
      </w:pPr>
      <w:r>
        <w:rPr>
          <w:b w:val="false"/>
          <w:bCs w:val="false"/>
          <w:color w:val="374151"/>
          <w:sz w:val="18"/>
          <w:szCs w:val="18"/>
        </w:rPr>
        <w:t xml:space="preserve">A. Add data labels for every point and series</w:t>
      </w:r>
      <w:r>
        <w:t xml:space="preserve"/>
      </w:r>
    </w:p>
    <w:p>
      <w:pPr>
        <w:spacing w:after="10"/>
      </w:pPr>
      <w:r>
        <w:rPr>
          <w:i/>
          <w:iCs/>
          <w:color w:val="6b7280"/>
          <w:sz w:val="16"/>
          <w:szCs w:val="16"/>
        </w:rPr>
        <w:t xml:space="preserve">   Explanation: </w:t>
      </w:r>
      <w:r>
        <w:rPr>
          <w:i/>
          <w:iCs/>
          <w:color w:val="6b7280"/>
          <w:sz w:val="16"/>
          <w:szCs w:val="16"/>
        </w:rPr>
        <w:t xml:space="preserve">Over-labelling increases clutter and reduces readability.</w:t>
      </w:r>
    </w:p>
    <w:p>
      <w:pPr>
        <w:spacing w:after="20"/>
      </w:pPr>
      <w:r>
        <w:rPr>
          <w:b/>
          <w:bCs/>
          <w:color w:val="16a34a"/>
          <w:sz w:val="18"/>
          <w:szCs w:val="18"/>
        </w:rPr>
        <w:t xml:space="preserve">B. Use a clustered column chart with a clear legend and monthly axis</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A simple column chart comparing income vs expenses by month is intuitive.</w:t>
      </w:r>
    </w:p>
    <w:p>
      <w:pPr>
        <w:spacing w:after="20"/>
      </w:pPr>
      <w:r>
        <w:rPr>
          <w:b w:val="false"/>
          <w:bCs w:val="false"/>
          <w:color w:val="374151"/>
          <w:sz w:val="18"/>
          <w:szCs w:val="18"/>
        </w:rPr>
        <w:t xml:space="preserve">C. Switch to 3D with gradients and shadows</w:t>
      </w:r>
      <w:r>
        <w:t xml:space="preserve"/>
      </w:r>
    </w:p>
    <w:p>
      <w:pPr>
        <w:spacing w:after="10"/>
      </w:pPr>
      <w:r>
        <w:rPr>
          <w:i/>
          <w:iCs/>
          <w:color w:val="6b7280"/>
          <w:sz w:val="16"/>
          <w:szCs w:val="16"/>
        </w:rPr>
        <w:t xml:space="preserve">   Explanation: </w:t>
      </w:r>
      <w:r>
        <w:rPr>
          <w:i/>
          <w:iCs/>
          <w:color w:val="6b7280"/>
          <w:sz w:val="16"/>
          <w:szCs w:val="16"/>
        </w:rPr>
        <w:t xml:space="preserve">3D effects hinder accurate comparison and add noise.</w:t>
      </w:r>
    </w:p>
    <w:p>
      <w:pPr>
        <w:spacing w:after="20"/>
      </w:pPr>
      <w:r>
        <w:rPr>
          <w:b w:val="false"/>
          <w:bCs w:val="false"/>
          <w:color w:val="374151"/>
          <w:sz w:val="18"/>
          <w:szCs w:val="18"/>
        </w:rPr>
        <w:t xml:space="preserve">D. Randomise colours for each month and series</w:t>
      </w:r>
      <w:r>
        <w:t xml:space="preserve"/>
      </w:r>
    </w:p>
    <w:p>
      <w:pPr>
        <w:spacing w:after="10"/>
      </w:pPr>
      <w:r>
        <w:rPr>
          <w:i/>
          <w:iCs/>
          <w:color w:val="6b7280"/>
          <w:sz w:val="16"/>
          <w:szCs w:val="16"/>
        </w:rPr>
        <w:t xml:space="preserve">   Explanation: </w:t>
      </w:r>
      <w:r>
        <w:rPr>
          <w:i/>
          <w:iCs/>
          <w:color w:val="6b7280"/>
          <w:sz w:val="16"/>
          <w:szCs w:val="16"/>
        </w:rPr>
        <w:t xml:space="preserve">Random colours reduce consistency and comprehension.</w:t>
      </w:r>
    </w:p>
    <w:p>
      <w:pPr>
        <w:spacing w:before="50" w:after="100"/>
      </w:pPr>
      <w:r>
        <w:rPr>
          <w:b/>
          <w:bCs/>
          <w:color w:val="1e40af"/>
          <w:sz w:val="18"/>
          <w:szCs w:val="18"/>
        </w:rPr>
        <w:t xml:space="preserve">Rationale: </w:t>
      </w:r>
      <w:r>
        <w:rPr>
          <w:i/>
          <w:iCs/>
          <w:color w:val="1e40af"/>
          <w:sz w:val="18"/>
          <w:szCs w:val="18"/>
        </w:rPr>
        <w:t xml:space="preserve">For budget comparisons, a simple clustered column chart with consistent colours and a clear legend supports quick interpretation. Excessive labels (A) or 3D effects (C) add clutter and distort perception. Random colours (D) harm consistency. Clear, minimal design helps clients understand cashflow at a glance.</w:t>
      </w:r>
    </w:p>
    <w:p>
      <w:pPr>
        <w:spacing w:before="150" w:after="50"/>
      </w:pPr>
      <w:r>
        <w:rPr>
          <w:b/>
          <w:bCs/>
          <w:sz w:val="22"/>
          <w:szCs w:val="22"/>
        </w:rPr>
        <w:t xml:space="preserve">Question 17</w:t>
      </w:r>
      <w:r>
        <w:rPr>
          <w:i/>
          <w:iCs/>
          <w:color w:val="6b7280"/>
          <w:sz w:val="16"/>
          <w:szCs w:val="16"/>
        </w:rPr>
        <w:t xml:space="preserve"> [understand | medium | MLO: M1-LO2]</w:t>
      </w:r>
    </w:p>
    <w:p>
      <w:pPr>
        <w:spacing w:after="50"/>
      </w:pPr>
      <w:r>
        <w:rPr>
          <w:sz w:val="20"/>
          <w:szCs w:val="20"/>
        </w:rPr>
        <w:t xml:space="preserve">A client confuses “interest rate” and “APR”. Which explanation corrects the misunderstanding in plain English?</w:t>
      </w:r>
    </w:p>
    <w:p>
      <w:pPr>
        <w:spacing w:after="20"/>
      </w:pPr>
      <w:r>
        <w:rPr>
          <w:b/>
          <w:bCs/>
          <w:color w:val="16a34a"/>
          <w:sz w:val="18"/>
          <w:szCs w:val="18"/>
        </w:rPr>
        <w:t xml:space="preserve">A. APR includes fees and compounding; rate is just the basic percentage</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APR reflects the yearly cost including certain fees and compounding; nominal rate is the stated percentage.</w:t>
      </w:r>
    </w:p>
    <w:p>
      <w:pPr>
        <w:spacing w:after="20"/>
      </w:pPr>
      <w:r>
        <w:rPr>
          <w:b w:val="false"/>
          <w:bCs w:val="false"/>
          <w:color w:val="374151"/>
          <w:sz w:val="18"/>
          <w:szCs w:val="18"/>
        </w:rPr>
        <w:t xml:space="preserve">B. APR is always lower than the interest rate</w:t>
      </w:r>
      <w:r>
        <w:t xml:space="preserve"/>
      </w:r>
    </w:p>
    <w:p>
      <w:pPr>
        <w:spacing w:after="10"/>
      </w:pPr>
      <w:r>
        <w:rPr>
          <w:i/>
          <w:iCs/>
          <w:color w:val="6b7280"/>
          <w:sz w:val="16"/>
          <w:szCs w:val="16"/>
        </w:rPr>
        <w:t xml:space="preserve">   Explanation: </w:t>
      </w:r>
      <w:r>
        <w:rPr>
          <w:i/>
          <w:iCs/>
          <w:color w:val="6b7280"/>
          <w:sz w:val="16"/>
          <w:szCs w:val="16"/>
        </w:rPr>
        <w:t xml:space="preserve">APR is typically higher when it includes fees, not lower.</w:t>
      </w:r>
    </w:p>
    <w:p>
      <w:pPr>
        <w:spacing w:after="20"/>
      </w:pPr>
      <w:r>
        <w:rPr>
          <w:b w:val="false"/>
          <w:bCs w:val="false"/>
          <w:color w:val="374151"/>
          <w:sz w:val="18"/>
          <w:szCs w:val="18"/>
        </w:rPr>
        <w:t xml:space="preserve">C. The interest rate includes all charges; APR excludes fees</w:t>
      </w:r>
      <w:r>
        <w:t xml:space="preserve"/>
      </w:r>
    </w:p>
    <w:p>
      <w:pPr>
        <w:spacing w:after="10"/>
      </w:pPr>
      <w:r>
        <w:rPr>
          <w:i/>
          <w:iCs/>
          <w:color w:val="6b7280"/>
          <w:sz w:val="16"/>
          <w:szCs w:val="16"/>
        </w:rPr>
        <w:t xml:space="preserve">   Explanation: </w:t>
      </w:r>
      <w:r>
        <w:rPr>
          <w:i/>
          <w:iCs/>
          <w:color w:val="6b7280"/>
          <w:sz w:val="16"/>
          <w:szCs w:val="16"/>
        </w:rPr>
        <w:t xml:space="preserve">This reverses the definitions and misleads clients.</w:t>
      </w:r>
    </w:p>
    <w:p>
      <w:pPr>
        <w:spacing w:after="20"/>
      </w:pPr>
      <w:r>
        <w:rPr>
          <w:b w:val="false"/>
          <w:bCs w:val="false"/>
          <w:color w:val="374151"/>
          <w:sz w:val="18"/>
          <w:szCs w:val="18"/>
        </w:rPr>
        <w:t xml:space="preserve">D. APR only applies to savings accounts, not loans</w:t>
      </w:r>
      <w:r>
        <w:t xml:space="preserve"/>
      </w:r>
    </w:p>
    <w:p>
      <w:pPr>
        <w:spacing w:after="10"/>
      </w:pPr>
      <w:r>
        <w:rPr>
          <w:i/>
          <w:iCs/>
          <w:color w:val="6b7280"/>
          <w:sz w:val="16"/>
          <w:szCs w:val="16"/>
        </w:rPr>
        <w:t xml:space="preserve">   Explanation: </w:t>
      </w:r>
      <w:r>
        <w:rPr>
          <w:i/>
          <w:iCs/>
          <w:color w:val="6b7280"/>
          <w:sz w:val="16"/>
          <w:szCs w:val="16"/>
        </w:rPr>
        <w:t xml:space="preserve">APR is commonly used for loans and credit to show annual cost.</w:t>
      </w:r>
    </w:p>
    <w:p>
      <w:pPr>
        <w:spacing w:before="50" w:after="100"/>
      </w:pPr>
      <w:r>
        <w:rPr>
          <w:b/>
          <w:bCs/>
          <w:color w:val="1e40af"/>
          <w:sz w:val="18"/>
          <w:szCs w:val="18"/>
        </w:rPr>
        <w:t xml:space="preserve">Rationale: </w:t>
      </w:r>
      <w:r>
        <w:rPr>
          <w:i/>
          <w:iCs/>
          <w:color w:val="1e40af"/>
          <w:sz w:val="18"/>
          <w:szCs w:val="18"/>
        </w:rPr>
        <w:t xml:space="preserve">APR aims to show the annual cost of borrowing including certain fees and compounding, while the nominal interest rate is the stated percentage not accounting for all costs. B and C invert the relationship. D misstates usage. Clear explanations support informed client decisions on credit and savings.</w:t>
      </w:r>
    </w:p>
    <w:p>
      <w:pPr>
        <w:spacing w:before="150" w:after="50"/>
      </w:pPr>
      <w:r>
        <w:rPr>
          <w:b/>
          <w:bCs/>
          <w:sz w:val="22"/>
          <w:szCs w:val="22"/>
        </w:rPr>
        <w:t xml:space="preserve">Question 18</w:t>
      </w:r>
      <w:r>
        <w:rPr>
          <w:i/>
          <w:iCs/>
          <w:color w:val="6b7280"/>
          <w:sz w:val="16"/>
          <w:szCs w:val="16"/>
        </w:rPr>
        <w:t xml:space="preserve"> [apply | hard | MLO: M1-LO1]</w:t>
      </w:r>
    </w:p>
    <w:p>
      <w:pPr>
        <w:spacing w:after="50"/>
      </w:pPr>
      <w:r>
        <w:rPr>
          <w:sz w:val="20"/>
          <w:szCs w:val="20"/>
        </w:rPr>
        <w:t xml:space="preserve">You are building a category mapping table to standardise bank transaction descriptions to budget categories. Which function best maps a transaction description in A2 using an exact match on a two-column table 'Map' (Description, Category)?</w:t>
      </w:r>
    </w:p>
    <w:p>
      <w:pPr>
        <w:spacing w:after="20"/>
      </w:pPr>
      <w:r>
        <w:rPr>
          <w:b w:val="false"/>
          <w:bCs w:val="false"/>
          <w:color w:val="374151"/>
          <w:sz w:val="18"/>
          <w:szCs w:val="18"/>
        </w:rPr>
        <w:t xml:space="preserve">A. =VLOOKUP(A2,Map,2,TRUE)</w:t>
      </w:r>
      <w:r>
        <w:t xml:space="preserve"/>
      </w:r>
    </w:p>
    <w:p>
      <w:pPr>
        <w:spacing w:after="10"/>
      </w:pPr>
      <w:r>
        <w:rPr>
          <w:i/>
          <w:iCs/>
          <w:color w:val="6b7280"/>
          <w:sz w:val="16"/>
          <w:szCs w:val="16"/>
        </w:rPr>
        <w:t xml:space="preserve">   Explanation: </w:t>
      </w:r>
      <w:r>
        <w:rPr>
          <w:i/>
          <w:iCs/>
          <w:color w:val="6b7280"/>
          <w:sz w:val="16"/>
          <w:szCs w:val="16"/>
        </w:rPr>
        <w:t xml:space="preserve">TRUE performs approximate match, risking misclassification.</w:t>
      </w:r>
    </w:p>
    <w:p>
      <w:pPr>
        <w:spacing w:after="20"/>
      </w:pPr>
      <w:r>
        <w:rPr>
          <w:b/>
          <w:bCs/>
          <w:color w:val="16a34a"/>
          <w:sz w:val="18"/>
          <w:szCs w:val="18"/>
        </w:rPr>
        <w:t xml:space="preserve">B. =INDEX(Map[Category],MATCH(A2,Map[Description],0))</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INDEX/MATCH with 0 finds an exact match and returns the mapped category.</w:t>
      </w:r>
    </w:p>
    <w:p>
      <w:pPr>
        <w:spacing w:after="20"/>
      </w:pPr>
      <w:r>
        <w:rPr>
          <w:b w:val="false"/>
          <w:bCs w:val="false"/>
          <w:color w:val="374151"/>
          <w:sz w:val="18"/>
          <w:szCs w:val="18"/>
        </w:rPr>
        <w:t xml:space="preserve">C. =SUMIF(Map[Description],A2,Map[Category])</w:t>
      </w:r>
      <w:r>
        <w:t xml:space="preserve"/>
      </w:r>
    </w:p>
    <w:p>
      <w:pPr>
        <w:spacing w:after="10"/>
      </w:pPr>
      <w:r>
        <w:rPr>
          <w:i/>
          <w:iCs/>
          <w:color w:val="6b7280"/>
          <w:sz w:val="16"/>
          <w:szCs w:val="16"/>
        </w:rPr>
        <w:t xml:space="preserve">   Explanation: </w:t>
      </w:r>
      <w:r>
        <w:rPr>
          <w:i/>
          <w:iCs/>
          <w:color w:val="6b7280"/>
          <w:sz w:val="16"/>
          <w:szCs w:val="16"/>
        </w:rPr>
        <w:t xml:space="preserve">SUMIF sums numbers; categories are text labels.</w:t>
      </w:r>
    </w:p>
    <w:p>
      <w:pPr>
        <w:spacing w:after="20"/>
      </w:pPr>
      <w:r>
        <w:rPr>
          <w:b w:val="false"/>
          <w:bCs w:val="false"/>
          <w:color w:val="374151"/>
          <w:sz w:val="18"/>
          <w:szCs w:val="18"/>
        </w:rPr>
        <w:t xml:space="preserve">D. =LEFT(A2,5)</w:t>
      </w:r>
      <w:r>
        <w:t xml:space="preserve"/>
      </w:r>
    </w:p>
    <w:p>
      <w:pPr>
        <w:spacing w:after="10"/>
      </w:pPr>
      <w:r>
        <w:rPr>
          <w:i/>
          <w:iCs/>
          <w:color w:val="6b7280"/>
          <w:sz w:val="16"/>
          <w:szCs w:val="16"/>
        </w:rPr>
        <w:t xml:space="preserve">   Explanation: </w:t>
      </w:r>
      <w:r>
        <w:rPr>
          <w:i/>
          <w:iCs/>
          <w:color w:val="6b7280"/>
          <w:sz w:val="16"/>
          <w:szCs w:val="16"/>
        </w:rPr>
        <w:t xml:space="preserve">Extracting characters does not map to a category.</w:t>
      </w:r>
    </w:p>
    <w:p>
      <w:pPr>
        <w:spacing w:before="50" w:after="100"/>
      </w:pPr>
      <w:r>
        <w:rPr>
          <w:b/>
          <w:bCs/>
          <w:color w:val="1e40af"/>
          <w:sz w:val="18"/>
          <w:szCs w:val="18"/>
        </w:rPr>
        <w:t xml:space="preserve">Rationale: </w:t>
      </w:r>
      <w:r>
        <w:rPr>
          <w:i/>
          <w:iCs/>
          <w:color w:val="1e40af"/>
          <w:sz w:val="18"/>
          <w:szCs w:val="18"/>
        </w:rPr>
        <w:t xml:space="preserve">INDEX/MATCH with a match_type of 0 enforces exact matching and returns the corresponding category from the mapping table. VLOOKUP with TRUE uses approximate matching and can misclassify. SUMIF aggregates numerics and is not appropriate for text lookups. LEFT merely truncates text. Accurate mapping underpins reliable category summaries.</w:t>
      </w:r>
    </w:p>
    <w:p>
      <w:pPr>
        <w:spacing w:before="150" w:after="50"/>
      </w:pPr>
      <w:r>
        <w:rPr>
          <w:b/>
          <w:bCs/>
          <w:sz w:val="22"/>
          <w:szCs w:val="22"/>
        </w:rPr>
        <w:t xml:space="preserve">Question 19</w:t>
      </w:r>
      <w:r>
        <w:rPr>
          <w:i/>
          <w:iCs/>
          <w:color w:val="6b7280"/>
          <w:sz w:val="16"/>
          <w:szCs w:val="16"/>
        </w:rPr>
        <w:t xml:space="preserve"> [analyse | hard | MLO: M1-LO1]</w:t>
      </w:r>
    </w:p>
    <w:p>
      <w:pPr>
        <w:spacing w:after="50"/>
      </w:pPr>
      <w:r>
        <w:rPr>
          <w:sz w:val="20"/>
          <w:szCs w:val="20"/>
        </w:rPr>
        <w:t xml:space="preserve">Your monthly budget template contains an Inputs sheet and a Calculations sheet. Which practice best supports auditability and error tracing?</w:t>
      </w:r>
    </w:p>
    <w:p>
      <w:pPr>
        <w:spacing w:after="20"/>
      </w:pPr>
      <w:r>
        <w:rPr>
          <w:b w:val="false"/>
          <w:bCs w:val="false"/>
          <w:color w:val="374151"/>
          <w:sz w:val="18"/>
          <w:szCs w:val="18"/>
        </w:rPr>
        <w:t xml:space="preserve">A. Hard-code tax rates into formulas for speed</w:t>
      </w:r>
      <w:r>
        <w:t xml:space="preserve"/>
      </w:r>
    </w:p>
    <w:p>
      <w:pPr>
        <w:spacing w:after="10"/>
      </w:pPr>
      <w:r>
        <w:rPr>
          <w:i/>
          <w:iCs/>
          <w:color w:val="6b7280"/>
          <w:sz w:val="16"/>
          <w:szCs w:val="16"/>
        </w:rPr>
        <w:t xml:space="preserve">   Explanation: </w:t>
      </w:r>
      <w:r>
        <w:rPr>
          <w:i/>
          <w:iCs/>
          <w:color w:val="6b7280"/>
          <w:sz w:val="16"/>
          <w:szCs w:val="16"/>
        </w:rPr>
        <w:t xml:space="preserve">Hard-coding hides assumptions and complicates updates.</w:t>
      </w:r>
    </w:p>
    <w:p>
      <w:pPr>
        <w:spacing w:after="20"/>
      </w:pPr>
      <w:r>
        <w:rPr>
          <w:b/>
          <w:bCs/>
          <w:color w:val="16a34a"/>
          <w:sz w:val="18"/>
          <w:szCs w:val="18"/>
        </w:rPr>
        <w:t xml:space="preserve">B. Reference named input cells for rates and assumptions</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Named inputs centralise assumptions and make formulas readable and maintainable.</w:t>
      </w:r>
    </w:p>
    <w:p>
      <w:pPr>
        <w:spacing w:after="20"/>
      </w:pPr>
      <w:r>
        <w:rPr>
          <w:b w:val="false"/>
          <w:bCs w:val="false"/>
          <w:color w:val="374151"/>
          <w:sz w:val="18"/>
          <w:szCs w:val="18"/>
        </w:rPr>
        <w:t xml:space="preserve">C. Replace intermediate steps with a single long formula</w:t>
      </w:r>
      <w:r>
        <w:t xml:space="preserve"/>
      </w:r>
    </w:p>
    <w:p>
      <w:pPr>
        <w:spacing w:after="10"/>
      </w:pPr>
      <w:r>
        <w:rPr>
          <w:i/>
          <w:iCs/>
          <w:color w:val="6b7280"/>
          <w:sz w:val="16"/>
          <w:szCs w:val="16"/>
        </w:rPr>
        <w:t xml:space="preserve">   Explanation: </w:t>
      </w:r>
      <w:r>
        <w:rPr>
          <w:i/>
          <w:iCs/>
          <w:color w:val="6b7280"/>
          <w:sz w:val="16"/>
          <w:szCs w:val="16"/>
        </w:rPr>
        <w:t xml:space="preserve">Overly complex formulas reduce transparency and increase error risk.</w:t>
      </w:r>
    </w:p>
    <w:p>
      <w:pPr>
        <w:spacing w:after="20"/>
      </w:pPr>
      <w:r>
        <w:rPr>
          <w:b w:val="false"/>
          <w:bCs w:val="false"/>
          <w:color w:val="374151"/>
          <w:sz w:val="18"/>
          <w:szCs w:val="18"/>
        </w:rPr>
        <w:t xml:space="preserve">D. Hide the Inputs sheet to prevent edits</w:t>
      </w:r>
      <w:r>
        <w:t xml:space="preserve"/>
      </w:r>
    </w:p>
    <w:p>
      <w:pPr>
        <w:spacing w:after="10"/>
      </w:pPr>
      <w:r>
        <w:rPr>
          <w:i/>
          <w:iCs/>
          <w:color w:val="6b7280"/>
          <w:sz w:val="16"/>
          <w:szCs w:val="16"/>
        </w:rPr>
        <w:t xml:space="preserve">   Explanation: </w:t>
      </w:r>
      <w:r>
        <w:rPr>
          <w:i/>
          <w:iCs/>
          <w:color w:val="6b7280"/>
          <w:sz w:val="16"/>
          <w:szCs w:val="16"/>
        </w:rPr>
        <w:t xml:space="preserve">Hiding reduces transparency; protection is better than hiding.</w:t>
      </w:r>
    </w:p>
    <w:p>
      <w:pPr>
        <w:spacing w:before="50" w:after="100"/>
      </w:pPr>
      <w:r>
        <w:rPr>
          <w:b/>
          <w:bCs/>
          <w:color w:val="1e40af"/>
          <w:sz w:val="18"/>
          <w:szCs w:val="18"/>
        </w:rPr>
        <w:t xml:space="preserve">Rationale: </w:t>
      </w:r>
      <w:r>
        <w:rPr>
          <w:i/>
          <w:iCs/>
          <w:color w:val="1e40af"/>
          <w:sz w:val="18"/>
          <w:szCs w:val="18"/>
        </w:rPr>
        <w:t xml:space="preserve">Named inputs keep assumptions central and readable in formulas, improving auditability and updates. Hard-coding (A) obscures parameters. One long formula (C) reduces transparency and hinders debugging. Hiding inputs (D) reduces visibility; better to protect inputs appropriately. Good modelling discipline enhances reliability of client-facing tools.</w:t>
      </w:r>
    </w:p>
    <w:p>
      <w:pPr>
        <w:spacing w:before="150" w:after="50"/>
      </w:pPr>
      <w:r>
        <w:rPr>
          <w:b/>
          <w:bCs/>
          <w:sz w:val="22"/>
          <w:szCs w:val="22"/>
        </w:rPr>
        <w:t xml:space="preserve">Question 20</w:t>
      </w:r>
      <w:r>
        <w:rPr>
          <w:i/>
          <w:iCs/>
          <w:color w:val="6b7280"/>
          <w:sz w:val="16"/>
          <w:szCs w:val="16"/>
        </w:rPr>
        <w:t xml:space="preserve"> [apply | medium | MLO: M1-LO3]</w:t>
      </w:r>
    </w:p>
    <w:p>
      <w:pPr>
        <w:spacing w:after="50"/>
      </w:pPr>
      <w:r>
        <w:rPr>
          <w:sz w:val="20"/>
          <w:szCs w:val="20"/>
        </w:rPr>
        <w:t xml:space="preserve">A junior saves KIDs and factsheets on a public desktop with filenames like “Doc1.pdf”. Which immediate corrective action is most appropriate?</w:t>
      </w:r>
    </w:p>
    <w:p>
      <w:pPr>
        <w:spacing w:after="20"/>
      </w:pPr>
      <w:r>
        <w:rPr>
          <w:b w:val="false"/>
          <w:bCs w:val="false"/>
          <w:color w:val="374151"/>
          <w:sz w:val="18"/>
          <w:szCs w:val="18"/>
        </w:rPr>
        <w:t xml:space="preserve">A. Compress the files to reduce size</w:t>
      </w:r>
      <w:r>
        <w:t xml:space="preserve"/>
      </w:r>
    </w:p>
    <w:p>
      <w:pPr>
        <w:spacing w:after="10"/>
      </w:pPr>
      <w:r>
        <w:rPr>
          <w:i/>
          <w:iCs/>
          <w:color w:val="6b7280"/>
          <w:sz w:val="16"/>
          <w:szCs w:val="16"/>
        </w:rPr>
        <w:t xml:space="preserve">   Explanation: </w:t>
      </w:r>
      <w:r>
        <w:rPr>
          <w:i/>
          <w:iCs/>
          <w:color w:val="6b7280"/>
          <w:sz w:val="16"/>
          <w:szCs w:val="16"/>
        </w:rPr>
        <w:t xml:space="preserve">File size is not the primary issue; storage location and naming are.</w:t>
      </w:r>
    </w:p>
    <w:p>
      <w:pPr>
        <w:spacing w:after="20"/>
      </w:pPr>
      <w:r>
        <w:rPr>
          <w:b/>
          <w:bCs/>
          <w:color w:val="16a34a"/>
          <w:sz w:val="18"/>
          <w:szCs w:val="18"/>
        </w:rPr>
        <w:t xml:space="preserve">B. Move to the secure client repository and rename per convention</w:t>
      </w:r>
      <w:r>
        <w:rPr>
          <w:color w:val="16a34a"/>
          <w:sz w:val="16"/>
          <w:szCs w:val="16"/>
        </w:rPr>
        <w:t xml:space="preserve"> ✓ (Correct)</w:t>
      </w:r>
    </w:p>
    <w:p>
      <w:pPr>
        <w:spacing w:after="10"/>
      </w:pPr>
      <w:r>
        <w:rPr>
          <w:i/>
          <w:iCs/>
          <w:color w:val="6b7280"/>
          <w:sz w:val="16"/>
          <w:szCs w:val="16"/>
        </w:rPr>
        <w:t xml:space="preserve">   Explanation: </w:t>
      </w:r>
      <w:r>
        <w:rPr>
          <w:i/>
          <w:iCs/>
          <w:color w:val="6b7280"/>
          <w:sz w:val="16"/>
          <w:szCs w:val="16"/>
        </w:rPr>
        <w:t xml:space="preserve">Relocate to controlled storage and apply compliant naming for traceability.</w:t>
      </w:r>
    </w:p>
    <w:p>
      <w:pPr>
        <w:spacing w:after="20"/>
      </w:pPr>
      <w:r>
        <w:rPr>
          <w:b w:val="false"/>
          <w:bCs w:val="false"/>
          <w:color w:val="374151"/>
          <w:sz w:val="18"/>
          <w:szCs w:val="18"/>
        </w:rPr>
        <w:t xml:space="preserve">C. Email the documents to all advisers for safekeeping</w:t>
      </w:r>
      <w:r>
        <w:t xml:space="preserve"/>
      </w:r>
    </w:p>
    <w:p>
      <w:pPr>
        <w:spacing w:after="10"/>
      </w:pPr>
      <w:r>
        <w:rPr>
          <w:i/>
          <w:iCs/>
          <w:color w:val="6b7280"/>
          <w:sz w:val="16"/>
          <w:szCs w:val="16"/>
        </w:rPr>
        <w:t xml:space="preserve">   Explanation: </w:t>
      </w:r>
      <w:r>
        <w:rPr>
          <w:i/>
          <w:iCs/>
          <w:color w:val="6b7280"/>
          <w:sz w:val="16"/>
          <w:szCs w:val="16"/>
        </w:rPr>
        <w:t xml:space="preserve">Emailing proliferates copies and increases leakage risk.</w:t>
      </w:r>
    </w:p>
    <w:p>
      <w:pPr>
        <w:spacing w:after="20"/>
      </w:pPr>
      <w:r>
        <w:rPr>
          <w:b w:val="false"/>
          <w:bCs w:val="false"/>
          <w:color w:val="374151"/>
          <w:sz w:val="18"/>
          <w:szCs w:val="18"/>
        </w:rPr>
        <w:t xml:space="preserve">D. Delete all files to avoid compliance breaches</w:t>
      </w:r>
      <w:r>
        <w:t xml:space="preserve"/>
      </w:r>
    </w:p>
    <w:p>
      <w:pPr>
        <w:spacing w:after="10"/>
      </w:pPr>
      <w:r>
        <w:rPr>
          <w:i/>
          <w:iCs/>
          <w:color w:val="6b7280"/>
          <w:sz w:val="16"/>
          <w:szCs w:val="16"/>
        </w:rPr>
        <w:t xml:space="preserve">   Explanation: </w:t>
      </w:r>
      <w:r>
        <w:rPr>
          <w:i/>
          <w:iCs/>
          <w:color w:val="6b7280"/>
          <w:sz w:val="16"/>
          <w:szCs w:val="16"/>
        </w:rPr>
        <w:t xml:space="preserve">Deletion risks record-keeping breaches; retain properly in the right location.</w:t>
      </w:r>
    </w:p>
    <w:p>
      <w:pPr>
        <w:spacing w:before="50" w:after="100"/>
      </w:pPr>
      <w:r>
        <w:rPr>
          <w:b/>
          <w:bCs/>
          <w:color w:val="1e40af"/>
          <w:sz w:val="18"/>
          <w:szCs w:val="18"/>
        </w:rPr>
        <w:t xml:space="preserve">Rationale: </w:t>
      </w:r>
      <w:r>
        <w:rPr>
          <w:i/>
          <w:iCs/>
          <w:color w:val="1e40af"/>
          <w:sz w:val="18"/>
          <w:szCs w:val="18"/>
        </w:rPr>
        <w:t xml:space="preserve">The priority is to place documents in the secure, access-controlled repository and rename using the approved convention for auditability (client ID, doc type, date, version). Compression (A) is irrelevant. Emailing (C) worsens control. Deleting (D) could breach record-retention duties. Proper storage and naming address both confidentiality and record-keeping requirements.</w:t>
      </w:r>
    </w:p>
    <w:p>
      <w:r>
        <w:br w:type="page"/>
      </w:r>
    </w:p>
    <w:p>
      <w:pPr>
        <w:pStyle w:val="Heading1"/>
        <w:spacing w:before="400" w:after="200"/>
      </w:pPr>
      <w:r>
        <w:t xml:space="preserve">8. Case Studies</w:t>
      </w:r>
    </w:p>
    <w:p>
      <w:pPr>
        <w:pStyle w:val="Heading2"/>
        <w:spacing w:before="200" w:after="100"/>
      </w:pPr>
      <w:r>
        <w:t xml:space="preserve">Case Study 1: Pinnacle Financial: The Budget That Wouldn’t Balance</w:t>
      </w:r>
    </w:p>
    <w:p>
      <w:pPr>
        <w:spacing w:after="50"/>
      </w:pPr>
      <w:r>
        <w:rPr>
          <w:b/>
          <w:bCs/>
          <w:sz w:val="22"/>
          <w:szCs w:val="22"/>
        </w:rPr>
        <w:t xml:space="preserve">Scenario:</w:t>
      </w:r>
    </w:p>
    <w:p>
      <w:pPr>
        <w:spacing w:after="150"/>
      </w:pPr>
      <w:r>
        <w:rPr>
          <w:sz w:val="20"/>
          <w:szCs w:val="20"/>
        </w:rPr>
        <w:t xml:space="preserve">When the call ended, Amira Patel stared at the half-finished spreadsheet on her second monitor. The new client had sounded anxious: “I don’t know where my money goes. I need a plan that sticks.” As a Client Services Associate at Pinnacle Financial’s retail wealth team, Amira often set up first-cut budget trackers. This one needed to be clean, compliant, and easy enough for a client with no spreadsheet experience to keep using monthly.
Pinnacle’s onboarding checklist required a three-month view of cash inflows and outflows, a simple visual for surplus/deficit, and basic data validation to prevent errors. The client’s brief included a modest emergency fund target and some inconsistent side income. Amira would also need to apply the firm’s file naming standard and store the worksheet in the correct shared folder, ensuring an audit trail for any edits.
The client’s net salary was steady, but grocery and transport costs fluctuated, and a cluster of subscription payments seemed to be creeping up. In March, the client had paid down a bit of credit card balance, but only the minimum in April and May. Amira sensed that small leaks—£10 here, £15 there—were undermining the client’s confidence. The immediate task was to build a tracker that produced a clear surplus figure, month by month, and flagged overspends using simple conditional formats.
The challenge was not just arithmetic. The client needed a template with locked formula cells, drop-down categories, and a place to record an emergency fund balance against a target by September. Amira also had to reconcile “planned” versus “actual” for April and May, then set a June plan. Finally, she had to save and share the file correctly: the firm’s naming convention captured client code, document type, version, and date. Any slip would send the file back for rework.
Exhibit 1 listed the client’s regular inflows and planned expenses; Exhibit 2 showed April and May actuals, with side income variability; Exhibit 3 contained a one-page excerpt of Pinnacle’s file-naming and storage rules. Amira would insert formulas for monthly surplus (income minus total expenses), a running emergency fund balance, and a simple progress bar. She would also apply data validation to prevent text in numeric fields and restrict expense categories to a standard list.
Before sending a draft, Amira paused. Should she suggest trimming discretionary categories now or wait until June’s actuals were in the sheet? And should the emergency fund transfer be treated as an “expense” or recorded separately, as saving towards a goal? She needed to decide on a layout and logic that the client could follow—and stick with—without further hand-holding.</w:t>
      </w:r>
    </w:p>
    <w:p>
      <w:pPr>
        <w:pStyle w:val="Heading2"/>
        <w:spacing w:before="200" w:after="100"/>
      </w:pPr>
      <w:r>
        <w:t xml:space="preserve">Case Study 2: Pinnacle Financial: Time or Money? Building a Savings Plan Under Pressure</w:t>
      </w:r>
    </w:p>
    <w:p>
      <w:pPr>
        <w:spacing w:after="50"/>
      </w:pPr>
      <w:r>
        <w:rPr>
          <w:b/>
          <w:bCs/>
          <w:sz w:val="22"/>
          <w:szCs w:val="22"/>
        </w:rPr>
        <w:t xml:space="preserve">Scenario:</w:t>
      </w:r>
    </w:p>
    <w:p>
      <w:pPr>
        <w:spacing w:after="150"/>
      </w:pPr>
      <w:r>
        <w:rPr>
          <w:sz w:val="20"/>
          <w:szCs w:val="20"/>
        </w:rPr>
        <w:t xml:space="preserve">On Monday morning, Lewis McCarthy, a Paraplanner at Pinnacle Financial, received an urgent email from an adviser: “Client needs a savings plan for a £20,000 home deposit in 36 months. Also comparing car finance options. Please prepare the TVM calculator and a one-page explainer.” Lewis opened the firm’s standard TVM template and began populating inputs, mindful that any mistakes in sign conventions or rate assumptions would cascade through the plan.
The client currently holds £2,000 in cash earmarked for the deposit and can contribute monthly. The adviser suggested using a competitive savings account at 2.4% AER, compounded monthly. For the car, the client is weighing a £8,000 loan over 36 months at 6.9% APR versus delaying purchase by saving for 9 months first. Lewis needed to calculate the required monthly deposit to reach the house goal, estimate the car loan repayment, and produce the first six lines of an amortisation schedule to help the client understand interest versus principal.
Pinnacle’s quality checklist requires named input cells, consistent units (monthly), clear sign conventions (cash outflows negative), and protected formulas. File naming and version control are mandatory. The adviser also asked Lewis to add a smaller, near-term emergency fund goal—six months’ essential expenses of £9,000 in 12 months at 2.0% AER—to show how trade-offs might affect the house deposit plan.
Lewis faced judgement calls: should he use nominal monthly rates (AER/12) or effective monthly rates derived from AER? Should he model car repayments with APR/12 or the effective monthly rate from APR? How should he present the savings and loan cashflows side-by-side to make the trade-offs obvious without overwhelming the client? He had to finalise the TVM inputs, compute the outputs, and save the workbook with full documentation for audit.</w:t>
      </w:r>
    </w:p>
    <w:p>
      <w:pPr>
        <w:pStyle w:val="Heading2"/>
        <w:spacing w:before="200" w:after="100"/>
      </w:pPr>
      <w:r>
        <w:t xml:space="preserve">Case Study 3: Bridgepoint Capital: ETFs in the Wild</w:t>
      </w:r>
    </w:p>
    <w:p>
      <w:pPr>
        <w:spacing w:after="50"/>
      </w:pPr>
      <w:r>
        <w:rPr>
          <w:b/>
          <w:bCs/>
          <w:sz w:val="22"/>
          <w:szCs w:val="22"/>
        </w:rPr>
        <w:t xml:space="preserve">Scenario:</w:t>
      </w:r>
    </w:p>
    <w:p>
      <w:pPr>
        <w:spacing w:after="150"/>
      </w:pPr>
      <w:r>
        <w:rPr>
          <w:sz w:val="20"/>
          <w:szCs w:val="20"/>
        </w:rPr>
        <w:t xml:space="preserve">Sophie Mensah, an Investment Operations Analyst at Bridgepoint Capital, had two browser tabs open with the same ETF—yet two different prices. One tab showed Friday’s close, the other, a stale Thursday snapshot from a third-party aggregator. Her task was simple on paper: compile a one-page comparison of core products for a new-to-investing client—cash savings, a UK gilt ETF, a global equity ETF, and a 60/40 balanced fund. In practice, it meant reconciling small but critical data mismatches and extracting fees, risk ratings, and objectives from factsheets and KIDs.
Bridgepoint’s advisers prefer a clear grid: product name, structure, fees, current price or rate, 1-year and 5-year returns (where relevant), risk indicator, and a one-line objective. Sophie's manager warned, “Make sure sources agree or explain why they don’t. Flag the bid–ask spread for ETFs and confirm the share class and distributing/accumulating status.” Sophie pulled factsheets from issuers, a KID for the balanced fund, and rate details from a bank’s website for the cash product.
The stumbling block was consistency: the gilt ETF’s indicative price lagged by a day on the aggregator, while the issuer site displayed live indicative NAV (iNAV). The global equity ETF fact sheet quoted OCF at 0.12% and SRRI risk 5/7, but a blog claimed 0.10%—with no source. The balanced fund carried a higher OCF and a 4/7 risk rating. The cash savings account was simple but had a 90-day notice clause on the best rate. Sophie needed to produce a tidy table and a brief note on data validation and product trade-offs.</w:t>
      </w:r>
    </w:p>
    <w:p>
      <w:pPr>
        <w:pStyle w:val="Heading2"/>
        <w:spacing w:before="200" w:after="100"/>
      </w:pPr>
      <w:r>
        <w:t xml:space="preserve">Case Study 4: Crown Investment Partners: A First Allocation for a Cautious Client</w:t>
      </w:r>
    </w:p>
    <w:p>
      <w:pPr>
        <w:spacing w:after="50"/>
      </w:pPr>
      <w:r>
        <w:rPr>
          <w:b/>
          <w:bCs/>
          <w:sz w:val="22"/>
          <w:szCs w:val="22"/>
        </w:rPr>
        <w:t xml:space="preserve">Scenario:</w:t>
      </w:r>
    </w:p>
    <w:p>
      <w:pPr>
        <w:spacing w:after="150"/>
      </w:pPr>
      <w:r>
        <w:rPr>
          <w:sz w:val="20"/>
          <w:szCs w:val="20"/>
        </w:rPr>
        <w:t xml:space="preserve">Daniela Rossi, Associate Portfolio Analyst at Crown Investment Partners, opened the risk report and skimmed to the correlation matrix. Her adviser had a new client with a cautious profile: a 5-year horizon, unwilling to tolerate more than a 10% peak-to-trough drawdown in normal markets. Daniela’s task: propose a simple, strategic allocation using cash, UK gilts, UK corporate bonds, and global equities—along with a one-paragraph rationale.
The firm’s training emphasised the basics: use long-run average returns and volatilities, consider correlations for diversification, and keep costs and simplicity in mind. For beginners, three candidate allocations usually suffice, each with estimated expected return and volatility. The adviser wanted Daniela to highlight the trade-off: higher equity weight can raise expected return but also increases potential drawdown.
Daniela examined a five-year summary of asset class metrics and a correlation matrix. The data suggested that gilts had low or negative correlation with equities, while corporate bonds were moderately correlated with both. Cash offered stability but limited growth. She also noted the need to translate volatility into something client-friendly: a range of likely outcomes and a sensible worst-case scenario in plain English.
She assembled three allocations and estimated their expected return and volatility using a simple variance–covariance approach. Now she needed to choose one and prepare a short explanation for the adviser: Why this mix? How does diversification help? And what practical caveats—costs, rebalancing, and behaviour—should the client hear up front?</w:t>
      </w:r>
    </w:p>
    <w:p>
      <w:r>
        <w:br w:type="page"/>
      </w:r>
    </w:p>
    <w:p>
      <w:pPr>
        <w:pStyle w:val="Heading1"/>
        <w:spacing w:before="400" w:after="200"/>
      </w:pPr>
      <w:r>
        <w:t xml:space="preserve">9. Glossary</w:t>
      </w:r>
    </w:p>
    <w:p>
      <w:pPr>
        <w:spacing w:after="200"/>
      </w:pPr>
      <w:r>
        <w:rPr>
          <w:color w:val="4a5568"/>
          <w:sz w:val="20"/>
          <w:szCs w:val="20"/>
        </w:rPr>
        <w:t xml:space="preserve">Total Terms: 40 | Categories: 7 | Acronyms: 7</w:t>
      </w:r>
    </w:p>
    <w:p>
      <w:pPr>
        <w:spacing w:before="100" w:after="30"/>
      </w:pPr>
      <w:r>
        <w:rPr>
          <w:b/>
          <w:bCs/>
          <w:sz w:val="22"/>
          <w:szCs w:val="22"/>
        </w:rPr>
        <w:t xml:space="preserve">Absolute Reference</w:t>
      </w:r>
      <w:r>
        <w:t xml:space="preserve"/>
      </w:r>
    </w:p>
    <w:p>
      <w:pPr>
        <w:spacing w:after="30"/>
      </w:pPr>
      <w:r>
        <w:rPr>
          <w:sz w:val="20"/>
          <w:szCs w:val="20"/>
        </w:rPr>
        <w:t xml:space="preserve">A cell reference that does not change when copied across cells, indicated by dollar signs (e.g., $C$2). It anchors formula references to fixed cells or ranges.</w:t>
      </w:r>
    </w:p>
    <w:p>
      <w:pPr>
        <w:spacing w:after="100"/>
      </w:pPr>
      <w:r>
        <w:rPr>
          <w:i/>
          <w:iCs/>
          <w:color w:val="4a5568"/>
          <w:sz w:val="18"/>
          <w:szCs w:val="18"/>
        </w:rPr>
        <w:t xml:space="preserve">Example: </w:t>
      </w:r>
      <w:r>
        <w:rPr>
          <w:i/>
          <w:iCs/>
          <w:color w:val="4a5568"/>
          <w:sz w:val="18"/>
          <w:szCs w:val="18"/>
        </w:rPr>
        <w:t xml:space="preserve">Use absolute references to keep the summation range fixed when copying the formula across monthly sheets.</w:t>
      </w:r>
    </w:p>
    <w:p>
      <w:pPr>
        <w:spacing w:before="100" w:after="30"/>
      </w:pPr>
      <w:r>
        <w:rPr>
          <w:b/>
          <w:bCs/>
          <w:sz w:val="22"/>
          <w:szCs w:val="22"/>
        </w:rPr>
        <w:t xml:space="preserve">Access Control</w:t>
      </w:r>
      <w:r>
        <w:t xml:space="preserve"/>
      </w:r>
    </w:p>
    <w:p>
      <w:pPr>
        <w:spacing w:after="30"/>
      </w:pPr>
      <w:r>
        <w:rPr>
          <w:sz w:val="20"/>
          <w:szCs w:val="20"/>
        </w:rPr>
        <w:t xml:space="preserve">Policies and technical measures that restrict data access to authorised users, protecting client confidentiality and meeting regulatory expectations for secure storage and sharing.</w:t>
      </w:r>
    </w:p>
    <w:p>
      <w:pPr>
        <w:spacing w:after="100"/>
      </w:pPr>
      <w:r>
        <w:rPr>
          <w:i/>
          <w:iCs/>
          <w:color w:val="4a5568"/>
          <w:sz w:val="18"/>
          <w:szCs w:val="18"/>
        </w:rPr>
        <w:t xml:space="preserve">Example: </w:t>
      </w:r>
      <w:r>
        <w:rPr>
          <w:i/>
          <w:iCs/>
          <w:color w:val="4a5568"/>
          <w:sz w:val="18"/>
          <w:szCs w:val="18"/>
        </w:rPr>
        <w:t xml:space="preserve">Limit the shared folder to the advice team to meet access control requirements.</w:t>
      </w:r>
    </w:p>
    <w:p>
      <w:pPr>
        <w:spacing w:before="100" w:after="30"/>
      </w:pPr>
      <w:r>
        <w:rPr>
          <w:b/>
          <w:bCs/>
          <w:sz w:val="22"/>
          <w:szCs w:val="22"/>
        </w:rPr>
        <w:t xml:space="preserve">AER</w:t>
      </w:r>
      <w:r>
        <w:rPr>
          <w:i/>
          <w:iCs/>
          <w:color w:val="718096"/>
          <w:sz w:val="18"/>
          <w:szCs w:val="18"/>
        </w:rPr>
        <w:t xml:space="preserve"> (Acronym)</w:t>
      </w:r>
    </w:p>
    <w:p>
      <w:pPr>
        <w:spacing w:after="30"/>
      </w:pPr>
      <w:r>
        <w:rPr>
          <w:sz w:val="20"/>
          <w:szCs w:val="20"/>
        </w:rPr>
        <w:t xml:space="preserve">Annual Equivalent Rate — an annualised rate that incorporates compounding to enable like-for-like comparison of savings rates.</w:t>
      </w:r>
    </w:p>
    <w:p>
      <w:pPr>
        <w:spacing w:after="30"/>
      </w:pPr>
      <w:r>
        <w:rPr>
          <w:i/>
          <w:iCs/>
          <w:color w:val="4a5568"/>
          <w:sz w:val="18"/>
          <w:szCs w:val="18"/>
        </w:rPr>
        <w:t xml:space="preserve">Stands for: </w:t>
      </w:r>
      <w:r>
        <w:rPr>
          <w:color w:val="4a5568"/>
          <w:sz w:val="18"/>
          <w:szCs w:val="18"/>
        </w:rPr>
        <w:t xml:space="preserve">Annual Equivalent Rate</w:t>
      </w:r>
    </w:p>
    <w:p>
      <w:pPr>
        <w:spacing w:after="100"/>
      </w:pPr>
      <w:r>
        <w:rPr>
          <w:i/>
          <w:iCs/>
          <w:color w:val="4a5568"/>
          <w:sz w:val="18"/>
          <w:szCs w:val="18"/>
        </w:rPr>
        <w:t xml:space="preserve">Example: </w:t>
      </w:r>
      <w:r>
        <w:rPr>
          <w:i/>
          <w:iCs/>
          <w:color w:val="4a5568"/>
          <w:sz w:val="18"/>
          <w:szCs w:val="18"/>
        </w:rPr>
        <w:t xml:space="preserve">The advertised AER helps you compare accounts fairly, regardless of compounding frequency.</w:t>
      </w:r>
    </w:p>
    <w:p>
      <w:pPr>
        <w:spacing w:before="100" w:after="30"/>
      </w:pPr>
      <w:r>
        <w:rPr>
          <w:b/>
          <w:bCs/>
          <w:sz w:val="22"/>
          <w:szCs w:val="22"/>
        </w:rPr>
        <w:t xml:space="preserve">Amortisation Schedule</w:t>
      </w:r>
      <w:r>
        <w:t xml:space="preserve"/>
      </w:r>
    </w:p>
    <w:p>
      <w:pPr>
        <w:spacing w:after="30"/>
      </w:pPr>
      <w:r>
        <w:rPr>
          <w:sz w:val="20"/>
          <w:szCs w:val="20"/>
        </w:rPr>
        <w:t xml:space="preserve">A table detailing each loan payment, showing the split between interest and principal over time, along with remaining balance after each instalment.</w:t>
      </w:r>
    </w:p>
    <w:p>
      <w:pPr>
        <w:spacing w:after="100"/>
      </w:pPr>
      <w:r>
        <w:rPr>
          <w:i/>
          <w:iCs/>
          <w:color w:val="4a5568"/>
          <w:sz w:val="18"/>
          <w:szCs w:val="18"/>
        </w:rPr>
        <w:t xml:space="preserve">Example: </w:t>
      </w:r>
      <w:r>
        <w:rPr>
          <w:i/>
          <w:iCs/>
          <w:color w:val="4a5568"/>
          <w:sz w:val="18"/>
          <w:szCs w:val="18"/>
        </w:rPr>
        <w:t xml:space="preserve">The amortisation schedule helped explain why early payments are mostly interest.</w:t>
      </w:r>
    </w:p>
    <w:p>
      <w:pPr>
        <w:spacing w:before="100" w:after="30"/>
      </w:pPr>
      <w:r>
        <w:rPr>
          <w:b/>
          <w:bCs/>
          <w:sz w:val="22"/>
          <w:szCs w:val="22"/>
        </w:rPr>
        <w:t xml:space="preserve">Annual Equivalent Rate</w:t>
      </w:r>
      <w:r>
        <w:t xml:space="preserve"/>
      </w:r>
    </w:p>
    <w:p>
      <w:pPr>
        <w:spacing w:after="30"/>
      </w:pPr>
      <w:r>
        <w:rPr>
          <w:sz w:val="20"/>
          <w:szCs w:val="20"/>
        </w:rPr>
        <w:t xml:space="preserve">The annualised interest rate that reflects the effect of compounding within the year, allowing comparison between accounts with different compounding frequencies.</w:t>
      </w:r>
    </w:p>
    <w:p>
      <w:pPr>
        <w:spacing w:after="100"/>
      </w:pPr>
      <w:r>
        <w:rPr>
          <w:i/>
          <w:iCs/>
          <w:color w:val="4a5568"/>
          <w:sz w:val="18"/>
          <w:szCs w:val="18"/>
        </w:rPr>
        <w:t xml:space="preserve">Example: </w:t>
      </w:r>
      <w:r>
        <w:rPr>
          <w:i/>
          <w:iCs/>
          <w:color w:val="4a5568"/>
          <w:sz w:val="18"/>
          <w:szCs w:val="18"/>
        </w:rPr>
        <w:t xml:space="preserve">Use AER to compare savings accounts that compound monthly versus quarterly.</w:t>
      </w:r>
    </w:p>
    <w:p>
      <w:pPr>
        <w:spacing w:before="100" w:after="30"/>
      </w:pPr>
      <w:r>
        <w:rPr>
          <w:b/>
          <w:bCs/>
          <w:sz w:val="22"/>
          <w:szCs w:val="22"/>
        </w:rPr>
        <w:t xml:space="preserve">Annual Percentage Rate</w:t>
      </w:r>
      <w:r>
        <w:t xml:space="preserve"/>
      </w:r>
    </w:p>
    <w:p>
      <w:pPr>
        <w:spacing w:after="30"/>
      </w:pPr>
      <w:r>
        <w:rPr>
          <w:sz w:val="20"/>
          <w:szCs w:val="20"/>
        </w:rPr>
        <w:t xml:space="preserve">A standardised yearly cost of borrowing that includes interest and certain compulsory charges, enabling comparison across loans and credit products.</w:t>
      </w:r>
    </w:p>
    <w:p>
      <w:pPr>
        <w:spacing w:after="100"/>
      </w:pPr>
      <w:r>
        <w:rPr>
          <w:i/>
          <w:iCs/>
          <w:color w:val="4a5568"/>
          <w:sz w:val="18"/>
          <w:szCs w:val="18"/>
        </w:rPr>
        <w:t xml:space="preserve">Example: </w:t>
      </w:r>
      <w:r>
        <w:rPr>
          <w:i/>
          <w:iCs/>
          <w:color w:val="4a5568"/>
          <w:sz w:val="18"/>
          <w:szCs w:val="18"/>
        </w:rPr>
        <w:t xml:space="preserve">APR allows borrowers to compare the true cost of different loan offers.</w:t>
      </w:r>
    </w:p>
    <w:p>
      <w:pPr>
        <w:spacing w:before="100" w:after="30"/>
      </w:pPr>
      <w:r>
        <w:rPr>
          <w:b/>
          <w:bCs/>
          <w:sz w:val="22"/>
          <w:szCs w:val="22"/>
        </w:rPr>
        <w:t xml:space="preserve">APR</w:t>
      </w:r>
      <w:r>
        <w:rPr>
          <w:i/>
          <w:iCs/>
          <w:color w:val="718096"/>
          <w:sz w:val="18"/>
          <w:szCs w:val="18"/>
        </w:rPr>
        <w:t xml:space="preserve"> (Acronym)</w:t>
      </w:r>
    </w:p>
    <w:p>
      <w:pPr>
        <w:spacing w:after="30"/>
      </w:pPr>
      <w:r>
        <w:rPr>
          <w:sz w:val="20"/>
          <w:szCs w:val="20"/>
        </w:rPr>
        <w:t xml:space="preserve">Annual Percentage Rate — the yearly cost of credit including interest and certain fees, expressed as a percentage.</w:t>
      </w:r>
    </w:p>
    <w:p>
      <w:pPr>
        <w:spacing w:after="30"/>
      </w:pPr>
      <w:r>
        <w:rPr>
          <w:i/>
          <w:iCs/>
          <w:color w:val="4a5568"/>
          <w:sz w:val="18"/>
          <w:szCs w:val="18"/>
        </w:rPr>
        <w:t xml:space="preserve">Stands for: </w:t>
      </w:r>
      <w:r>
        <w:rPr>
          <w:color w:val="4a5568"/>
          <w:sz w:val="18"/>
          <w:szCs w:val="18"/>
        </w:rPr>
        <w:t xml:space="preserve">Annual Percentage Rate</w:t>
      </w:r>
    </w:p>
    <w:p>
      <w:pPr>
        <w:spacing w:after="100"/>
      </w:pPr>
      <w:r>
        <w:rPr>
          <w:i/>
          <w:iCs/>
          <w:color w:val="4a5568"/>
          <w:sz w:val="18"/>
          <w:szCs w:val="18"/>
        </w:rPr>
        <w:t xml:space="preserve">Example: </w:t>
      </w:r>
      <w:r>
        <w:rPr>
          <w:i/>
          <w:iCs/>
          <w:color w:val="4a5568"/>
          <w:sz w:val="18"/>
          <w:szCs w:val="18"/>
        </w:rPr>
        <w:t xml:space="preserve">This credit card’s APR is higher than last year’s, reflecting broader rate increases.</w:t>
      </w:r>
    </w:p>
    <w:p>
      <w:pPr>
        <w:spacing w:before="100" w:after="30"/>
      </w:pPr>
      <w:r>
        <w:rPr>
          <w:b/>
          <w:bCs/>
          <w:sz w:val="22"/>
          <w:szCs w:val="22"/>
        </w:rPr>
        <w:t xml:space="preserve">Asset Allocation</w:t>
      </w:r>
      <w:r>
        <w:t xml:space="preserve"/>
      </w:r>
    </w:p>
    <w:p>
      <w:pPr>
        <w:spacing w:after="30"/>
      </w:pPr>
      <w:r>
        <w:rPr>
          <w:sz w:val="20"/>
          <w:szCs w:val="20"/>
        </w:rPr>
        <w:t xml:space="preserve">The process of distributing a portfolio across asset classes, such as cash, bonds, and equities, to balance risk and return in line with client goals and risk profile.</w:t>
      </w:r>
    </w:p>
    <w:p>
      <w:pPr>
        <w:spacing w:after="100"/>
      </w:pPr>
      <w:r>
        <w:rPr>
          <w:i/>
          <w:iCs/>
          <w:color w:val="4a5568"/>
          <w:sz w:val="18"/>
          <w:szCs w:val="18"/>
        </w:rPr>
        <w:t xml:space="preserve">Example: </w:t>
      </w:r>
      <w:r>
        <w:rPr>
          <w:i/>
          <w:iCs/>
          <w:color w:val="4a5568"/>
          <w:sz w:val="18"/>
          <w:szCs w:val="18"/>
        </w:rPr>
        <w:t xml:space="preserve">We recommended a 60/40 asset allocation aligned with the client’s medium risk tolerance.</w:t>
      </w:r>
    </w:p>
    <w:p>
      <w:pPr>
        <w:spacing w:before="100" w:after="30"/>
      </w:pPr>
      <w:r>
        <w:rPr>
          <w:b/>
          <w:bCs/>
          <w:sz w:val="22"/>
          <w:szCs w:val="22"/>
        </w:rPr>
        <w:t xml:space="preserve">Cashflow</w:t>
      </w:r>
      <w:r>
        <w:t xml:space="preserve"/>
      </w:r>
    </w:p>
    <w:p>
      <w:pPr>
        <w:spacing w:after="30"/>
      </w:pPr>
      <w:r>
        <w:rPr>
          <w:sz w:val="20"/>
          <w:szCs w:val="20"/>
        </w:rPr>
        <w:t xml:space="preserve">The movement of money into and out of a person’s or household’s finances over a period, tracking income received and expenses paid to show liquidity trends.</w:t>
      </w:r>
    </w:p>
    <w:p>
      <w:pPr>
        <w:spacing w:after="100"/>
      </w:pPr>
      <w:r>
        <w:rPr>
          <w:i/>
          <w:iCs/>
          <w:color w:val="4a5568"/>
          <w:sz w:val="18"/>
          <w:szCs w:val="18"/>
        </w:rPr>
        <w:t xml:space="preserve">Example: </w:t>
      </w:r>
      <w:r>
        <w:rPr>
          <w:i/>
          <w:iCs/>
          <w:color w:val="4a5568"/>
          <w:sz w:val="18"/>
          <w:szCs w:val="18"/>
        </w:rPr>
        <w:t xml:space="preserve">Reviewing monthly cashflow helps identify spending leaks and determine how much can be directed to savings goals.</w:t>
      </w:r>
    </w:p>
    <w:p>
      <w:pPr>
        <w:spacing w:before="100" w:after="30"/>
      </w:pPr>
      <w:r>
        <w:rPr>
          <w:b/>
          <w:bCs/>
          <w:sz w:val="22"/>
          <w:szCs w:val="22"/>
        </w:rPr>
        <w:t xml:space="preserve">Compounding</w:t>
      </w:r>
      <w:r>
        <w:t xml:space="preserve"/>
      </w:r>
    </w:p>
    <w:p>
      <w:pPr>
        <w:spacing w:after="30"/>
      </w:pPr>
      <w:r>
        <w:rPr>
          <w:sz w:val="20"/>
          <w:szCs w:val="20"/>
        </w:rPr>
        <w:t xml:space="preserve">The process by which earnings on an investment are reinvested to generate additional earnings over time, causing growth to accelerate as gains themselves earn returns.</w:t>
      </w:r>
    </w:p>
    <w:p>
      <w:pPr>
        <w:spacing w:after="100"/>
      </w:pPr>
      <w:r>
        <w:rPr>
          <w:i/>
          <w:iCs/>
          <w:color w:val="4a5568"/>
          <w:sz w:val="18"/>
          <w:szCs w:val="18"/>
        </w:rPr>
        <w:t xml:space="preserve">Example: </w:t>
      </w:r>
      <w:r>
        <w:rPr>
          <w:i/>
          <w:iCs/>
          <w:color w:val="4a5568"/>
          <w:sz w:val="18"/>
          <w:szCs w:val="18"/>
        </w:rPr>
        <w:t xml:space="preserve">Compounding explains why starting to save earlier can meaningfully increase long-term outcomes.</w:t>
      </w:r>
    </w:p>
    <w:p>
      <w:pPr>
        <w:spacing w:before="100" w:after="30"/>
      </w:pPr>
      <w:r>
        <w:rPr>
          <w:b/>
          <w:bCs/>
          <w:sz w:val="22"/>
          <w:szCs w:val="22"/>
        </w:rPr>
        <w:t xml:space="preserve">Data Validation</w:t>
      </w:r>
      <w:r>
        <w:t xml:space="preserve"/>
      </w:r>
    </w:p>
    <w:p>
      <w:pPr>
        <w:spacing w:after="30"/>
      </w:pPr>
      <w:r>
        <w:rPr>
          <w:sz w:val="20"/>
          <w:szCs w:val="20"/>
        </w:rPr>
        <w:t xml:space="preserve">A spreadsheet control that restricts cell inputs to acceptable values, such as lists, ranges, or logical rules, improving accuracy and reducing user errors in templates.</w:t>
      </w:r>
    </w:p>
    <w:p>
      <w:pPr>
        <w:spacing w:after="100"/>
      </w:pPr>
      <w:r>
        <w:rPr>
          <w:i/>
          <w:iCs/>
          <w:color w:val="4a5568"/>
          <w:sz w:val="18"/>
          <w:szCs w:val="18"/>
        </w:rPr>
        <w:t xml:space="preserve">Example: </w:t>
      </w:r>
      <w:r>
        <w:rPr>
          <w:i/>
          <w:iCs/>
          <w:color w:val="4a5568"/>
          <w:sz w:val="18"/>
          <w:szCs w:val="18"/>
        </w:rPr>
        <w:t xml:space="preserve">Apply Data Validation to restrict category entries to the approved list and prevent typos in the budget tracker.</w:t>
      </w:r>
    </w:p>
    <w:p>
      <w:pPr>
        <w:spacing w:before="100" w:after="30"/>
      </w:pPr>
      <w:r>
        <w:rPr>
          <w:b/>
          <w:bCs/>
          <w:sz w:val="22"/>
          <w:szCs w:val="22"/>
        </w:rPr>
        <w:t xml:space="preserve">Diversification</w:t>
      </w:r>
      <w:r>
        <w:t xml:space="preserve"/>
      </w:r>
    </w:p>
    <w:p>
      <w:pPr>
        <w:spacing w:after="30"/>
      </w:pPr>
      <w:r>
        <w:rPr>
          <w:sz w:val="20"/>
          <w:szCs w:val="20"/>
        </w:rPr>
        <w:t xml:space="preserve">Spreading investments across assets, sectors, or regions to reduce exposure to any single risk, aiming to lower portfolio volatility without proportionally reducing expected return.</w:t>
      </w:r>
    </w:p>
    <w:p>
      <w:pPr>
        <w:spacing w:after="100"/>
      </w:pPr>
      <w:r>
        <w:rPr>
          <w:i/>
          <w:iCs/>
          <w:color w:val="4a5568"/>
          <w:sz w:val="18"/>
          <w:szCs w:val="18"/>
        </w:rPr>
        <w:t xml:space="preserve">Example: </w:t>
      </w:r>
      <w:r>
        <w:rPr>
          <w:i/>
          <w:iCs/>
          <w:color w:val="4a5568"/>
          <w:sz w:val="18"/>
          <w:szCs w:val="18"/>
        </w:rPr>
        <w:t xml:space="preserve">Adding bond exposure improved diversification and reduced overall portfolio swings.</w:t>
      </w:r>
    </w:p>
    <w:p>
      <w:pPr>
        <w:spacing w:before="100" w:after="30"/>
      </w:pPr>
      <w:r>
        <w:rPr>
          <w:b/>
          <w:bCs/>
          <w:sz w:val="22"/>
          <w:szCs w:val="22"/>
        </w:rPr>
        <w:t xml:space="preserve">Division by Zero Error (#DIV/0!)</w:t>
      </w:r>
      <w:r>
        <w:t xml:space="preserve"/>
      </w:r>
    </w:p>
    <w:p>
      <w:pPr>
        <w:spacing w:after="30"/>
      </w:pPr>
      <w:r>
        <w:rPr>
          <w:sz w:val="20"/>
          <w:szCs w:val="20"/>
        </w:rPr>
        <w:t xml:space="preserve">A spreadsheet error that occurs when a formula attempts to divide by zero or a blank cell, requiring defensive handling to avoid broken outputs.</w:t>
      </w:r>
    </w:p>
    <w:p>
      <w:pPr>
        <w:spacing w:after="100"/>
      </w:pPr>
      <w:r>
        <w:rPr>
          <w:i/>
          <w:iCs/>
          <w:color w:val="4a5568"/>
          <w:sz w:val="18"/>
          <w:szCs w:val="18"/>
        </w:rPr>
        <w:t xml:space="preserve">Example: </w:t>
      </w:r>
      <w:r>
        <w:rPr>
          <w:i/>
          <w:iCs/>
          <w:color w:val="4a5568"/>
          <w:sz w:val="18"/>
          <w:szCs w:val="18"/>
        </w:rPr>
        <w:t xml:space="preserve">The savings rate showed #DIV/0! because the income cell was empty for that month.</w:t>
      </w:r>
    </w:p>
    <w:p>
      <w:pPr>
        <w:spacing w:before="100" w:after="30"/>
      </w:pPr>
      <w:r>
        <w:rPr>
          <w:b/>
          <w:bCs/>
          <w:sz w:val="22"/>
          <w:szCs w:val="22"/>
        </w:rPr>
        <w:t xml:space="preserve">Emergency Fund</w:t>
      </w:r>
      <w:r>
        <w:t xml:space="preserve"/>
      </w:r>
    </w:p>
    <w:p>
      <w:pPr>
        <w:spacing w:after="30"/>
      </w:pPr>
      <w:r>
        <w:rPr>
          <w:sz w:val="20"/>
          <w:szCs w:val="20"/>
        </w:rPr>
        <w:t xml:space="preserve">Savings set aside for unexpected expenses or income loss, typically covering three to six months of essential living costs to protect against financial shocks.</w:t>
      </w:r>
    </w:p>
    <w:p>
      <w:pPr>
        <w:spacing w:after="100"/>
      </w:pPr>
      <w:r>
        <w:rPr>
          <w:i/>
          <w:iCs/>
          <w:color w:val="4a5568"/>
          <w:sz w:val="18"/>
          <w:szCs w:val="18"/>
        </w:rPr>
        <w:t xml:space="preserve">Example: </w:t>
      </w:r>
      <w:r>
        <w:rPr>
          <w:i/>
          <w:iCs/>
          <w:color w:val="4a5568"/>
          <w:sz w:val="18"/>
          <w:szCs w:val="18"/>
        </w:rPr>
        <w:t xml:space="preserve">We recommend building an emergency fund before investing to avoid withdrawing from long-term investments during a crisis.</w:t>
      </w:r>
    </w:p>
    <w:p>
      <w:pPr>
        <w:spacing w:before="100" w:after="30"/>
      </w:pPr>
      <w:r>
        <w:rPr>
          <w:b/>
          <w:bCs/>
          <w:sz w:val="22"/>
          <w:szCs w:val="22"/>
        </w:rPr>
        <w:t xml:space="preserve">ETF</w:t>
      </w:r>
      <w:r>
        <w:rPr>
          <w:i/>
          <w:iCs/>
          <w:color w:val="718096"/>
          <w:sz w:val="18"/>
          <w:szCs w:val="18"/>
        </w:rPr>
        <w:t xml:space="preserve"> (Acronym)</w:t>
      </w:r>
    </w:p>
    <w:p>
      <w:pPr>
        <w:spacing w:after="30"/>
      </w:pPr>
      <w:r>
        <w:rPr>
          <w:sz w:val="20"/>
          <w:szCs w:val="20"/>
        </w:rPr>
        <w:t xml:space="preserve">Exchange-Traded Fund — a diversified fund that trades intraday on exchanges, often tracking an index.</w:t>
      </w:r>
    </w:p>
    <w:p>
      <w:pPr>
        <w:spacing w:after="30"/>
      </w:pPr>
      <w:r>
        <w:rPr>
          <w:i/>
          <w:iCs/>
          <w:color w:val="4a5568"/>
          <w:sz w:val="18"/>
          <w:szCs w:val="18"/>
        </w:rPr>
        <w:t xml:space="preserve">Stands for: </w:t>
      </w:r>
      <w:r>
        <w:rPr>
          <w:color w:val="4a5568"/>
          <w:sz w:val="18"/>
          <w:szCs w:val="18"/>
        </w:rPr>
        <w:t xml:space="preserve">Exchange-Traded Fund</w:t>
      </w:r>
    </w:p>
    <w:p>
      <w:pPr>
        <w:spacing w:after="100"/>
      </w:pPr>
      <w:r>
        <w:rPr>
          <w:i/>
          <w:iCs/>
          <w:color w:val="4a5568"/>
          <w:sz w:val="18"/>
          <w:szCs w:val="18"/>
        </w:rPr>
        <w:t xml:space="preserve">Example: </w:t>
      </w:r>
      <w:r>
        <w:rPr>
          <w:i/>
          <w:iCs/>
          <w:color w:val="4a5568"/>
          <w:sz w:val="18"/>
          <w:szCs w:val="18"/>
        </w:rPr>
        <w:t xml:space="preserve">An ETF can provide low-cost exposure to global equities in a single trade.</w:t>
      </w:r>
    </w:p>
    <w:p>
      <w:pPr>
        <w:spacing w:before="100" w:after="30"/>
      </w:pPr>
      <w:r>
        <w:rPr>
          <w:b/>
          <w:bCs/>
          <w:sz w:val="22"/>
          <w:szCs w:val="22"/>
        </w:rPr>
        <w:t xml:space="preserve">Exchange-Traded Fund</w:t>
      </w:r>
      <w:r>
        <w:t xml:space="preserve"/>
      </w:r>
    </w:p>
    <w:p>
      <w:pPr>
        <w:spacing w:after="30"/>
      </w:pPr>
      <w:r>
        <w:rPr>
          <w:sz w:val="20"/>
          <w:szCs w:val="20"/>
        </w:rPr>
        <w:t xml:space="preserve">A pooled investment fund that trades on a stock exchange, offering diversified exposure to an index, asset class, or strategy with typically transparent holdings and daily liquidity.</w:t>
      </w:r>
    </w:p>
    <w:p>
      <w:pPr>
        <w:spacing w:after="100"/>
      </w:pPr>
      <w:r>
        <w:rPr>
          <w:i/>
          <w:iCs/>
          <w:color w:val="4a5568"/>
          <w:sz w:val="18"/>
          <w:szCs w:val="18"/>
        </w:rPr>
        <w:t xml:space="preserve">Example: </w:t>
      </w:r>
      <w:r>
        <w:rPr>
          <w:i/>
          <w:iCs/>
          <w:color w:val="4a5568"/>
          <w:sz w:val="18"/>
          <w:szCs w:val="18"/>
        </w:rPr>
        <w:t xml:space="preserve">The equity ETF tracks the FTSE index and discloses its holdings daily.</w:t>
      </w:r>
    </w:p>
    <w:p>
      <w:pPr>
        <w:spacing w:before="100" w:after="30"/>
      </w:pPr>
      <w:r>
        <w:rPr>
          <w:b/>
          <w:bCs/>
          <w:sz w:val="22"/>
          <w:szCs w:val="22"/>
        </w:rPr>
        <w:t xml:space="preserve">File Naming Convention</w:t>
      </w:r>
      <w:r>
        <w:t xml:space="preserve"/>
      </w:r>
    </w:p>
    <w:p>
      <w:pPr>
        <w:spacing w:after="30"/>
      </w:pPr>
      <w:r>
        <w:rPr>
          <w:sz w:val="20"/>
          <w:szCs w:val="20"/>
        </w:rPr>
        <w:t xml:space="preserve">A standardised approach to naming files so they are searchable, consistent, and compliant, often including client name, document type, and date in ISO format.</w:t>
      </w:r>
    </w:p>
    <w:p>
      <w:pPr>
        <w:spacing w:after="100"/>
      </w:pPr>
      <w:r>
        <w:rPr>
          <w:i/>
          <w:iCs/>
          <w:color w:val="4a5568"/>
          <w:sz w:val="18"/>
          <w:szCs w:val="18"/>
        </w:rPr>
        <w:t xml:space="preserve">Example: </w:t>
      </w:r>
      <w:r>
        <w:rPr>
          <w:i/>
          <w:iCs/>
          <w:color w:val="4a5568"/>
          <w:sz w:val="18"/>
          <w:szCs w:val="18"/>
        </w:rPr>
        <w:t xml:space="preserve">Save the workbook as 'Smith_J_Budget_2025-01_v1.xlsx' to follow the naming convention.</w:t>
      </w:r>
    </w:p>
    <w:p>
      <w:pPr>
        <w:spacing w:before="100" w:after="30"/>
      </w:pPr>
      <w:r>
        <w:rPr>
          <w:b/>
          <w:bCs/>
          <w:sz w:val="22"/>
          <w:szCs w:val="22"/>
        </w:rPr>
        <w:t xml:space="preserve">Fixed Expense</w:t>
      </w:r>
      <w:r>
        <w:t xml:space="preserve"/>
      </w:r>
    </w:p>
    <w:p>
      <w:pPr>
        <w:spacing w:after="30"/>
      </w:pPr>
      <w:r>
        <w:rPr>
          <w:sz w:val="20"/>
          <w:szCs w:val="20"/>
        </w:rPr>
        <w:t xml:space="preserve">A cost that remains relatively constant each period, such as rent, council tax, or insurance, and does not vary directly with usage or activity.</w:t>
      </w:r>
    </w:p>
    <w:p>
      <w:pPr>
        <w:spacing w:after="100"/>
      </w:pPr>
      <w:r>
        <w:rPr>
          <w:i/>
          <w:iCs/>
          <w:color w:val="4a5568"/>
          <w:sz w:val="18"/>
          <w:szCs w:val="18"/>
        </w:rPr>
        <w:t xml:space="preserve">Example: </w:t>
      </w:r>
      <w:r>
        <w:rPr>
          <w:i/>
          <w:iCs/>
          <w:color w:val="4a5568"/>
          <w:sz w:val="18"/>
          <w:szCs w:val="18"/>
        </w:rPr>
        <w:t xml:space="preserve">Rent is a fixed expense, so it should be budgeted first before allocating money to variable categories.</w:t>
      </w:r>
    </w:p>
    <w:p>
      <w:pPr>
        <w:spacing w:before="100" w:after="30"/>
      </w:pPr>
      <w:r>
        <w:rPr>
          <w:b/>
          <w:bCs/>
          <w:sz w:val="22"/>
          <w:szCs w:val="22"/>
        </w:rPr>
        <w:t xml:space="preserve">Fund Factsheet</w:t>
      </w:r>
      <w:r>
        <w:t xml:space="preserve"/>
      </w:r>
    </w:p>
    <w:p>
      <w:pPr>
        <w:spacing w:after="30"/>
      </w:pPr>
      <w:r>
        <w:rPr>
          <w:sz w:val="20"/>
          <w:szCs w:val="20"/>
        </w:rPr>
        <w:t xml:space="preserve">A concise document providing a fund’s objectives, strategy, top holdings, fees, performance history, and risk rating to help investors assess suitability.</w:t>
      </w:r>
    </w:p>
    <w:p>
      <w:pPr>
        <w:spacing w:after="100"/>
      </w:pPr>
      <w:r>
        <w:rPr>
          <w:i/>
          <w:iCs/>
          <w:color w:val="4a5568"/>
          <w:sz w:val="18"/>
          <w:szCs w:val="18"/>
        </w:rPr>
        <w:t xml:space="preserve">Example: </w:t>
      </w:r>
      <w:r>
        <w:rPr>
          <w:i/>
          <w:iCs/>
          <w:color w:val="4a5568"/>
          <w:sz w:val="18"/>
          <w:szCs w:val="18"/>
        </w:rPr>
        <w:t xml:space="preserve">Extract the OCF, risk rating, and top holdings from the factsheet for the team comparison.</w:t>
      </w:r>
    </w:p>
    <w:p>
      <w:pPr>
        <w:spacing w:before="100" w:after="30"/>
      </w:pPr>
      <w:r>
        <w:rPr>
          <w:b/>
          <w:bCs/>
          <w:sz w:val="22"/>
          <w:szCs w:val="22"/>
        </w:rPr>
        <w:t xml:space="preserve">Future Value</w:t>
      </w:r>
      <w:r>
        <w:t xml:space="preserve"/>
      </w:r>
    </w:p>
    <w:p>
      <w:pPr>
        <w:spacing w:after="30"/>
      </w:pPr>
      <w:r>
        <w:rPr>
          <w:sz w:val="20"/>
          <w:szCs w:val="20"/>
        </w:rPr>
        <w:t xml:space="preserve">The projected amount that a present sum or series of payments will grow to at a specified interest rate over a defined number of periods.</w:t>
      </w:r>
    </w:p>
    <w:p>
      <w:pPr>
        <w:spacing w:after="100"/>
      </w:pPr>
      <w:r>
        <w:rPr>
          <w:i/>
          <w:iCs/>
          <w:color w:val="4a5568"/>
          <w:sz w:val="18"/>
          <w:szCs w:val="18"/>
        </w:rPr>
        <w:t xml:space="preserve">Example: </w:t>
      </w:r>
      <w:r>
        <w:rPr>
          <w:i/>
          <w:iCs/>
          <w:color w:val="4a5568"/>
          <w:sz w:val="18"/>
          <w:szCs w:val="18"/>
        </w:rPr>
        <w:t xml:space="preserve">We calculated the future value of monthly savings to see if they meet the holiday goal.</w:t>
      </w:r>
    </w:p>
    <w:p>
      <w:pPr>
        <w:spacing w:before="100" w:after="30"/>
      </w:pPr>
      <w:r>
        <w:rPr>
          <w:b/>
          <w:bCs/>
          <w:sz w:val="22"/>
          <w:szCs w:val="22"/>
        </w:rPr>
        <w:t xml:space="preserve">FV</w:t>
      </w:r>
      <w:r>
        <w:rPr>
          <w:i/>
          <w:iCs/>
          <w:color w:val="718096"/>
          <w:sz w:val="18"/>
          <w:szCs w:val="18"/>
        </w:rPr>
        <w:t xml:space="preserve"> (Acronym)</w:t>
      </w:r>
    </w:p>
    <w:p>
      <w:pPr>
        <w:spacing w:after="30"/>
      </w:pPr>
      <w:r>
        <w:rPr>
          <w:sz w:val="20"/>
          <w:szCs w:val="20"/>
        </w:rPr>
        <w:t xml:space="preserve">Future Value — the accumulated amount of present funds or payments after compounding at a given rate.</w:t>
      </w:r>
    </w:p>
    <w:p>
      <w:pPr>
        <w:spacing w:after="30"/>
      </w:pPr>
      <w:r>
        <w:rPr>
          <w:i/>
          <w:iCs/>
          <w:color w:val="4a5568"/>
          <w:sz w:val="18"/>
          <w:szCs w:val="18"/>
        </w:rPr>
        <w:t xml:space="preserve">Stands for: </w:t>
      </w:r>
      <w:r>
        <w:rPr>
          <w:color w:val="4a5568"/>
          <w:sz w:val="18"/>
          <w:szCs w:val="18"/>
        </w:rPr>
        <w:t xml:space="preserve">Future Value</w:t>
      </w:r>
    </w:p>
    <w:p>
      <w:pPr>
        <w:spacing w:after="100"/>
      </w:pPr>
      <w:r>
        <w:rPr>
          <w:i/>
          <w:iCs/>
          <w:color w:val="4a5568"/>
          <w:sz w:val="18"/>
          <w:szCs w:val="18"/>
        </w:rPr>
        <w:t xml:space="preserve">Example: </w:t>
      </w:r>
      <w:r>
        <w:rPr>
          <w:i/>
          <w:iCs/>
          <w:color w:val="4a5568"/>
          <w:sz w:val="18"/>
          <w:szCs w:val="18"/>
        </w:rPr>
        <w:t xml:space="preserve">Use the FV function to find how much today’s contributions will be worth in five years.</w:t>
      </w:r>
    </w:p>
    <w:p>
      <w:pPr>
        <w:spacing w:before="100" w:after="30"/>
      </w:pPr>
      <w:r>
        <w:rPr>
          <w:b/>
          <w:bCs/>
          <w:sz w:val="22"/>
          <w:szCs w:val="22"/>
        </w:rPr>
        <w:t xml:space="preserve">IFERROR function</w:t>
      </w:r>
      <w:r>
        <w:t xml:space="preserve"/>
      </w:r>
    </w:p>
    <w:p>
      <w:pPr>
        <w:spacing w:after="30"/>
      </w:pPr>
      <w:r>
        <w:rPr>
          <w:sz w:val="20"/>
          <w:szCs w:val="20"/>
        </w:rPr>
        <w:t xml:space="preserve">A spreadsheet function that returns an alternative result when a formula evaluates to an error, improving robustness in templates where inputs may be blank or zero.</w:t>
      </w:r>
    </w:p>
    <w:p>
      <w:pPr>
        <w:spacing w:after="100"/>
      </w:pPr>
      <w:r>
        <w:rPr>
          <w:i/>
          <w:iCs/>
          <w:color w:val="4a5568"/>
          <w:sz w:val="18"/>
          <w:szCs w:val="18"/>
        </w:rPr>
        <w:t xml:space="preserve">Example: </w:t>
      </w:r>
      <w:r>
        <w:rPr>
          <w:i/>
          <w:iCs/>
          <w:color w:val="4a5568"/>
          <w:sz w:val="18"/>
          <w:szCs w:val="18"/>
        </w:rPr>
        <w:t xml:space="preserve">Wrap Savings/Income with IFERROR to display zero or a blank when income is zero.</w:t>
      </w:r>
    </w:p>
    <w:p>
      <w:pPr>
        <w:spacing w:before="100" w:after="30"/>
      </w:pPr>
      <w:r>
        <w:rPr>
          <w:b/>
          <w:bCs/>
          <w:sz w:val="22"/>
          <w:szCs w:val="22"/>
        </w:rPr>
        <w:t xml:space="preserve">Key Information Document</w:t>
      </w:r>
      <w:r>
        <w:t xml:space="preserve"/>
      </w:r>
    </w:p>
    <w:p>
      <w:pPr>
        <w:spacing w:after="30"/>
      </w:pPr>
      <w:r>
        <w:rPr>
          <w:sz w:val="20"/>
          <w:szCs w:val="20"/>
        </w:rPr>
        <w:t xml:space="preserve">A standardised document for retail investors that outlines a product’s objectives, risks, costs, performance scenarios, and other essentials to support informed decisions and comparability.</w:t>
      </w:r>
    </w:p>
    <w:p>
      <w:pPr>
        <w:spacing w:after="100"/>
      </w:pPr>
      <w:r>
        <w:rPr>
          <w:i/>
          <w:iCs/>
          <w:color w:val="4a5568"/>
          <w:sz w:val="18"/>
          <w:szCs w:val="18"/>
        </w:rPr>
        <w:t xml:space="preserve">Example: </w:t>
      </w:r>
      <w:r>
        <w:rPr>
          <w:i/>
          <w:iCs/>
          <w:color w:val="4a5568"/>
          <w:sz w:val="18"/>
          <w:szCs w:val="18"/>
        </w:rPr>
        <w:t xml:space="preserve">File the KID in the client folder to evidence disclosure before recommending the fund.</w:t>
      </w:r>
    </w:p>
    <w:p>
      <w:pPr>
        <w:spacing w:before="100" w:after="30"/>
      </w:pPr>
      <w:r>
        <w:rPr>
          <w:b/>
          <w:bCs/>
          <w:sz w:val="22"/>
          <w:szCs w:val="22"/>
        </w:rPr>
        <w:t xml:space="preserve">KID</w:t>
      </w:r>
      <w:r>
        <w:rPr>
          <w:i/>
          <w:iCs/>
          <w:color w:val="718096"/>
          <w:sz w:val="18"/>
          <w:szCs w:val="18"/>
        </w:rPr>
        <w:t xml:space="preserve"> (Acronym)</w:t>
      </w:r>
    </w:p>
    <w:p>
      <w:pPr>
        <w:spacing w:after="30"/>
      </w:pPr>
      <w:r>
        <w:rPr>
          <w:sz w:val="20"/>
          <w:szCs w:val="20"/>
        </w:rPr>
        <w:t xml:space="preserve">Key Information Document — a concise disclosure outlining product risks, objectives, costs, and scenarios for retail investors.</w:t>
      </w:r>
    </w:p>
    <w:p>
      <w:pPr>
        <w:spacing w:after="30"/>
      </w:pPr>
      <w:r>
        <w:rPr>
          <w:i/>
          <w:iCs/>
          <w:color w:val="4a5568"/>
          <w:sz w:val="18"/>
          <w:szCs w:val="18"/>
        </w:rPr>
        <w:t xml:space="preserve">Stands for: </w:t>
      </w:r>
      <w:r>
        <w:rPr>
          <w:color w:val="4a5568"/>
          <w:sz w:val="18"/>
          <w:szCs w:val="18"/>
        </w:rPr>
        <w:t xml:space="preserve">Key Information Document</w:t>
      </w:r>
    </w:p>
    <w:p>
      <w:pPr>
        <w:spacing w:after="100"/>
      </w:pPr>
      <w:r>
        <w:rPr>
          <w:i/>
          <w:iCs/>
          <w:color w:val="4a5568"/>
          <w:sz w:val="18"/>
          <w:szCs w:val="18"/>
        </w:rPr>
        <w:t xml:space="preserve">Example: </w:t>
      </w:r>
      <w:r>
        <w:rPr>
          <w:i/>
          <w:iCs/>
          <w:color w:val="4a5568"/>
          <w:sz w:val="18"/>
          <w:szCs w:val="18"/>
        </w:rPr>
        <w:t xml:space="preserve">Ensure the KID is retained in the shared client folder with restricted access.</w:t>
      </w:r>
    </w:p>
    <w:p>
      <w:pPr>
        <w:spacing w:before="100" w:after="30"/>
      </w:pPr>
      <w:r>
        <w:rPr>
          <w:b/>
          <w:bCs/>
          <w:sz w:val="22"/>
          <w:szCs w:val="22"/>
        </w:rPr>
        <w:t xml:space="preserve">Named Range</w:t>
      </w:r>
      <w:r>
        <w:t xml:space="preserve"/>
      </w:r>
    </w:p>
    <w:p>
      <w:pPr>
        <w:spacing w:after="30"/>
      </w:pPr>
      <w:r>
        <w:rPr>
          <w:sz w:val="20"/>
          <w:szCs w:val="20"/>
        </w:rPr>
        <w:t xml:space="preserve">A user-defined label assigned to a cell or range that simplifies formulas and validation lists, improving readability and reducing reference errors in spreadsheets.</w:t>
      </w:r>
    </w:p>
    <w:p>
      <w:pPr>
        <w:spacing w:after="100"/>
      </w:pPr>
      <w:r>
        <w:rPr>
          <w:i/>
          <w:iCs/>
          <w:color w:val="4a5568"/>
          <w:sz w:val="18"/>
          <w:szCs w:val="18"/>
        </w:rPr>
        <w:t xml:space="preserve">Example: </w:t>
      </w:r>
      <w:r>
        <w:rPr>
          <w:i/>
          <w:iCs/>
          <w:color w:val="4a5568"/>
          <w:sz w:val="18"/>
          <w:szCs w:val="18"/>
        </w:rPr>
        <w:t xml:space="preserve">Use the named range 'Categories' in Data Validation so users can only pick approved expense types.</w:t>
      </w:r>
    </w:p>
    <w:p>
      <w:pPr>
        <w:spacing w:before="100" w:after="30"/>
      </w:pPr>
      <w:r>
        <w:rPr>
          <w:b/>
          <w:bCs/>
          <w:sz w:val="22"/>
          <w:szCs w:val="22"/>
        </w:rPr>
        <w:t xml:space="preserve">Net Cashflow</w:t>
      </w:r>
      <w:r>
        <w:t xml:space="preserve"/>
      </w:r>
    </w:p>
    <w:p>
      <w:pPr>
        <w:spacing w:after="30"/>
      </w:pPr>
      <w:r>
        <w:rPr>
          <w:sz w:val="20"/>
          <w:szCs w:val="20"/>
        </w:rPr>
        <w:t xml:space="preserve">Income minus expenses for a given period. A positive figure indicates surplus funds available for saving or debt repayment; a negative figure indicates a shortfall.</w:t>
      </w:r>
    </w:p>
    <w:p>
      <w:pPr>
        <w:spacing w:after="100"/>
      </w:pPr>
      <w:r>
        <w:rPr>
          <w:i/>
          <w:iCs/>
          <w:color w:val="4a5568"/>
          <w:sz w:val="18"/>
          <w:szCs w:val="18"/>
        </w:rPr>
        <w:t xml:space="preserve">Example: </w:t>
      </w:r>
      <w:r>
        <w:rPr>
          <w:i/>
          <w:iCs/>
          <w:color w:val="4a5568"/>
          <w:sz w:val="18"/>
          <w:szCs w:val="18"/>
        </w:rPr>
        <w:t xml:space="preserve">Your net cashflow is positive this month, so you can increase your emergency fund contribution.</w:t>
      </w:r>
    </w:p>
    <w:p>
      <w:pPr>
        <w:spacing w:before="100" w:after="30"/>
      </w:pPr>
      <w:r>
        <w:rPr>
          <w:b/>
          <w:bCs/>
          <w:sz w:val="22"/>
          <w:szCs w:val="22"/>
        </w:rPr>
        <w:t xml:space="preserve">PivotTable</w:t>
      </w:r>
      <w:r>
        <w:t xml:space="preserve"/>
      </w:r>
    </w:p>
    <w:p>
      <w:pPr>
        <w:spacing w:after="30"/>
      </w:pPr>
      <w:r>
        <w:rPr>
          <w:sz w:val="20"/>
          <w:szCs w:val="20"/>
        </w:rPr>
        <w:t xml:space="preserve">A spreadsheet tool that summarises and aggregates data dynamically by categories, dates, or other fields, enabling quick analysis without writing complex formulas.</w:t>
      </w:r>
    </w:p>
    <w:p>
      <w:pPr>
        <w:spacing w:after="100"/>
      </w:pPr>
      <w:r>
        <w:rPr>
          <w:i/>
          <w:iCs/>
          <w:color w:val="4a5568"/>
          <w:sz w:val="18"/>
          <w:szCs w:val="18"/>
        </w:rPr>
        <w:t xml:space="preserve">Example: </w:t>
      </w:r>
      <w:r>
        <w:rPr>
          <w:i/>
          <w:iCs/>
          <w:color w:val="4a5568"/>
          <w:sz w:val="18"/>
          <w:szCs w:val="18"/>
        </w:rPr>
        <w:t xml:space="preserve">Create a PivotTable with Category in Rows and Amount in Values to see total spending by category.</w:t>
      </w:r>
    </w:p>
    <w:p>
      <w:pPr>
        <w:spacing w:before="100" w:after="30"/>
      </w:pPr>
      <w:r>
        <w:rPr>
          <w:b/>
          <w:bCs/>
          <w:sz w:val="22"/>
          <w:szCs w:val="22"/>
        </w:rPr>
        <w:t xml:space="preserve">PMT function</w:t>
      </w:r>
      <w:r>
        <w:rPr>
          <w:i/>
          <w:iCs/>
          <w:color w:val="718096"/>
          <w:sz w:val="18"/>
          <w:szCs w:val="18"/>
        </w:rPr>
        <w:t xml:space="preserve"> (Acronym)</w:t>
      </w:r>
    </w:p>
    <w:p>
      <w:pPr>
        <w:spacing w:after="30"/>
      </w:pPr>
      <w:r>
        <w:rPr>
          <w:sz w:val="20"/>
          <w:szCs w:val="20"/>
        </w:rPr>
        <w:t xml:space="preserve">A spreadsheet function that calculates the constant payment required each period for a loan or savings plan given rate, number of periods, present value, and future value.</w:t>
      </w:r>
    </w:p>
    <w:p>
      <w:pPr>
        <w:spacing w:after="30"/>
      </w:pPr>
      <w:r>
        <w:rPr>
          <w:i/>
          <w:iCs/>
          <w:color w:val="4a5568"/>
          <w:sz w:val="18"/>
          <w:szCs w:val="18"/>
        </w:rPr>
        <w:t xml:space="preserve">Stands for: </w:t>
      </w:r>
      <w:r>
        <w:rPr>
          <w:color w:val="4a5568"/>
          <w:sz w:val="18"/>
          <w:szCs w:val="18"/>
        </w:rPr>
        <w:t xml:space="preserve">Payment function</w:t>
      </w:r>
    </w:p>
    <w:p>
      <w:pPr>
        <w:spacing w:after="100"/>
      </w:pPr>
      <w:r>
        <w:rPr>
          <w:i/>
          <w:iCs/>
          <w:color w:val="4a5568"/>
          <w:sz w:val="18"/>
          <w:szCs w:val="18"/>
        </w:rPr>
        <w:t xml:space="preserve">Example: </w:t>
      </w:r>
      <w:r>
        <w:rPr>
          <w:i/>
          <w:iCs/>
          <w:color w:val="4a5568"/>
          <w:sz w:val="18"/>
          <w:szCs w:val="18"/>
        </w:rPr>
        <w:t xml:space="preserve">We used PMT to compute the monthly contribution needed to reach the savings target.</w:t>
      </w:r>
    </w:p>
    <w:p>
      <w:pPr>
        <w:spacing w:before="100" w:after="30"/>
      </w:pPr>
      <w:r>
        <w:rPr>
          <w:b/>
          <w:bCs/>
          <w:sz w:val="22"/>
          <w:szCs w:val="22"/>
        </w:rPr>
        <w:t xml:space="preserve">Portfolio Reconciliation</w:t>
      </w:r>
      <w:r>
        <w:t xml:space="preserve"/>
      </w:r>
    </w:p>
    <w:p>
      <w:pPr>
        <w:spacing w:after="30"/>
      </w:pPr>
      <w:r>
        <w:rPr>
          <w:sz w:val="20"/>
          <w:szCs w:val="20"/>
        </w:rPr>
        <w:t xml:space="preserve">The process of matching recorded portfolio holdings, transactions, and valuations against custodian or platform statements, identifying and resolving breaks to ensure accurate records and reporting.</w:t>
      </w:r>
    </w:p>
    <w:p>
      <w:pPr>
        <w:spacing w:after="100"/>
      </w:pPr>
      <w:r>
        <w:rPr>
          <w:i/>
          <w:iCs/>
          <w:color w:val="4a5568"/>
          <w:sz w:val="18"/>
          <w:szCs w:val="18"/>
        </w:rPr>
        <w:t xml:space="preserve">Example: </w:t>
      </w:r>
      <w:r>
        <w:rPr>
          <w:i/>
          <w:iCs/>
          <w:color w:val="4a5568"/>
          <w:sz w:val="18"/>
          <w:szCs w:val="18"/>
        </w:rPr>
        <w:t xml:space="preserve">Reconciling holdings monthly uncovered a missing dividend that affected performance figures.</w:t>
      </w:r>
    </w:p>
    <w:p>
      <w:pPr>
        <w:spacing w:before="100" w:after="30"/>
      </w:pPr>
      <w:r>
        <w:rPr>
          <w:b/>
          <w:bCs/>
          <w:sz w:val="22"/>
          <w:szCs w:val="22"/>
        </w:rPr>
        <w:t xml:space="preserve">Present Value</w:t>
      </w:r>
      <w:r>
        <w:t xml:space="preserve"/>
      </w:r>
    </w:p>
    <w:p>
      <w:pPr>
        <w:spacing w:after="30"/>
      </w:pPr>
      <w:r>
        <w:rPr>
          <w:sz w:val="20"/>
          <w:szCs w:val="20"/>
        </w:rPr>
        <w:t xml:space="preserve">The current worth of a future cash amount or stream, discounted at an appropriate rate to reflect time, risk, and opportunity cost.</w:t>
      </w:r>
    </w:p>
    <w:p>
      <w:pPr>
        <w:spacing w:after="100"/>
      </w:pPr>
      <w:r>
        <w:rPr>
          <w:i/>
          <w:iCs/>
          <w:color w:val="4a5568"/>
          <w:sz w:val="18"/>
          <w:szCs w:val="18"/>
        </w:rPr>
        <w:t xml:space="preserve">Example: </w:t>
      </w:r>
      <w:r>
        <w:rPr>
          <w:i/>
          <w:iCs/>
          <w:color w:val="4a5568"/>
          <w:sz w:val="18"/>
          <w:szCs w:val="18"/>
        </w:rPr>
        <w:t xml:space="preserve">We discounted the loan’s future payments to estimate their present value using the client’s interest rate.</w:t>
      </w:r>
    </w:p>
    <w:p>
      <w:pPr>
        <w:spacing w:before="100" w:after="30"/>
      </w:pPr>
      <w:r>
        <w:rPr>
          <w:b/>
          <w:bCs/>
          <w:sz w:val="22"/>
          <w:szCs w:val="22"/>
        </w:rPr>
        <w:t xml:space="preserve">PV</w:t>
      </w:r>
      <w:r>
        <w:rPr>
          <w:i/>
          <w:iCs/>
          <w:color w:val="718096"/>
          <w:sz w:val="18"/>
          <w:szCs w:val="18"/>
        </w:rPr>
        <w:t xml:space="preserve"> (Acronym)</w:t>
      </w:r>
    </w:p>
    <w:p>
      <w:pPr>
        <w:spacing w:after="30"/>
      </w:pPr>
      <w:r>
        <w:rPr>
          <w:sz w:val="20"/>
          <w:szCs w:val="20"/>
        </w:rPr>
        <w:t xml:space="preserve">Present Value — the current value of future cashflows discounted at a specified rate.</w:t>
      </w:r>
    </w:p>
    <w:p>
      <w:pPr>
        <w:spacing w:after="30"/>
      </w:pPr>
      <w:r>
        <w:rPr>
          <w:i/>
          <w:iCs/>
          <w:color w:val="4a5568"/>
          <w:sz w:val="18"/>
          <w:szCs w:val="18"/>
        </w:rPr>
        <w:t xml:space="preserve">Stands for: </w:t>
      </w:r>
      <w:r>
        <w:rPr>
          <w:color w:val="4a5568"/>
          <w:sz w:val="18"/>
          <w:szCs w:val="18"/>
        </w:rPr>
        <w:t xml:space="preserve">Present Value</w:t>
      </w:r>
    </w:p>
    <w:p>
      <w:pPr>
        <w:spacing w:after="100"/>
      </w:pPr>
      <w:r>
        <w:rPr>
          <w:i/>
          <w:iCs/>
          <w:color w:val="4a5568"/>
          <w:sz w:val="18"/>
          <w:szCs w:val="18"/>
        </w:rPr>
        <w:t xml:space="preserve">Example: </w:t>
      </w:r>
      <w:r>
        <w:rPr>
          <w:i/>
          <w:iCs/>
          <w:color w:val="4a5568"/>
          <w:sz w:val="18"/>
          <w:szCs w:val="18"/>
        </w:rPr>
        <w:t xml:space="preserve">Enter PV as negative when representing money invested today in the calculator.</w:t>
      </w:r>
    </w:p>
    <w:p>
      <w:pPr>
        <w:spacing w:before="100" w:after="30"/>
      </w:pPr>
      <w:r>
        <w:rPr>
          <w:b/>
          <w:bCs/>
          <w:sz w:val="22"/>
          <w:szCs w:val="22"/>
        </w:rPr>
        <w:t xml:space="preserve">RATE function</w:t>
      </w:r>
      <w:r>
        <w:t xml:space="preserve"/>
      </w:r>
    </w:p>
    <w:p>
      <w:pPr>
        <w:spacing w:after="30"/>
      </w:pPr>
      <w:r>
        <w:rPr>
          <w:sz w:val="20"/>
          <w:szCs w:val="20"/>
        </w:rPr>
        <w:t xml:space="preserve">A spreadsheet function that computes the per-period interest rate given the number of periods, payment, present value, and future value of a cashflow.</w:t>
      </w:r>
    </w:p>
    <w:p>
      <w:pPr>
        <w:spacing w:after="100"/>
      </w:pPr>
      <w:r>
        <w:rPr>
          <w:i/>
          <w:iCs/>
          <w:color w:val="4a5568"/>
          <w:sz w:val="18"/>
          <w:szCs w:val="18"/>
        </w:rPr>
        <w:t xml:space="preserve">Example: </w:t>
      </w:r>
      <w:r>
        <w:rPr>
          <w:i/>
          <w:iCs/>
          <w:color w:val="4a5568"/>
          <w:sz w:val="18"/>
          <w:szCs w:val="18"/>
        </w:rPr>
        <w:t xml:space="preserve">Use RATE to find the implied interest rate on a loan from its payment schedule.</w:t>
      </w:r>
    </w:p>
    <w:p>
      <w:pPr>
        <w:spacing w:before="100" w:after="30"/>
      </w:pPr>
      <w:r>
        <w:rPr>
          <w:b/>
          <w:bCs/>
          <w:sz w:val="22"/>
          <w:szCs w:val="22"/>
        </w:rPr>
        <w:t xml:space="preserve">Return</w:t>
      </w:r>
      <w:r>
        <w:t xml:space="preserve"/>
      </w:r>
    </w:p>
    <w:p>
      <w:pPr>
        <w:spacing w:after="30"/>
      </w:pPr>
      <w:r>
        <w:rPr>
          <w:sz w:val="20"/>
          <w:szCs w:val="20"/>
        </w:rPr>
        <w:t xml:space="preserve">The gain or loss on an investment over a period, expressed as a percentage of the initial value, including income and capital change.</w:t>
      </w:r>
    </w:p>
    <w:p>
      <w:pPr>
        <w:spacing w:after="100"/>
      </w:pPr>
      <w:r>
        <w:rPr>
          <w:i/>
          <w:iCs/>
          <w:color w:val="4a5568"/>
          <w:sz w:val="18"/>
          <w:szCs w:val="18"/>
        </w:rPr>
        <w:t xml:space="preserve">Example: </w:t>
      </w:r>
      <w:r>
        <w:rPr>
          <w:i/>
          <w:iCs/>
          <w:color w:val="4a5568"/>
          <w:sz w:val="18"/>
          <w:szCs w:val="18"/>
        </w:rPr>
        <w:t xml:space="preserve">We compared returns across funds to evaluate whether higher fees were justified by performance.</w:t>
      </w:r>
    </w:p>
    <w:p>
      <w:pPr>
        <w:spacing w:before="100" w:after="30"/>
      </w:pPr>
      <w:r>
        <w:rPr>
          <w:b/>
          <w:bCs/>
          <w:sz w:val="22"/>
          <w:szCs w:val="22"/>
        </w:rPr>
        <w:t xml:space="preserve">Risk (Investment Risk)</w:t>
      </w:r>
      <w:r>
        <w:t xml:space="preserve"/>
      </w:r>
    </w:p>
    <w:p>
      <w:pPr>
        <w:spacing w:after="30"/>
      </w:pPr>
      <w:r>
        <w:rPr>
          <w:sz w:val="20"/>
          <w:szCs w:val="20"/>
        </w:rPr>
        <w:t xml:space="preserve">The possibility that actual investment outcomes differ from expectations, including the chance of loss, volatility of returns, and not meeting financial goals.</w:t>
      </w:r>
    </w:p>
    <w:p>
      <w:pPr>
        <w:spacing w:after="100"/>
      </w:pPr>
      <w:r>
        <w:rPr>
          <w:i/>
          <w:iCs/>
          <w:color w:val="4a5568"/>
          <w:sz w:val="18"/>
          <w:szCs w:val="18"/>
        </w:rPr>
        <w:t xml:space="preserve">Example: </w:t>
      </w:r>
      <w:r>
        <w:rPr>
          <w:i/>
          <w:iCs/>
          <w:color w:val="4a5568"/>
          <w:sz w:val="18"/>
          <w:szCs w:val="18"/>
        </w:rPr>
        <w:t xml:space="preserve">Understanding investment risk helps set an asset mix that clients can tolerate through market cycles.</w:t>
      </w:r>
    </w:p>
    <w:p>
      <w:pPr>
        <w:spacing w:before="100" w:after="30"/>
      </w:pPr>
      <w:r>
        <w:rPr>
          <w:b/>
          <w:bCs/>
          <w:sz w:val="22"/>
          <w:szCs w:val="22"/>
        </w:rPr>
        <w:t xml:space="preserve">Sign Convention</w:t>
      </w:r>
      <w:r>
        <w:t xml:space="preserve"/>
      </w:r>
    </w:p>
    <w:p>
      <w:pPr>
        <w:spacing w:after="30"/>
      </w:pPr>
      <w:r>
        <w:rPr>
          <w:sz w:val="20"/>
          <w:szCs w:val="20"/>
        </w:rPr>
        <w:t xml:space="preserve">A rule for setting cash inflows as positive and cash outflows as negative in financial calculations, ensuring spreadsheet functions produce correct results.</w:t>
      </w:r>
    </w:p>
    <w:p>
      <w:pPr>
        <w:spacing w:after="100"/>
      </w:pPr>
      <w:r>
        <w:rPr>
          <w:i/>
          <w:iCs/>
          <w:color w:val="4a5568"/>
          <w:sz w:val="18"/>
          <w:szCs w:val="18"/>
        </w:rPr>
        <w:t xml:space="preserve">Example: </w:t>
      </w:r>
      <w:r>
        <w:rPr>
          <w:i/>
          <w:iCs/>
          <w:color w:val="4a5568"/>
          <w:sz w:val="18"/>
          <w:szCs w:val="18"/>
        </w:rPr>
        <w:t xml:space="preserve">Set deposits as negative and withdrawals as positive to follow the TVM sign convention consistently.</w:t>
      </w:r>
    </w:p>
    <w:p>
      <w:pPr>
        <w:spacing w:before="100" w:after="30"/>
      </w:pPr>
      <w:r>
        <w:rPr>
          <w:b/>
          <w:bCs/>
          <w:sz w:val="22"/>
          <w:szCs w:val="22"/>
        </w:rPr>
        <w:t xml:space="preserve">SUMIFS function</w:t>
      </w:r>
      <w:r>
        <w:t xml:space="preserve"/>
      </w:r>
    </w:p>
    <w:p>
      <w:pPr>
        <w:spacing w:after="30"/>
      </w:pPr>
      <w:r>
        <w:rPr>
          <w:sz w:val="20"/>
          <w:szCs w:val="20"/>
        </w:rPr>
        <w:t xml:space="preserve">A spreadsheet function that sums values meeting multiple criteria, such as date ranges and category filters, ideal for rolling totals and conditional summaries in budgets.</w:t>
      </w:r>
    </w:p>
    <w:p>
      <w:pPr>
        <w:spacing w:after="100"/>
      </w:pPr>
      <w:r>
        <w:rPr>
          <w:i/>
          <w:iCs/>
          <w:color w:val="4a5568"/>
          <w:sz w:val="18"/>
          <w:szCs w:val="18"/>
        </w:rPr>
        <w:t xml:space="preserve">Example: </w:t>
      </w:r>
      <w:r>
        <w:rPr>
          <w:i/>
          <w:iCs/>
          <w:color w:val="4a5568"/>
          <w:sz w:val="18"/>
          <w:szCs w:val="18"/>
        </w:rPr>
        <w:t xml:space="preserve">Use SUMIFS to total Food expenses where dates fall within the current year and category equals 'Food'.</w:t>
      </w:r>
    </w:p>
    <w:p>
      <w:pPr>
        <w:spacing w:before="100" w:after="30"/>
      </w:pPr>
      <w:r>
        <w:rPr>
          <w:b/>
          <w:bCs/>
          <w:sz w:val="22"/>
          <w:szCs w:val="22"/>
        </w:rPr>
        <w:t xml:space="preserve">TEXT function</w:t>
      </w:r>
      <w:r>
        <w:t xml:space="preserve"/>
      </w:r>
    </w:p>
    <w:p>
      <w:pPr>
        <w:spacing w:after="30"/>
      </w:pPr>
      <w:r>
        <w:rPr>
          <w:sz w:val="20"/>
          <w:szCs w:val="20"/>
        </w:rPr>
        <w:t xml:space="preserve">A spreadsheet function that converts numbers or dates to text in a specified format, useful for displaying month names or custom number formats in dashboards.</w:t>
      </w:r>
    </w:p>
    <w:p>
      <w:pPr>
        <w:spacing w:after="100"/>
      </w:pPr>
      <w:r>
        <w:rPr>
          <w:i/>
          <w:iCs/>
          <w:color w:val="4a5568"/>
          <w:sz w:val="18"/>
          <w:szCs w:val="18"/>
        </w:rPr>
        <w:t xml:space="preserve">Example: </w:t>
      </w:r>
      <w:r>
        <w:rPr>
          <w:i/>
          <w:iCs/>
          <w:color w:val="4a5568"/>
          <w:sz w:val="18"/>
          <w:szCs w:val="18"/>
        </w:rPr>
        <w:t xml:space="preserve">Use TEXT(A2, "mmmm") to display the full month name from a transaction date.</w:t>
      </w:r>
    </w:p>
    <w:p>
      <w:pPr>
        <w:spacing w:before="100" w:after="30"/>
      </w:pPr>
      <w:r>
        <w:rPr>
          <w:b/>
          <w:bCs/>
          <w:sz w:val="22"/>
          <w:szCs w:val="22"/>
        </w:rPr>
        <w:t xml:space="preserve">Time Value of Money</w:t>
      </w:r>
      <w:r>
        <w:t xml:space="preserve"/>
      </w:r>
    </w:p>
    <w:p>
      <w:pPr>
        <w:spacing w:after="30"/>
      </w:pPr>
      <w:r>
        <w:rPr>
          <w:sz w:val="20"/>
          <w:szCs w:val="20"/>
        </w:rPr>
        <w:t xml:space="preserve">The principle that money available today is worth more than the same amount in the future due to its earning potential through interest or investment returns.</w:t>
      </w:r>
    </w:p>
    <w:p>
      <w:pPr>
        <w:spacing w:after="100"/>
      </w:pPr>
      <w:r>
        <w:rPr>
          <w:i/>
          <w:iCs/>
          <w:color w:val="4a5568"/>
          <w:sz w:val="18"/>
          <w:szCs w:val="18"/>
        </w:rPr>
        <w:t xml:space="preserve">Example: </w:t>
      </w:r>
      <w:r>
        <w:rPr>
          <w:i/>
          <w:iCs/>
          <w:color w:val="4a5568"/>
          <w:sz w:val="18"/>
          <w:szCs w:val="18"/>
        </w:rPr>
        <w:t xml:space="preserve">Using time value of money, we calculated how much to save monthly to reach the university fund target.</w:t>
      </w:r>
    </w:p>
    <w:p>
      <w:pPr>
        <w:spacing w:before="100" w:after="30"/>
      </w:pPr>
      <w:r>
        <w:rPr>
          <w:b/>
          <w:bCs/>
          <w:sz w:val="22"/>
          <w:szCs w:val="22"/>
        </w:rPr>
        <w:t xml:space="preserve">Worksheet Protection</w:t>
      </w:r>
      <w:r>
        <w:t xml:space="preserve"/>
      </w:r>
    </w:p>
    <w:p>
      <w:pPr>
        <w:spacing w:after="30"/>
      </w:pPr>
      <w:r>
        <w:rPr>
          <w:sz w:val="20"/>
          <w:szCs w:val="20"/>
        </w:rPr>
        <w:t xml:space="preserve">A spreadsheet feature that locks cells, ranges, or structure to prevent accidental edits to formulas or headings while allowing controlled data entry in designated input cells.</w:t>
      </w:r>
    </w:p>
    <w:p>
      <w:pPr>
        <w:spacing w:after="100"/>
      </w:pPr>
      <w:r>
        <w:rPr>
          <w:i/>
          <w:iCs/>
          <w:color w:val="4a5568"/>
          <w:sz w:val="18"/>
          <w:szCs w:val="18"/>
        </w:rPr>
        <w:t xml:space="preserve">Example: </w:t>
      </w:r>
      <w:r>
        <w:rPr>
          <w:i/>
          <w:iCs/>
          <w:color w:val="4a5568"/>
          <w:sz w:val="18"/>
          <w:szCs w:val="18"/>
        </w:rPr>
        <w:t xml:space="preserve">Protect the sheet, leaving only input cells unlocked, to prevent users overwriting formulas.</w:t>
      </w:r>
    </w:p>
    <w:p>
      <w:pPr>
        <w:spacing w:before="100" w:after="30"/>
      </w:pPr>
      <w:r>
        <w:rPr>
          <w:b/>
          <w:bCs/>
          <w:sz w:val="22"/>
          <w:szCs w:val="22"/>
        </w:rPr>
        <w:t xml:space="preserve">Year-to-Date (YTD)</w:t>
      </w:r>
      <w:r>
        <w:t xml:space="preserve"/>
      </w:r>
    </w:p>
    <w:p>
      <w:pPr>
        <w:spacing w:after="30"/>
      </w:pPr>
      <w:r>
        <w:rPr>
          <w:sz w:val="20"/>
          <w:szCs w:val="20"/>
        </w:rPr>
        <w:t xml:space="preserve">A cumulative total from the start of the current calendar or fiscal year up to the present date, often used for tracking spending or performance.</w:t>
      </w:r>
    </w:p>
    <w:p>
      <w:pPr>
        <w:spacing w:after="100"/>
      </w:pPr>
      <w:r>
        <w:rPr>
          <w:i/>
          <w:iCs/>
          <w:color w:val="4a5568"/>
          <w:sz w:val="18"/>
          <w:szCs w:val="18"/>
        </w:rPr>
        <w:t xml:space="preserve">Example: </w:t>
      </w:r>
      <w:r>
        <w:rPr>
          <w:i/>
          <w:iCs/>
          <w:color w:val="4a5568"/>
          <w:sz w:val="18"/>
          <w:szCs w:val="18"/>
        </w:rPr>
        <w:t xml:space="preserve">The YTD food spend helps compare this year’s habits against last year’s budget plan.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Fundamentals of Finance, Investment &amp;amp; Wealth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1a365d"/>
      <w:sz w:val="36"/>
      <w:szCs w:val="36"/>
    </w:rPr>
  </w:style>
  <w:style w:type="paragraph" w:styleId="Heading2">
    <w:name w:val="Heading 2"/>
    <w:basedOn w:val="Normal"/>
    <w:next w:val="Normal"/>
    <w:qFormat/>
    <w:pPr>
      <w:spacing w:before="300" w:after="150"/>
    </w:pPr>
    <w:rPr>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Finance, Investment &amp;amp; Wealth Management</dc:title>
  <dc:creator>AI Curriculum Generator</dc:creator>
  <dc:description>Auto-generated curriculum design document</dc:description>
  <cp:lastModifiedBy>Un-named</cp:lastModifiedBy>
  <cp:revision>1</cp:revision>
  <dcterms:created xsi:type="dcterms:W3CDTF">2025-12-04T05:21:33.068Z</dcterms:created>
  <dcterms:modified xsi:type="dcterms:W3CDTF">2025-12-04T05:21:33.068Z</dcterms:modified>
</cp:coreProperties>
</file>

<file path=docProps/custom.xml><?xml version="1.0" encoding="utf-8"?>
<Properties xmlns="http://schemas.openxmlformats.org/officeDocument/2006/custom-properties" xmlns:vt="http://schemas.openxmlformats.org/officeDocument/2006/docPropsVTypes"/>
</file>