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08e80055d186ef2704effb165918ee6af7aed51"/>
    <w:p>
      <w:pPr>
        <w:pStyle w:val="Heading1"/>
      </w:pPr>
      <w:r>
        <w:t xml:space="preserve">Step 11: PPT Deck Generation Specification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Step 11 automatically generates a complete</w:t>
      </w:r>
      <w:r>
        <w:t xml:space="preserve"> </w:t>
      </w:r>
      <w:r>
        <w:rPr>
          <w:b/>
          <w:bCs/>
        </w:rPr>
        <w:t xml:space="preserve">PowerPoint (PPT) deck for each lesson</w:t>
      </w:r>
      <w:r>
        <w:t xml:space="preserve">, using the approved lesson plans created in Step 10. These decks provide instructors with structured, ready-to-teach visual materials fully aligned with the program’s instructional design.</w:t>
      </w:r>
    </w:p>
    <w:p>
      <w:pPr>
        <w:pStyle w:val="BodyText"/>
      </w:pPr>
      <w:r>
        <w:t xml:space="preserve">PPT generation is a</w:t>
      </w:r>
      <w:r>
        <w:t xml:space="preserve"> </w:t>
      </w:r>
      <w:r>
        <w:rPr>
          <w:b/>
          <w:bCs/>
        </w:rPr>
        <w:t xml:space="preserve">derived output</w:t>
      </w:r>
      <w:r>
        <w:t xml:space="preserve">. SMEs do not manually upload slides—content is produced algorithmically from validated curriculum data.</w:t>
      </w:r>
    </w:p>
    <w:p>
      <w:r>
        <w:pict>
          <v:rect style="width:0;height:1.5pt" o:hralign="center" o:hrstd="t" o:hr="t"/>
        </w:pict>
      </w:r>
    </w:p>
    <w:bookmarkEnd w:id="20"/>
    <w:bookmarkStart w:id="21" w:name="inputs-required-for-ppt-generation"/>
    <w:p>
      <w:pPr>
        <w:pStyle w:val="Heading2"/>
      </w:pPr>
      <w:r>
        <w:t xml:space="preserve">2. Inputs Required for PPT Generation</w:t>
      </w:r>
    </w:p>
    <w:p>
      <w:pPr>
        <w:pStyle w:val="FirstParagraph"/>
      </w:pPr>
      <w:r>
        <w:t xml:space="preserve">The PPT generator uses information from earlier steps: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Delivery mode (determines formatting rules)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Program Learning Outcomes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Module titles, sequence, MLOs, contact-hour distribution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5–6:</w:t>
      </w:r>
      <w:r>
        <w:t xml:space="preserve"> </w:t>
      </w:r>
      <w:r>
        <w:t xml:space="preserve">Core and Supplementary readings, APA citations, difficulty levels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7:</w:t>
      </w:r>
      <w:r>
        <w:t xml:space="preserve"> </w:t>
      </w:r>
      <w:r>
        <w:t xml:space="preserve">Assessment items for formative checks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8:</w:t>
      </w:r>
      <w:r>
        <w:t xml:space="preserve"> </w:t>
      </w:r>
      <w:r>
        <w:t xml:space="preserve">Case studies, hooks, metadata, role-play suitability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10:</w:t>
      </w:r>
      <w:r>
        <w:t xml:space="preserve"> </w:t>
      </w:r>
      <w:r>
        <w:t xml:space="preserve">Lesson plans (primary blueprint for slide content)</w:t>
      </w:r>
    </w:p>
    <w:p>
      <w:pPr>
        <w:pStyle w:val="FirstParagraph"/>
      </w:pPr>
      <w:r>
        <w:t xml:space="preserve">No new SME input is required.</w:t>
      </w:r>
    </w:p>
    <w:p>
      <w:r>
        <w:pict>
          <v:rect style="width:0;height:1.5pt" o:hralign="center" o:hrstd="t" o:hr="t"/>
        </w:pict>
      </w:r>
    </w:p>
    <w:bookmarkEnd w:id="21"/>
    <w:bookmarkStart w:id="31" w:name="ppt-deck-structure-auto-generated"/>
    <w:p>
      <w:pPr>
        <w:pStyle w:val="Heading2"/>
      </w:pPr>
      <w:r>
        <w:t xml:space="preserve">3. PPT Deck Structure (Auto-Generated)</w:t>
      </w:r>
    </w:p>
    <w:p>
      <w:pPr>
        <w:pStyle w:val="FirstParagraph"/>
      </w:pPr>
      <w:r>
        <w:t xml:space="preserve">Each lesson receives one PPT deck following a standardized template.</w:t>
      </w:r>
    </w:p>
    <w:bookmarkStart w:id="22" w:name="title-slide"/>
    <w:p>
      <w:pPr>
        <w:pStyle w:val="Heading3"/>
      </w:pPr>
      <w:r>
        <w:t xml:space="preserve">3.1 Title Slide</w:t>
      </w:r>
    </w:p>
    <w:p>
      <w:pPr>
        <w:pStyle w:val="Compact"/>
        <w:numPr>
          <w:ilvl w:val="0"/>
          <w:numId w:val="1002"/>
        </w:numPr>
      </w:pPr>
      <w:r>
        <w:t xml:space="preserve">Module number and title</w:t>
      </w:r>
    </w:p>
    <w:p>
      <w:pPr>
        <w:pStyle w:val="Compact"/>
        <w:numPr>
          <w:ilvl w:val="0"/>
          <w:numId w:val="1002"/>
        </w:numPr>
      </w:pPr>
      <w:r>
        <w:t xml:space="preserve">Lesson number and title</w:t>
      </w:r>
    </w:p>
    <w:p>
      <w:pPr>
        <w:pStyle w:val="Compact"/>
        <w:numPr>
          <w:ilvl w:val="0"/>
          <w:numId w:val="1002"/>
        </w:numPr>
      </w:pPr>
      <w:r>
        <w:t xml:space="preserve">Program title</w:t>
      </w:r>
    </w:p>
    <w:p>
      <w:pPr>
        <w:pStyle w:val="Compact"/>
        <w:numPr>
          <w:ilvl w:val="0"/>
          <w:numId w:val="1002"/>
        </w:numPr>
      </w:pPr>
      <w:r>
        <w:t xml:space="preserve">Session duration</w:t>
      </w:r>
    </w:p>
    <w:bookmarkEnd w:id="22"/>
    <w:bookmarkStart w:id="23" w:name="learning-objectives-slide"/>
    <w:p>
      <w:pPr>
        <w:pStyle w:val="Heading3"/>
      </w:pPr>
      <w:r>
        <w:t xml:space="preserve">3.2 Learning Objectives Slide</w:t>
      </w:r>
    </w:p>
    <w:p>
      <w:pPr>
        <w:pStyle w:val="Compact"/>
        <w:numPr>
          <w:ilvl w:val="0"/>
          <w:numId w:val="1003"/>
        </w:numPr>
      </w:pPr>
      <w:r>
        <w:t xml:space="preserve">Lesson objectives derived from MLO alignment</w:t>
      </w:r>
    </w:p>
    <w:p>
      <w:pPr>
        <w:pStyle w:val="Compact"/>
        <w:numPr>
          <w:ilvl w:val="0"/>
          <w:numId w:val="1003"/>
        </w:numPr>
      </w:pPr>
      <w:r>
        <w:t xml:space="preserve">Optional PLO connection</w:t>
      </w:r>
    </w:p>
    <w:bookmarkEnd w:id="23"/>
    <w:bookmarkStart w:id="24" w:name="key-concepts-slides"/>
    <w:p>
      <w:pPr>
        <w:pStyle w:val="Heading3"/>
      </w:pPr>
      <w:r>
        <w:t xml:space="preserve">3.3 Key Concepts Slides</w:t>
      </w:r>
    </w:p>
    <w:p>
      <w:pPr>
        <w:pStyle w:val="FirstParagraph"/>
      </w:pPr>
      <w:r>
        <w:t xml:space="preserve">Introduces essential lesson concepts using:</w:t>
      </w:r>
    </w:p>
    <w:p>
      <w:pPr>
        <w:pStyle w:val="Compact"/>
        <w:numPr>
          <w:ilvl w:val="0"/>
          <w:numId w:val="1004"/>
        </w:numPr>
      </w:pPr>
      <w:r>
        <w:t xml:space="preserve">MLO-based summaries</w:t>
      </w:r>
    </w:p>
    <w:p>
      <w:pPr>
        <w:pStyle w:val="Compact"/>
        <w:numPr>
          <w:ilvl w:val="0"/>
          <w:numId w:val="1004"/>
        </w:numPr>
      </w:pPr>
      <w:r>
        <w:t xml:space="preserve">Extracted definitions from the Glossary (Step 9)</w:t>
      </w:r>
    </w:p>
    <w:p>
      <w:pPr>
        <w:pStyle w:val="Compact"/>
        <w:numPr>
          <w:ilvl w:val="0"/>
          <w:numId w:val="1004"/>
        </w:numPr>
      </w:pPr>
      <w:r>
        <w:t xml:space="preserve">Reading-based insights from validated sources</w:t>
      </w:r>
    </w:p>
    <w:bookmarkEnd w:id="24"/>
    <w:bookmarkStart w:id="25" w:name="instructional-content-slides"/>
    <w:p>
      <w:pPr>
        <w:pStyle w:val="Heading3"/>
      </w:pPr>
      <w:r>
        <w:t xml:space="preserve">3.4 Instructional Content Slides</w:t>
      </w:r>
    </w:p>
    <w:p>
      <w:pPr>
        <w:pStyle w:val="FirstParagraph"/>
      </w:pPr>
      <w:r>
        <w:t xml:space="preserve">Aligned with activity flow from Step 10:</w:t>
      </w:r>
    </w:p>
    <w:p>
      <w:pPr>
        <w:pStyle w:val="Compact"/>
        <w:numPr>
          <w:ilvl w:val="0"/>
          <w:numId w:val="1005"/>
        </w:numPr>
      </w:pPr>
      <w:r>
        <w:t xml:space="preserve">Mini-lecture visuals</w:t>
      </w:r>
    </w:p>
    <w:p>
      <w:pPr>
        <w:pStyle w:val="Compact"/>
        <w:numPr>
          <w:ilvl w:val="0"/>
          <w:numId w:val="1005"/>
        </w:numPr>
      </w:pPr>
      <w:r>
        <w:t xml:space="preserve">Concept diagrams or flowcharts</w:t>
      </w:r>
    </w:p>
    <w:p>
      <w:pPr>
        <w:pStyle w:val="Compact"/>
        <w:numPr>
          <w:ilvl w:val="0"/>
          <w:numId w:val="1005"/>
        </w:numPr>
      </w:pPr>
      <w:r>
        <w:t xml:space="preserve">Examples and explanations</w:t>
      </w:r>
    </w:p>
    <w:bookmarkEnd w:id="25"/>
    <w:bookmarkStart w:id="26" w:name="case-study-slides-from-step-8"/>
    <w:p>
      <w:pPr>
        <w:pStyle w:val="Heading3"/>
      </w:pPr>
      <w:r>
        <w:t xml:space="preserve">3.5 Case Study Slides (from Step 8)</w:t>
      </w:r>
    </w:p>
    <w:p>
      <w:pPr>
        <w:pStyle w:val="FirstParagraph"/>
      </w:pPr>
      <w:r>
        <w:t xml:space="preserve">Each case study integrated into the lesson includes:</w:t>
      </w:r>
    </w:p>
    <w:p>
      <w:pPr>
        <w:pStyle w:val="Compact"/>
        <w:numPr>
          <w:ilvl w:val="0"/>
          <w:numId w:val="1006"/>
        </w:numPr>
      </w:pPr>
      <w:r>
        <w:t xml:space="preserve">Scenario overview</w:t>
      </w:r>
    </w:p>
    <w:p>
      <w:pPr>
        <w:pStyle w:val="Compact"/>
        <w:numPr>
          <w:ilvl w:val="0"/>
          <w:numId w:val="1006"/>
        </w:numPr>
      </w:pPr>
      <w:r>
        <w:t xml:space="preserve">Key facts</w:t>
      </w:r>
    </w:p>
    <w:p>
      <w:pPr>
        <w:pStyle w:val="Compact"/>
        <w:numPr>
          <w:ilvl w:val="0"/>
          <w:numId w:val="1006"/>
        </w:numPr>
      </w:pPr>
      <w:r>
        <w:t xml:space="preserve">Discussion or decision prompts</w:t>
      </w:r>
    </w:p>
    <w:p>
      <w:pPr>
        <w:pStyle w:val="Compact"/>
        <w:numPr>
          <w:ilvl w:val="0"/>
          <w:numId w:val="1006"/>
        </w:numPr>
      </w:pPr>
      <w:r>
        <w:t xml:space="preserve">Role-play instructions (if marked suitable)</w:t>
      </w:r>
    </w:p>
    <w:p>
      <w:pPr>
        <w:pStyle w:val="Compact"/>
        <w:numPr>
          <w:ilvl w:val="0"/>
          <w:numId w:val="1006"/>
        </w:numPr>
      </w:pPr>
      <w:r>
        <w:t xml:space="preserve">Data tables or visuals (if provided)</w:t>
      </w:r>
    </w:p>
    <w:bookmarkEnd w:id="26"/>
    <w:bookmarkStart w:id="27" w:name="formative-check-slides"/>
    <w:p>
      <w:pPr>
        <w:pStyle w:val="Heading3"/>
      </w:pPr>
      <w:r>
        <w:t xml:space="preserve">3.6 Formative Check Slides</w:t>
      </w:r>
    </w:p>
    <w:p>
      <w:pPr>
        <w:pStyle w:val="FirstParagraph"/>
      </w:pPr>
      <w:r>
        <w:t xml:space="preserve">Pulled from Step 7 assessment banks:</w:t>
      </w:r>
    </w:p>
    <w:p>
      <w:pPr>
        <w:pStyle w:val="Compact"/>
        <w:numPr>
          <w:ilvl w:val="0"/>
          <w:numId w:val="1007"/>
        </w:numPr>
      </w:pPr>
      <w:r>
        <w:t xml:space="preserve">1–3 MCQs with answer explanations</w:t>
      </w:r>
    </w:p>
    <w:bookmarkEnd w:id="27"/>
    <w:bookmarkStart w:id="28" w:name="summary-slide"/>
    <w:p>
      <w:pPr>
        <w:pStyle w:val="Heading3"/>
      </w:pPr>
      <w:r>
        <w:t xml:space="preserve">3.7 Summary Slide</w:t>
      </w:r>
    </w:p>
    <w:p>
      <w:pPr>
        <w:pStyle w:val="Compact"/>
        <w:numPr>
          <w:ilvl w:val="0"/>
          <w:numId w:val="1008"/>
        </w:numPr>
      </w:pPr>
      <w:r>
        <w:t xml:space="preserve">Recap of key ideas</w:t>
      </w:r>
    </w:p>
    <w:p>
      <w:pPr>
        <w:pStyle w:val="Compact"/>
        <w:numPr>
          <w:ilvl w:val="0"/>
          <w:numId w:val="1008"/>
        </w:numPr>
      </w:pPr>
      <w:r>
        <w:t xml:space="preserve">Reflection prompts or wrap-up questions</w:t>
      </w:r>
    </w:p>
    <w:bookmarkEnd w:id="28"/>
    <w:bookmarkStart w:id="29" w:name="independent-study-slide"/>
    <w:p>
      <w:pPr>
        <w:pStyle w:val="Heading3"/>
      </w:pPr>
      <w:r>
        <w:t xml:space="preserve">3.8 Independent Study Slide</w:t>
      </w:r>
    </w:p>
    <w:p>
      <w:pPr>
        <w:pStyle w:val="FirstParagraph"/>
      </w:pPr>
      <w:r>
        <w:t xml:space="preserve">Lists:</w:t>
      </w:r>
    </w:p>
    <w:p>
      <w:pPr>
        <w:pStyle w:val="Compact"/>
        <w:numPr>
          <w:ilvl w:val="0"/>
          <w:numId w:val="1009"/>
        </w:numPr>
      </w:pPr>
      <w:r>
        <w:t xml:space="preserve">Required Core readings</w:t>
      </w:r>
    </w:p>
    <w:p>
      <w:pPr>
        <w:pStyle w:val="Compact"/>
        <w:numPr>
          <w:ilvl w:val="0"/>
          <w:numId w:val="1009"/>
        </w:numPr>
      </w:pPr>
      <w:r>
        <w:t xml:space="preserve">Optional Supplementary readings</w:t>
      </w:r>
    </w:p>
    <w:p>
      <w:pPr>
        <w:pStyle w:val="Compact"/>
        <w:numPr>
          <w:ilvl w:val="0"/>
          <w:numId w:val="1009"/>
        </w:numPr>
      </w:pPr>
      <w:r>
        <w:t xml:space="preserve">Estimated study time</w:t>
      </w:r>
    </w:p>
    <w:bookmarkEnd w:id="29"/>
    <w:bookmarkStart w:id="30" w:name="reference-slide"/>
    <w:p>
      <w:pPr>
        <w:pStyle w:val="Heading3"/>
      </w:pPr>
      <w:r>
        <w:t xml:space="preserve">3.9 Reference Slide</w:t>
      </w:r>
    </w:p>
    <w:p>
      <w:pPr>
        <w:pStyle w:val="FirstParagraph"/>
      </w:pPr>
      <w:r>
        <w:t xml:space="preserve">APA-formatted citations from all materials used.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delivery-mode-adaptation-rules"/>
    <w:p>
      <w:pPr>
        <w:pStyle w:val="Heading2"/>
      </w:pPr>
      <w:r>
        <w:t xml:space="preserve">4. Delivery-Mode Adaptation Rules</w:t>
      </w:r>
    </w:p>
    <w:p>
      <w:pPr>
        <w:pStyle w:val="FirstParagraph"/>
      </w:pPr>
      <w:r>
        <w:t xml:space="preserve">Slides automatically adapt based on the delivery mode selected in Step 1.</w:t>
      </w:r>
    </w:p>
    <w:bookmarkStart w:id="32" w:name="in-person"/>
    <w:p>
      <w:pPr>
        <w:pStyle w:val="Heading3"/>
      </w:pPr>
      <w:r>
        <w:t xml:space="preserve">In-Person</w:t>
      </w:r>
    </w:p>
    <w:p>
      <w:pPr>
        <w:pStyle w:val="Compact"/>
        <w:numPr>
          <w:ilvl w:val="0"/>
          <w:numId w:val="1010"/>
        </w:numPr>
      </w:pPr>
      <w:r>
        <w:t xml:space="preserve">More diagrams and facilitation cues</w:t>
      </w:r>
    </w:p>
    <w:p>
      <w:pPr>
        <w:pStyle w:val="Compact"/>
        <w:numPr>
          <w:ilvl w:val="0"/>
          <w:numId w:val="1010"/>
        </w:numPr>
      </w:pPr>
      <w:r>
        <w:t xml:space="preserve">Reduced text density</w:t>
      </w:r>
    </w:p>
    <w:p>
      <w:pPr>
        <w:pStyle w:val="Compact"/>
        <w:numPr>
          <w:ilvl w:val="0"/>
          <w:numId w:val="1010"/>
        </w:numPr>
      </w:pPr>
      <w:r>
        <w:t xml:space="preserve">Role-play and group-activity prompts prioritized</w:t>
      </w:r>
    </w:p>
    <w:bookmarkEnd w:id="32"/>
    <w:bookmarkStart w:id="33" w:name="online-facilitated"/>
    <w:p>
      <w:pPr>
        <w:pStyle w:val="Heading3"/>
      </w:pPr>
      <w:r>
        <w:t xml:space="preserve">Online Facilitated</w:t>
      </w:r>
    </w:p>
    <w:p>
      <w:pPr>
        <w:pStyle w:val="Compact"/>
        <w:numPr>
          <w:ilvl w:val="0"/>
          <w:numId w:val="1011"/>
        </w:numPr>
      </w:pPr>
      <w:r>
        <w:t xml:space="preserve">Clearer step-by-step instructions</w:t>
      </w:r>
    </w:p>
    <w:p>
      <w:pPr>
        <w:pStyle w:val="Compact"/>
        <w:numPr>
          <w:ilvl w:val="0"/>
          <w:numId w:val="1011"/>
        </w:numPr>
      </w:pPr>
      <w:r>
        <w:t xml:space="preserve">Breakout room prompts</w:t>
      </w:r>
    </w:p>
    <w:p>
      <w:pPr>
        <w:pStyle w:val="Compact"/>
        <w:numPr>
          <w:ilvl w:val="0"/>
          <w:numId w:val="1011"/>
        </w:numPr>
      </w:pPr>
      <w:r>
        <w:t xml:space="preserve">Polling and chat-based engagement</w:t>
      </w:r>
    </w:p>
    <w:bookmarkEnd w:id="33"/>
    <w:bookmarkStart w:id="34" w:name="online-self-study"/>
    <w:p>
      <w:pPr>
        <w:pStyle w:val="Heading3"/>
      </w:pPr>
      <w:r>
        <w:t xml:space="preserve">Online Self-Study</w:t>
      </w:r>
    </w:p>
    <w:p>
      <w:pPr>
        <w:pStyle w:val="Compact"/>
        <w:numPr>
          <w:ilvl w:val="0"/>
          <w:numId w:val="1012"/>
        </w:numPr>
      </w:pPr>
      <w:r>
        <w:t xml:space="preserve">Additional explanatory text</w:t>
      </w:r>
    </w:p>
    <w:p>
      <w:pPr>
        <w:pStyle w:val="Compact"/>
        <w:numPr>
          <w:ilvl w:val="0"/>
          <w:numId w:val="1012"/>
        </w:numPr>
      </w:pPr>
      <w:r>
        <w:t xml:space="preserve">Embedded knowledge checks</w:t>
      </w:r>
    </w:p>
    <w:p>
      <w:pPr>
        <w:pStyle w:val="Compact"/>
        <w:numPr>
          <w:ilvl w:val="0"/>
          <w:numId w:val="1012"/>
        </w:numPr>
      </w:pPr>
      <w:r>
        <w:t xml:space="preserve">Case studies simplified for solo analysis</w:t>
      </w:r>
    </w:p>
    <w:bookmarkEnd w:id="34"/>
    <w:bookmarkStart w:id="35" w:name="hybrid"/>
    <w:p>
      <w:pPr>
        <w:pStyle w:val="Heading3"/>
      </w:pPr>
      <w:r>
        <w:t xml:space="preserve">Hybrid</w:t>
      </w:r>
    </w:p>
    <w:p>
      <w:pPr>
        <w:pStyle w:val="Compact"/>
        <w:numPr>
          <w:ilvl w:val="0"/>
          <w:numId w:val="1013"/>
        </w:numPr>
      </w:pPr>
      <w:r>
        <w:t xml:space="preserve">Balanced text-to-visual ratio</w:t>
      </w:r>
    </w:p>
    <w:p>
      <w:pPr>
        <w:pStyle w:val="Compact"/>
        <w:numPr>
          <w:ilvl w:val="0"/>
          <w:numId w:val="1013"/>
        </w:numPr>
      </w:pPr>
      <w:r>
        <w:t xml:space="preserve">Slides designed for both synchronous and asynchronous segments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pt-validation-requirements"/>
    <w:p>
      <w:pPr>
        <w:pStyle w:val="Heading2"/>
      </w:pPr>
      <w:r>
        <w:t xml:space="preserve">5. PPT Validation Requirements</w:t>
      </w:r>
    </w:p>
    <w:p>
      <w:pPr>
        <w:pStyle w:val="FirstParagraph"/>
      </w:pPr>
      <w:r>
        <w:t xml:space="preserve">Before exporting, the system verifies:</w:t>
      </w:r>
    </w:p>
    <w:p>
      <w:pPr>
        <w:pStyle w:val="Compact"/>
        <w:numPr>
          <w:ilvl w:val="0"/>
          <w:numId w:val="1014"/>
        </w:numPr>
      </w:pPr>
      <w:r>
        <w:t xml:space="preserve">Each lesson has a corresponding PPT deck</w:t>
      </w:r>
    </w:p>
    <w:p>
      <w:pPr>
        <w:pStyle w:val="Compact"/>
        <w:numPr>
          <w:ilvl w:val="0"/>
          <w:numId w:val="1014"/>
        </w:numPr>
      </w:pPr>
      <w:r>
        <w:t xml:space="preserve">All MLOs appear in corresponding slide sequences</w:t>
      </w:r>
    </w:p>
    <w:p>
      <w:pPr>
        <w:pStyle w:val="Compact"/>
        <w:numPr>
          <w:ilvl w:val="0"/>
          <w:numId w:val="1014"/>
        </w:numPr>
      </w:pPr>
      <w:r>
        <w:t xml:space="preserve">Case studies appear only in designated lessons</w:t>
      </w:r>
    </w:p>
    <w:p>
      <w:pPr>
        <w:pStyle w:val="Compact"/>
        <w:numPr>
          <w:ilvl w:val="0"/>
          <w:numId w:val="1014"/>
        </w:numPr>
      </w:pPr>
      <w:r>
        <w:t xml:space="preserve">Citations match verified sources from Steps 5–6</w:t>
      </w:r>
    </w:p>
    <w:p>
      <w:pPr>
        <w:pStyle w:val="Compact"/>
        <w:numPr>
          <w:ilvl w:val="0"/>
          <w:numId w:val="1014"/>
        </w:numPr>
      </w:pPr>
      <w:r>
        <w:t xml:space="preserve">Slide count per deck remains within 15–35 slides</w:t>
      </w:r>
    </w:p>
    <w:p>
      <w:pPr>
        <w:pStyle w:val="Compact"/>
        <w:numPr>
          <w:ilvl w:val="0"/>
          <w:numId w:val="1014"/>
        </w:numPr>
      </w:pPr>
      <w:r>
        <w:t xml:space="preserve">All glossary terms used are defined in Step 9</w:t>
      </w:r>
    </w:p>
    <w:p>
      <w:r>
        <w:pict>
          <v:rect style="width:0;height:1.5pt" o:hralign="center" o:hrstd="t" o:hr="t"/>
        </w:pict>
      </w:r>
    </w:p>
    <w:bookmarkEnd w:id="37"/>
    <w:bookmarkStart w:id="38" w:name="output-formats"/>
    <w:p>
      <w:pPr>
        <w:pStyle w:val="Heading2"/>
      </w:pPr>
      <w:r>
        <w:t xml:space="preserve">6. Output Formats</w:t>
      </w:r>
    </w:p>
    <w:p>
      <w:pPr>
        <w:pStyle w:val="FirstParagraph"/>
      </w:pPr>
      <w:r>
        <w:t xml:space="preserve">The system exports each deck in: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PPTX</w:t>
      </w:r>
      <w:r>
        <w:t xml:space="preserve"> </w:t>
      </w:r>
      <w:r>
        <w:t xml:space="preserve">(editable)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(read-only)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PNG/JPEG slide images</w:t>
      </w:r>
      <w:r>
        <w:t xml:space="preserve"> </w:t>
      </w:r>
      <w:r>
        <w:t xml:space="preserve">(for LMS compatibility)</w:t>
      </w:r>
    </w:p>
    <w:p>
      <w:pPr>
        <w:pStyle w:val="FirstParagraph"/>
      </w:pPr>
      <w:r>
        <w:t xml:space="preserve">All PPTs are included in the Final Curriculum Package and LMS import bundle.</w:t>
      </w:r>
    </w:p>
    <w:p>
      <w:r>
        <w:pict>
          <v:rect style="width:0;height:1.5pt" o:hralign="center" o:hrstd="t" o:hr="t"/>
        </w:pict>
      </w:r>
    </w:p>
    <w:bookmarkEnd w:id="38"/>
    <w:bookmarkStart w:id="39" w:name="sme-review-options"/>
    <w:p>
      <w:pPr>
        <w:pStyle w:val="Heading2"/>
      </w:pPr>
      <w:r>
        <w:t xml:space="preserve">7. SME Review Options</w:t>
      </w:r>
    </w:p>
    <w:p>
      <w:pPr>
        <w:pStyle w:val="FirstParagraph"/>
      </w:pPr>
      <w:r>
        <w:t xml:space="preserve">SMEs may:</w:t>
      </w:r>
    </w:p>
    <w:p>
      <w:pPr>
        <w:pStyle w:val="Compact"/>
        <w:numPr>
          <w:ilvl w:val="0"/>
          <w:numId w:val="1016"/>
        </w:numPr>
      </w:pPr>
      <w:r>
        <w:t xml:space="preserve">Approve decks</w:t>
      </w:r>
    </w:p>
    <w:p>
      <w:pPr>
        <w:pStyle w:val="Compact"/>
        <w:numPr>
          <w:ilvl w:val="0"/>
          <w:numId w:val="1016"/>
        </w:numPr>
      </w:pPr>
      <w:r>
        <w:t xml:space="preserve">Request text, emphasis, or content refinements</w:t>
      </w:r>
    </w:p>
    <w:p>
      <w:pPr>
        <w:pStyle w:val="Compact"/>
        <w:numPr>
          <w:ilvl w:val="0"/>
          <w:numId w:val="1016"/>
        </w:numPr>
      </w:pPr>
      <w:r>
        <w:t xml:space="preserve">Flag inaccuracies</w:t>
      </w:r>
    </w:p>
    <w:p>
      <w:pPr>
        <w:pStyle w:val="FirstParagraph"/>
      </w:pPr>
      <w:r>
        <w:t xml:space="preserve">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redesign slides manually—changes are applied through system regeneration.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 11 completes the</w:t>
      </w:r>
      <w:r>
        <w:t xml:space="preserve"> </w:t>
      </w:r>
      <w:r>
        <w:rPr>
          <w:b/>
          <w:bCs/>
        </w:rPr>
        <w:t xml:space="preserve">instructional media layer</w:t>
      </w:r>
      <w:r>
        <w:t xml:space="preserve"> </w:t>
      </w:r>
      <w:r>
        <w:t xml:space="preserve">of the curriculum and ensures every lesson is supported with a professionally structured teaching deck.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2025-12-06T13:52:58Z</dcterms:created>
  <dcterms:modified xsi:type="dcterms:W3CDTF">2025-12-06T13:52:58Z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