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fa7dc4a99e3d06b6b8549d43f6fddba963456fc"/>
    <w:p>
      <w:pPr>
        <w:pStyle w:val="Heading1"/>
      </w:pPr>
      <w:r>
        <w:t xml:space="preserve">Lesson Plan Generation Specification (with Case Study Integration)</w:t>
      </w:r>
    </w:p>
    <w:bookmarkStart w:id="21" w:name="X9bfccc71d3454e991c5068f7e55c808773f6660"/>
    <w:p>
      <w:pPr>
        <w:pStyle w:val="Heading2"/>
      </w:pPr>
      <w:r>
        <w:t xml:space="preserve">1. Definition: Lesson Plan (AGI Curriculum Generator)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lesson plan</w:t>
      </w:r>
      <w:r>
        <w:t xml:space="preserve"> </w:t>
      </w:r>
      <w:r>
        <w:t xml:space="preserve">is a detailed, time-bound instructional blueprint for a single teaching session (typically 60–180 minutes) within a module. Lesson plans operationalize Module Learning Outcomes (MLOs) by structuring sequenced learning activities that build toward mastery.</w:t>
      </w:r>
    </w:p>
    <w:bookmarkStart w:id="20" w:name="each-lesson-plan-includes"/>
    <w:p>
      <w:pPr>
        <w:pStyle w:val="Heading3"/>
      </w:pPr>
      <w:r>
        <w:t xml:space="preserve">Each lesson plan includes: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Lesson objectives</w:t>
      </w:r>
      <w:r>
        <w:t xml:space="preserve"> </w:t>
      </w:r>
      <w:r>
        <w:t xml:space="preserve">aligned to 1–2 MLOs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Sequence and timing</w:t>
      </w:r>
      <w:r>
        <w:t xml:space="preserve"> </w:t>
      </w:r>
      <w:r>
        <w:t xml:space="preserve">of instructional activities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Teaching methods</w:t>
      </w:r>
      <w:r>
        <w:t xml:space="preserve"> </w:t>
      </w:r>
      <w:r>
        <w:t xml:space="preserve">(lecture, discussion, demonstration, practice, role‑play, case analysis)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Required materials</w:t>
      </w:r>
      <w:r>
        <w:t xml:space="preserve"> </w:t>
      </w:r>
      <w:r>
        <w:t xml:space="preserve">(readings, case studies, worksheets — PPT decks generated in a later step)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Formative checks for learning</w:t>
      </w:r>
      <w:r>
        <w:t xml:space="preserve"> </w:t>
      </w:r>
      <w:r>
        <w:t xml:space="preserve">derived from Step 7 assessment items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 study tasks</w:t>
      </w:r>
      <w:r>
        <w:t xml:space="preserve"> </w:t>
      </w:r>
      <w:r>
        <w:t xml:space="preserve">aligned with Core/Supplementary readings</w:t>
      </w:r>
    </w:p>
    <w:p>
      <w:pPr>
        <w:pStyle w:val="FirstParagraph"/>
      </w:pPr>
      <w:r>
        <w:t xml:space="preserve">Lesson plans are</w:t>
      </w:r>
      <w:r>
        <w:t xml:space="preserve"> </w:t>
      </w:r>
      <w:r>
        <w:rPr>
          <w:i/>
          <w:iCs/>
        </w:rPr>
        <w:t xml:space="preserve">derived outputs</w:t>
      </w:r>
      <w:r>
        <w:t xml:space="preserve">, generated automatically from approved program structure, module hours, MLOs, readings, case studies, and assessment blueprints.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orkflow-placement"/>
    <w:p>
      <w:pPr>
        <w:pStyle w:val="Heading2"/>
      </w:pPr>
      <w:r>
        <w:t xml:space="preserve">2. Workflow Placement</w:t>
      </w:r>
    </w:p>
    <w:p>
      <w:pPr>
        <w:pStyle w:val="FirstParagraph"/>
      </w:pPr>
      <w:r>
        <w:t xml:space="preserve">Lesson plans are generated</w:t>
      </w:r>
      <w:r>
        <w:t xml:space="preserve"> </w:t>
      </w:r>
      <w:r>
        <w:rPr>
          <w:b/>
          <w:bCs/>
        </w:rPr>
        <w:t xml:space="preserve">after Step 8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after Step 9 (Glossary)</w:t>
      </w:r>
      <w:r>
        <w:t xml:space="preserve">, as part of the</w:t>
      </w:r>
      <w:r>
        <w:t xml:space="preserve"> </w:t>
      </w:r>
      <w:r>
        <w:rPr>
          <w:b/>
          <w:bCs/>
        </w:rPr>
        <w:t xml:space="preserve">Final Curriculum Package</w:t>
      </w:r>
      <w:r>
        <w:t xml:space="preserve">.</w:t>
      </w:r>
    </w:p>
    <w:p>
      <w:pPr>
        <w:pStyle w:val="BodyText"/>
      </w:pPr>
      <w:r>
        <w:t xml:space="preserve">They are not SME input steps. SMEs only review or refine them.</w:t>
      </w:r>
    </w:p>
    <w:p>
      <w:pPr>
        <w:pStyle w:val="BodyText"/>
      </w:pPr>
      <w:r>
        <w:t xml:space="preserve">The system draws required data from: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 1:</w:t>
      </w:r>
      <w:r>
        <w:t xml:space="preserve"> </w:t>
      </w:r>
      <w:r>
        <w:t xml:space="preserve">Program workload, delivery mode, contact-hour 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 3:</w:t>
      </w:r>
      <w:r>
        <w:t xml:space="preserve"> </w:t>
      </w:r>
      <w:r>
        <w:t xml:space="preserve">Program Learning Outcomes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 4:</w:t>
      </w:r>
      <w:r>
        <w:t xml:space="preserve"> </w:t>
      </w:r>
      <w:r>
        <w:t xml:space="preserve">Modules, module hours, MLOs, prerequisites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 5–6:</w:t>
      </w:r>
      <w:r>
        <w:t xml:space="preserve"> </w:t>
      </w:r>
      <w:r>
        <w:t xml:space="preserve">Validated readings and effort estimates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 7:</w:t>
      </w:r>
      <w:r>
        <w:t xml:space="preserve"> </w:t>
      </w:r>
      <w:r>
        <w:t xml:space="preserve">Assessment items and blueprint for formative checks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 8:</w:t>
      </w:r>
      <w:r>
        <w:t xml:space="preserve"> </w:t>
      </w:r>
      <w:r>
        <w:t xml:space="preserve">Case studies, metadata, hooks, role‑play suitability</w:t>
      </w:r>
    </w:p>
    <w:p>
      <w:r>
        <w:pict>
          <v:rect style="width:0;height:1.5pt" o:hralign="center" o:hrstd="t" o:hr="t"/>
        </w:pict>
      </w:r>
    </w:p>
    <w:bookmarkEnd w:id="22"/>
    <w:bookmarkStart w:id="27" w:name="case-study-integration-rules"/>
    <w:p>
      <w:pPr>
        <w:pStyle w:val="Heading2"/>
      </w:pPr>
      <w:r>
        <w:t xml:space="preserve">3. Case Study Integration Rules</w:t>
      </w:r>
    </w:p>
    <w:p>
      <w:pPr>
        <w:pStyle w:val="FirstParagraph"/>
      </w:pPr>
      <w:r>
        <w:t xml:space="preserve">Case studies created in Step 8 must be mapped into lesson plans using the following logic:</w:t>
      </w:r>
    </w:p>
    <w:bookmarkStart w:id="23" w:name="mapping-case-studies-to-modules"/>
    <w:p>
      <w:pPr>
        <w:pStyle w:val="Heading3"/>
      </w:pPr>
      <w:r>
        <w:t xml:space="preserve">3.1 Mapping Case Studies to Modules</w:t>
      </w:r>
    </w:p>
    <w:p>
      <w:pPr>
        <w:pStyle w:val="FirstParagraph"/>
      </w:pPr>
      <w:r>
        <w:t xml:space="preserve">Each case study includes metadata:</w:t>
      </w:r>
    </w:p>
    <w:p>
      <w:pPr>
        <w:pStyle w:val="Compact"/>
        <w:numPr>
          <w:ilvl w:val="0"/>
          <w:numId w:val="1003"/>
        </w:numPr>
      </w:pPr>
      <w:r>
        <w:t xml:space="preserve">Assigned module(s)</w:t>
      </w:r>
    </w:p>
    <w:p>
      <w:pPr>
        <w:pStyle w:val="Compact"/>
        <w:numPr>
          <w:ilvl w:val="0"/>
          <w:numId w:val="1003"/>
        </w:numPr>
      </w:pPr>
      <w:r>
        <w:t xml:space="preserve">Supporting MLOs</w:t>
      </w:r>
    </w:p>
    <w:p>
      <w:pPr>
        <w:pStyle w:val="Compact"/>
        <w:numPr>
          <w:ilvl w:val="0"/>
          <w:numId w:val="1003"/>
        </w:numPr>
      </w:pPr>
      <w:r>
        <w:t xml:space="preserve">Case type (Practice / Discussion / Assessment‑Ready)</w:t>
      </w:r>
    </w:p>
    <w:p>
      <w:pPr>
        <w:pStyle w:val="Compact"/>
        <w:numPr>
          <w:ilvl w:val="0"/>
          <w:numId w:val="1003"/>
        </w:numPr>
      </w:pPr>
      <w:r>
        <w:t xml:space="preserve">Difficulty level</w:t>
      </w:r>
    </w:p>
    <w:p>
      <w:pPr>
        <w:pStyle w:val="Compact"/>
        <w:numPr>
          <w:ilvl w:val="0"/>
          <w:numId w:val="1003"/>
        </w:numPr>
      </w:pPr>
      <w:r>
        <w:t xml:space="preserve">Estimated activity duration</w:t>
      </w:r>
    </w:p>
    <w:p>
      <w:pPr>
        <w:pStyle w:val="Compact"/>
        <w:numPr>
          <w:ilvl w:val="0"/>
          <w:numId w:val="1003"/>
        </w:numPr>
      </w:pPr>
      <w:r>
        <w:t xml:space="preserve">Role‑play suitability (true/false)</w:t>
      </w:r>
    </w:p>
    <w:p>
      <w:pPr>
        <w:pStyle w:val="FirstParagraph"/>
      </w:pPr>
      <w:r>
        <w:t xml:space="preserve">The lesson‑plan generator uses this to determine which module and which lesson receives the case.</w:t>
      </w:r>
    </w:p>
    <w:bookmarkEnd w:id="23"/>
    <w:bookmarkStart w:id="24" w:name="selecting-the-correct-lesson"/>
    <w:p>
      <w:pPr>
        <w:pStyle w:val="Heading3"/>
      </w:pPr>
      <w:r>
        <w:t xml:space="preserve">3.2 Selecting the Correct Lesson</w:t>
      </w:r>
    </w:p>
    <w:p>
      <w:pPr>
        <w:pStyle w:val="FirstParagraph"/>
      </w:pPr>
      <w:r>
        <w:t xml:space="preserve">A case study is placed in the lesson whose primary MLO alignment matches the case’s</w:t>
      </w:r>
      <w:r>
        <w:t xml:space="preserve"> </w:t>
      </w:r>
      <w:r>
        <w:rPr>
          <w:rStyle w:val="VerbatimChar"/>
        </w:rPr>
        <w:t xml:space="preserve">MLO_support</w:t>
      </w:r>
      <w:r>
        <w:t xml:space="preserve">. Additional conditions:</w:t>
      </w:r>
    </w:p>
    <w:p>
      <w:pPr>
        <w:pStyle w:val="Compact"/>
        <w:numPr>
          <w:ilvl w:val="0"/>
          <w:numId w:val="1004"/>
        </w:numPr>
      </w:pPr>
      <w:r>
        <w:t xml:space="preserve">Difficulty progression: earlier lessons = foundational, later lessons = complex</w:t>
      </w:r>
    </w:p>
    <w:p>
      <w:pPr>
        <w:pStyle w:val="Compact"/>
        <w:numPr>
          <w:ilvl w:val="0"/>
          <w:numId w:val="1004"/>
        </w:numPr>
      </w:pPr>
      <w:r>
        <w:t xml:space="preserve">Delivery mode logic for synchronous vs. asynchronous activities</w:t>
      </w:r>
    </w:p>
    <w:bookmarkEnd w:id="24"/>
    <w:bookmarkStart w:id="25" w:name="embedding-case-studies-in-lessons"/>
    <w:p>
      <w:pPr>
        <w:pStyle w:val="Heading3"/>
      </w:pPr>
      <w:r>
        <w:t xml:space="preserve">3.3 Embedding Case Studies in Lessons</w:t>
      </w:r>
    </w:p>
    <w:p>
      <w:pPr>
        <w:pStyle w:val="FirstParagraph"/>
      </w:pPr>
      <w:r>
        <w:t xml:space="preserve">In the chosen lesson, the system inserts:</w:t>
      </w:r>
    </w:p>
    <w:p>
      <w:pPr>
        <w:pStyle w:val="Compact"/>
        <w:numPr>
          <w:ilvl w:val="0"/>
          <w:numId w:val="1005"/>
        </w:numPr>
      </w:pPr>
      <w:r>
        <w:t xml:space="preserve">Activity type: Case Study Analysis (other activity types are determined dynamically based on delivery mode)</w:t>
      </w:r>
    </w:p>
    <w:p>
      <w:pPr>
        <w:pStyle w:val="Compact"/>
        <w:numPr>
          <w:ilvl w:val="0"/>
          <w:numId w:val="1005"/>
        </w:numPr>
      </w:pPr>
      <w:r>
        <w:t xml:space="preserve">Duration (from metadata)</w:t>
      </w:r>
    </w:p>
    <w:p>
      <w:pPr>
        <w:pStyle w:val="Compact"/>
        <w:numPr>
          <w:ilvl w:val="0"/>
          <w:numId w:val="1005"/>
        </w:numPr>
      </w:pPr>
      <w:r>
        <w:t xml:space="preserve">Learning purpose linked to specific MLOs and PLOs</w:t>
      </w:r>
    </w:p>
    <w:p>
      <w:pPr>
        <w:pStyle w:val="Compact"/>
        <w:numPr>
          <w:ilvl w:val="0"/>
          <w:numId w:val="1005"/>
        </w:numPr>
      </w:pPr>
      <w:r>
        <w:t xml:space="preserve">Instructor instructions</w:t>
      </w:r>
    </w:p>
    <w:p>
      <w:pPr>
        <w:pStyle w:val="Compact"/>
        <w:numPr>
          <w:ilvl w:val="0"/>
          <w:numId w:val="1005"/>
        </w:numPr>
      </w:pPr>
      <w:r>
        <w:t xml:space="preserve">Student output expectations</w:t>
      </w:r>
    </w:p>
    <w:p>
      <w:pPr>
        <w:pStyle w:val="Compact"/>
        <w:numPr>
          <w:ilvl w:val="0"/>
          <w:numId w:val="1005"/>
        </w:numPr>
      </w:pPr>
      <w:r>
        <w:t xml:space="preserve">Assessment hooks (facts, misconceptions, decision points)</w:t>
      </w:r>
    </w:p>
    <w:bookmarkEnd w:id="25"/>
    <w:bookmarkStart w:id="26" w:name="multimodule-reuse"/>
    <w:p>
      <w:pPr>
        <w:pStyle w:val="Heading3"/>
      </w:pPr>
      <w:r>
        <w:t xml:space="preserve">3.4 Multi‑Module Reuse</w:t>
      </w:r>
    </w:p>
    <w:p>
      <w:pPr>
        <w:pStyle w:val="FirstParagraph"/>
      </w:pPr>
      <w:r>
        <w:t xml:space="preserve">If a case supports multiple modules:</w:t>
      </w:r>
    </w:p>
    <w:p>
      <w:pPr>
        <w:pStyle w:val="Compact"/>
        <w:numPr>
          <w:ilvl w:val="0"/>
          <w:numId w:val="1006"/>
        </w:numPr>
      </w:pPr>
      <w:r>
        <w:t xml:space="preserve">First appearance: full activity</w:t>
      </w:r>
    </w:p>
    <w:p>
      <w:pPr>
        <w:pStyle w:val="Compact"/>
        <w:numPr>
          <w:ilvl w:val="0"/>
          <w:numId w:val="1006"/>
        </w:numPr>
      </w:pPr>
      <w:r>
        <w:t xml:space="preserve">Later appearances: referenced as a continuation or advanced application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oleplay-task-assignment"/>
    <w:p>
      <w:pPr>
        <w:pStyle w:val="Heading2"/>
      </w:pPr>
      <w:r>
        <w:t xml:space="preserve">4. Role‑Play Task Assignment</w:t>
      </w:r>
    </w:p>
    <w:p>
      <w:pPr>
        <w:pStyle w:val="FirstParagraph"/>
      </w:pPr>
      <w:r>
        <w:t xml:space="preserve">If Step 8 marks a case as</w:t>
      </w:r>
      <w:r>
        <w:t xml:space="preserve"> </w:t>
      </w:r>
      <w:r>
        <w:rPr>
          <w:b/>
          <w:bCs/>
        </w:rPr>
        <w:t xml:space="preserve">role‑play‑suitable</w:t>
      </w:r>
      <w:r>
        <w:t xml:space="preserve">, the system automatically:</w:t>
      </w:r>
    </w:p>
    <w:p>
      <w:pPr>
        <w:pStyle w:val="Compact"/>
        <w:numPr>
          <w:ilvl w:val="0"/>
          <w:numId w:val="1007"/>
        </w:numPr>
      </w:pPr>
      <w:r>
        <w:t xml:space="preserve">Generates character briefs</w:t>
      </w:r>
    </w:p>
    <w:p>
      <w:pPr>
        <w:pStyle w:val="Compact"/>
        <w:numPr>
          <w:ilvl w:val="0"/>
          <w:numId w:val="1007"/>
        </w:numPr>
      </w:pPr>
      <w:r>
        <w:t xml:space="preserve">Generates decision prompts</w:t>
      </w:r>
    </w:p>
    <w:p>
      <w:pPr>
        <w:pStyle w:val="Compact"/>
        <w:numPr>
          <w:ilvl w:val="0"/>
          <w:numId w:val="1007"/>
        </w:numPr>
      </w:pPr>
      <w:r>
        <w:t xml:space="preserve">Adds structured debrief questions</w:t>
      </w:r>
    </w:p>
    <w:p>
      <w:pPr>
        <w:pStyle w:val="Compact"/>
        <w:numPr>
          <w:ilvl w:val="0"/>
          <w:numId w:val="1007"/>
        </w:numPr>
      </w:pPr>
      <w:r>
        <w:t xml:space="preserve">Maps the activity back to relevant MLOs and job‑task competencies</w:t>
      </w:r>
    </w:p>
    <w:p>
      <w:pPr>
        <w:pStyle w:val="FirstParagraph"/>
      </w:pPr>
      <w:r>
        <w:t xml:space="preserve">Role‑plays are placed in lessons emphasizing Apply/Analyze/Evaluate Bloom levels.</w:t>
      </w:r>
    </w:p>
    <w:p>
      <w:r>
        <w:pict>
          <v:rect style="width:0;height:1.5pt" o:hralign="center" o:hrstd="t" o:hr="t"/>
        </w:pict>
      </w:r>
    </w:p>
    <w:bookmarkEnd w:id="28"/>
    <w:bookmarkStart w:id="35" w:name="lesson-plan-output-structure"/>
    <w:p>
      <w:pPr>
        <w:pStyle w:val="Heading2"/>
      </w:pPr>
      <w:r>
        <w:t xml:space="preserve">5. Lesson Plan Output Structure</w:t>
      </w:r>
    </w:p>
    <w:p>
      <w:pPr>
        <w:pStyle w:val="FirstParagraph"/>
      </w:pPr>
      <w:r>
        <w:t xml:space="preserve">Each generated lesson plan follows a standardized template:</w:t>
      </w:r>
    </w:p>
    <w:bookmarkStart w:id="29" w:name="metadata"/>
    <w:p>
      <w:pPr>
        <w:pStyle w:val="Heading3"/>
      </w:pPr>
      <w:r>
        <w:t xml:space="preserve">5.1 Metadata</w:t>
      </w:r>
    </w:p>
    <w:p>
      <w:pPr>
        <w:pStyle w:val="Compact"/>
        <w:numPr>
          <w:ilvl w:val="0"/>
          <w:numId w:val="1008"/>
        </w:numPr>
      </w:pPr>
      <w:r>
        <w:t xml:space="preserve">Module number and title</w:t>
      </w:r>
    </w:p>
    <w:p>
      <w:pPr>
        <w:pStyle w:val="Compact"/>
        <w:numPr>
          <w:ilvl w:val="0"/>
          <w:numId w:val="1008"/>
        </w:numPr>
      </w:pPr>
      <w:r>
        <w:t xml:space="preserve">Lesson number and title</w:t>
      </w:r>
    </w:p>
    <w:p>
      <w:pPr>
        <w:pStyle w:val="Compact"/>
        <w:numPr>
          <w:ilvl w:val="0"/>
          <w:numId w:val="1008"/>
        </w:numPr>
      </w:pPr>
      <w:r>
        <w:t xml:space="preserve">Lesson duration (sum of timed activities)</w:t>
      </w:r>
    </w:p>
    <w:p>
      <w:pPr>
        <w:pStyle w:val="Compact"/>
        <w:numPr>
          <w:ilvl w:val="0"/>
          <w:numId w:val="1008"/>
        </w:numPr>
      </w:pPr>
      <w:r>
        <w:t xml:space="preserve">Linked MLOs and relevant PLOs</w:t>
      </w:r>
    </w:p>
    <w:bookmarkEnd w:id="29"/>
    <w:bookmarkStart w:id="30" w:name="lesson-objectives"/>
    <w:p>
      <w:pPr>
        <w:pStyle w:val="Heading3"/>
      </w:pPr>
      <w:r>
        <w:t xml:space="preserve">5.2 Lesson Objectives</w:t>
      </w:r>
    </w:p>
    <w:p>
      <w:pPr>
        <w:pStyle w:val="FirstParagraph"/>
      </w:pPr>
      <w:r>
        <w:t xml:space="preserve">Derived from selected MLOs.</w:t>
      </w:r>
    </w:p>
    <w:bookmarkEnd w:id="30"/>
    <w:bookmarkStart w:id="31" w:name="activity-sequence-with-timings"/>
    <w:p>
      <w:pPr>
        <w:pStyle w:val="Heading3"/>
      </w:pPr>
      <w:r>
        <w:t xml:space="preserve">5.3 Activity Sequence (with timings)</w:t>
      </w:r>
    </w:p>
    <w:p>
      <w:pPr>
        <w:pStyle w:val="FirstParagraph"/>
      </w:pPr>
      <w:r>
        <w:t xml:space="preserve">Examples (determined dynamically by delivery mode; only case studies are pre-generated):</w:t>
      </w:r>
    </w:p>
    <w:p>
      <w:pPr>
        <w:pStyle w:val="Compact"/>
        <w:numPr>
          <w:ilvl w:val="0"/>
          <w:numId w:val="1009"/>
        </w:numPr>
      </w:pPr>
      <w:r>
        <w:t xml:space="preserve">Instructor Mini‑Lecture</w:t>
      </w:r>
    </w:p>
    <w:p>
      <w:pPr>
        <w:pStyle w:val="Compact"/>
        <w:numPr>
          <w:ilvl w:val="0"/>
          <w:numId w:val="1009"/>
        </w:numPr>
      </w:pPr>
      <w:r>
        <w:t xml:space="preserve">Guided Demonstration</w:t>
      </w:r>
    </w:p>
    <w:p>
      <w:pPr>
        <w:pStyle w:val="Compact"/>
        <w:numPr>
          <w:ilvl w:val="0"/>
          <w:numId w:val="1009"/>
        </w:numPr>
      </w:pPr>
      <w:r>
        <w:t xml:space="preserve">Case Study Activity (from Step 8)</w:t>
      </w:r>
    </w:p>
    <w:p>
      <w:pPr>
        <w:pStyle w:val="Compact"/>
        <w:numPr>
          <w:ilvl w:val="0"/>
          <w:numId w:val="1009"/>
        </w:numPr>
      </w:pPr>
      <w:r>
        <w:t xml:space="preserve">Group Work / Discussion (if applicable)</w:t>
      </w:r>
    </w:p>
    <w:bookmarkEnd w:id="31"/>
    <w:bookmarkStart w:id="32" w:name="required-materials"/>
    <w:p>
      <w:pPr>
        <w:pStyle w:val="Heading3"/>
      </w:pPr>
      <w:r>
        <w:t xml:space="preserve">5.4 Required Materials</w:t>
      </w:r>
    </w:p>
    <w:p>
      <w:pPr>
        <w:pStyle w:val="Compact"/>
        <w:numPr>
          <w:ilvl w:val="0"/>
          <w:numId w:val="1010"/>
        </w:numPr>
      </w:pPr>
      <w:r>
        <w:t xml:space="preserve">PPT deck (auto‑generated in a later step )</w:t>
      </w:r>
    </w:p>
    <w:p>
      <w:pPr>
        <w:pStyle w:val="Compact"/>
        <w:numPr>
          <w:ilvl w:val="0"/>
          <w:numId w:val="1010"/>
        </w:numPr>
      </w:pPr>
      <w:r>
        <w:t xml:space="preserve">Case files (generated in step 8)</w:t>
      </w:r>
    </w:p>
    <w:p>
      <w:pPr>
        <w:pStyle w:val="Compact"/>
        <w:numPr>
          <w:ilvl w:val="0"/>
          <w:numId w:val="1010"/>
        </w:numPr>
      </w:pPr>
      <w:r>
        <w:t xml:space="preserve">Reading references (generated in step 5 &amp; 6)</w:t>
      </w:r>
    </w:p>
    <w:bookmarkEnd w:id="32"/>
    <w:bookmarkStart w:id="33" w:name="instructor-notes"/>
    <w:p>
      <w:pPr>
        <w:pStyle w:val="Heading3"/>
      </w:pPr>
      <w:r>
        <w:t xml:space="preserve">5.5 Instructor Notes</w:t>
      </w:r>
    </w:p>
    <w:p>
      <w:pPr>
        <w:pStyle w:val="FirstParagraph"/>
      </w:pPr>
      <w:r>
        <w:t xml:space="preserve">Pedagogical guidance, pacing, adaptation options.</w:t>
      </w:r>
    </w:p>
    <w:bookmarkEnd w:id="33"/>
    <w:bookmarkStart w:id="34" w:name="independent-study-assignment"/>
    <w:p>
      <w:pPr>
        <w:pStyle w:val="Heading3"/>
      </w:pPr>
      <w:r>
        <w:t xml:space="preserve">5.6 Independent Study Assignment</w:t>
      </w:r>
    </w:p>
    <w:p>
      <w:pPr>
        <w:pStyle w:val="FirstParagraph"/>
      </w:pPr>
      <w:r>
        <w:t xml:space="preserve">Core/Supplementary reading placement and estimated effort.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lesson-breakdown-rules"/>
    <w:p>
      <w:pPr>
        <w:pStyle w:val="Heading2"/>
      </w:pPr>
      <w:r>
        <w:t xml:space="preserve">6. Lesson Breakdown Rules</w:t>
      </w:r>
    </w:p>
    <w:p>
      <w:pPr>
        <w:pStyle w:val="Compact"/>
        <w:numPr>
          <w:ilvl w:val="0"/>
          <w:numId w:val="1011"/>
        </w:numPr>
      </w:pPr>
      <w:r>
        <w:t xml:space="preserve">Module contact hours divided into lesson blocks (60–180 minutes)</w:t>
      </w:r>
    </w:p>
    <w:p>
      <w:pPr>
        <w:pStyle w:val="Compact"/>
        <w:numPr>
          <w:ilvl w:val="0"/>
          <w:numId w:val="1011"/>
        </w:numPr>
      </w:pPr>
      <w:r>
        <w:t xml:space="preserve">Sum of lesson durations must equal module contact hours</w:t>
      </w:r>
    </w:p>
    <w:p>
      <w:pPr>
        <w:pStyle w:val="Compact"/>
        <w:numPr>
          <w:ilvl w:val="0"/>
          <w:numId w:val="1011"/>
        </w:numPr>
      </w:pPr>
      <w:r>
        <w:t xml:space="preserve">Lessons must reflect Bloom‑level progression defined in Step 4</w:t>
      </w:r>
    </w:p>
    <w:p>
      <w:pPr>
        <w:pStyle w:val="Compact"/>
        <w:numPr>
          <w:ilvl w:val="0"/>
          <w:numId w:val="1011"/>
        </w:numPr>
      </w:pPr>
      <w:r>
        <w:t xml:space="preserve">Each lesson must support at least one MLO</w:t>
      </w:r>
    </w:p>
    <w:p>
      <w:r>
        <w:pict>
          <v:rect style="width:0;height:1.5pt" o:hralign="center" o:hrstd="t" o:hr="t"/>
        </w:pict>
      </w:r>
    </w:p>
    <w:bookmarkEnd w:id="36"/>
    <w:bookmarkStart w:id="37" w:name="integration-in-final-curriculum-package"/>
    <w:p>
      <w:pPr>
        <w:pStyle w:val="Heading2"/>
      </w:pPr>
      <w:r>
        <w:t xml:space="preserve">7. Integration in Final Curriculum Package</w:t>
      </w:r>
    </w:p>
    <w:p>
      <w:pPr>
        <w:pStyle w:val="FirstParagraph"/>
      </w:pPr>
      <w:r>
        <w:t xml:space="preserve">Lesson plans populate:</w:t>
      </w:r>
    </w:p>
    <w:p>
      <w:pPr>
        <w:numPr>
          <w:ilvl w:val="0"/>
          <w:numId w:val="1012"/>
        </w:numPr>
      </w:pPr>
      <w:r>
        <w:t xml:space="preserve">Module Syllabi</w:t>
      </w:r>
    </w:p>
    <w:p>
      <w:pPr>
        <w:numPr>
          <w:ilvl w:val="0"/>
          <w:numId w:val="1012"/>
        </w:numPr>
      </w:pPr>
      <w:r>
        <w:t xml:space="preserve">PPT Deck Generation (later step) </w:t>
      </w:r>
    </w:p>
    <w:p>
      <w:pPr>
        <w:numPr>
          <w:ilvl w:val="0"/>
          <w:numId w:val="1012"/>
        </w:numPr>
      </w:pPr>
      <w:r>
        <w:t xml:space="preserve">Instructor Implementation Guides</w:t>
      </w:r>
    </w:p>
    <w:p>
      <w:pPr>
        <w:pStyle w:val="FirstParagraph"/>
      </w:pPr>
      <w:r>
        <w:t xml:space="preserve">Lesson plan generation completes the instructional layer of the curriculum.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2025-12-06T13:47:45Z</dcterms:created>
  <dcterms:modified xsi:type="dcterms:W3CDTF">2025-12-06T13:47:45Z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