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Infratex sales and campaign brief</w:t>
      </w:r>
    </w:p>
    <w:p>
      <w:r>
        <w:t>Prepared by Growency for Infratex and the SDR team</w:t>
      </w:r>
    </w:p>
    <w:p>
      <w:r>
        <w:t>6 October 2026</w:t>
      </w:r>
    </w:p>
    <w:p>
      <w:pPr>
        <w:pStyle w:val="Heading2"/>
      </w:pPr>
      <w:r>
        <w:t>Campaign objective</w:t>
      </w:r>
    </w:p>
    <w:p>
      <w:r>
        <w:t>We will run three outbound campaigns: financial software companies, insurance software companies, and AI implementation partners. Each campaign will offer a practical evaluation of Infratex on a specific document workflow. Our objective is to create relevant conversations, book meetings with the people responsible for those workflows, and progress suitable accounts into paid production usage.</w:t>
      </w:r>
    </w:p>
    <w:p>
      <w:r>
        <w:t>Financial software receives the largest initial allocation because recurring financial documents give us a concrete evaluation and a potential recurring workload. Insurance software and implementation partners will run alongside it. We will compare all three on qualified meetings, pilot progression, potential gross profit, and delivery effort.</w:t>
      </w:r>
    </w:p>
    <w:p>
      <w:pPr>
        <w:pStyle w:val="Heading2"/>
      </w:pPr>
      <w:r>
        <w:t>The three campaigns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4176"/>
        <w:gridCol w:w="3960"/>
      </w:tblGrid>
      <w:tr>
        <w:trPr>
          <w:tblHeader/>
          <w:cantSplit/>
        </w:trPr>
        <w:tc>
          <w:tcPr>
            <w:tcW w:type="dxa" w:w="1944"/>
            <w:vAlign w:val="center"/>
            <w:shd w:fill="20384C"/>
            <w:tcMar>
              <w:top w:w="95" w:type="dxa"/>
              <w:bottom w:w="95" w:type="dxa"/>
              <w:left w:w="110" w:type="dxa"/>
              <w:right w:w="110" w:type="dxa"/>
            </w:tcMar>
          </w:tcPr>
          <w:p>
            <w:pPr>
              <w:spacing w:after="0" w:line="247" w:lineRule="auto"/>
            </w:pPr>
            <w:r>
              <w:rPr>
                <w:b/>
                <w:color w:val="FFFFFF"/>
                <w:sz w:val="21"/>
              </w:rPr>
              <w:t>Campaign</w:t>
            </w:r>
          </w:p>
        </w:tc>
        <w:tc>
          <w:tcPr>
            <w:tcW w:type="dxa" w:w="4176"/>
            <w:vAlign w:val="center"/>
            <w:shd w:fill="20384C"/>
            <w:tcMar>
              <w:top w:w="95" w:type="dxa"/>
              <w:bottom w:w="95" w:type="dxa"/>
              <w:left w:w="110" w:type="dxa"/>
              <w:right w:w="110" w:type="dxa"/>
            </w:tcMar>
          </w:tcPr>
          <w:p>
            <w:pPr>
              <w:spacing w:after="0" w:line="247" w:lineRule="auto"/>
            </w:pPr>
            <w:r>
              <w:rPr>
                <w:b/>
                <w:color w:val="FFFFFF"/>
                <w:sz w:val="21"/>
              </w:rPr>
              <w:t>Who we approach</w:t>
            </w:r>
          </w:p>
        </w:tc>
        <w:tc>
          <w:tcPr>
            <w:tcW w:type="dxa" w:w="3960"/>
            <w:vAlign w:val="center"/>
            <w:shd w:fill="20384C"/>
            <w:tcMar>
              <w:top w:w="95" w:type="dxa"/>
              <w:bottom w:w="95" w:type="dxa"/>
              <w:left w:w="110" w:type="dxa"/>
              <w:right w:w="110" w:type="dxa"/>
            </w:tcMar>
          </w:tcPr>
          <w:p>
            <w:pPr>
              <w:spacing w:after="0" w:line="247" w:lineRule="auto"/>
            </w:pPr>
            <w:r>
              <w:rPr>
                <w:b/>
                <w:color w:val="FFFFFF"/>
                <w:sz w:val="21"/>
              </w:rPr>
              <w:t>What we offer</w:t>
            </w:r>
          </w:p>
        </w:tc>
      </w:tr>
      <w:tr>
        <w:trPr>
          <w:cantSplit/>
        </w:trPr>
        <w:tc>
          <w:tcPr>
            <w:tcW w:type="dxa" w:w="1944"/>
            <w:vAlign w:val="center"/>
            <w:shd w:fill="FFFFFF"/>
            <w:tcMar>
              <w:top w:w="95" w:type="dxa"/>
              <w:bottom w:w="95" w:type="dxa"/>
              <w:left w:w="110" w:type="dxa"/>
              <w:right w:w="110" w:type="dxa"/>
            </w:tcMar>
          </w:tcPr>
          <w:p>
            <w:pPr>
              <w:spacing w:after="0" w:line="247" w:lineRule="auto"/>
            </w:pPr>
            <w:r>
              <w:rPr>
                <w:b w:val="0"/>
                <w:sz w:val="21"/>
              </w:rPr>
              <w:t>Financial software</w:t>
            </w:r>
          </w:p>
        </w:tc>
        <w:tc>
          <w:tcPr>
            <w:tcW w:type="dxa" w:w="4176"/>
            <w:vAlign w:val="center"/>
            <w:shd w:fill="FFFFFF"/>
            <w:tcMar>
              <w:top w:w="95" w:type="dxa"/>
              <w:bottom w:w="95" w:type="dxa"/>
              <w:left w:w="110" w:type="dxa"/>
              <w:right w:w="110" w:type="dxa"/>
            </w:tcMar>
          </w:tcPr>
          <w:p>
            <w:pPr>
              <w:spacing w:after="0" w:line="247" w:lineRule="auto"/>
            </w:pPr>
            <w:r>
              <w:rPr>
                <w:b w:val="0"/>
                <w:sz w:val="21"/>
              </w:rPr>
              <w:t>Teams building lending, credit analysis, CRE underwriting, or financial research products</w:t>
            </w:r>
          </w:p>
        </w:tc>
        <w:tc>
          <w:tcPr>
            <w:tcW w:type="dxa" w:w="3960"/>
            <w:vAlign w:val="center"/>
            <w:shd w:fill="FFFFFF"/>
            <w:tcMar>
              <w:top w:w="95" w:type="dxa"/>
              <w:bottom w:w="95" w:type="dxa"/>
              <w:left w:w="110" w:type="dxa"/>
              <w:right w:w="110" w:type="dxa"/>
            </w:tcMar>
          </w:tcPr>
          <w:p>
            <w:pPr>
              <w:spacing w:after="0" w:line="247" w:lineRule="auto"/>
            </w:pPr>
            <w:r>
              <w:rPr>
                <w:b w:val="0"/>
                <w:sz w:val="21"/>
              </w:rPr>
              <w:t>A comparison on one recurring financial document type</w:t>
            </w:r>
          </w:p>
        </w:tc>
      </w:tr>
      <w:tr>
        <w:trPr>
          <w:cantSplit/>
        </w:trPr>
        <w:tc>
          <w:tcPr>
            <w:tcW w:type="dxa" w:w="1944"/>
            <w:vAlign w:val="center"/>
            <w:shd w:fill="F3F6F8"/>
            <w:tcMar>
              <w:top w:w="95" w:type="dxa"/>
              <w:bottom w:w="95" w:type="dxa"/>
              <w:left w:w="110" w:type="dxa"/>
              <w:right w:w="110" w:type="dxa"/>
            </w:tcMar>
          </w:tcPr>
          <w:p>
            <w:pPr>
              <w:spacing w:after="0" w:line="247" w:lineRule="auto"/>
            </w:pPr>
            <w:r>
              <w:rPr>
                <w:b w:val="0"/>
                <w:sz w:val="21"/>
              </w:rPr>
              <w:t>Insurance software</w:t>
            </w:r>
          </w:p>
        </w:tc>
        <w:tc>
          <w:tcPr>
            <w:tcW w:type="dxa" w:w="4176"/>
            <w:vAlign w:val="center"/>
            <w:shd w:fill="F3F6F8"/>
            <w:tcMar>
              <w:top w:w="95" w:type="dxa"/>
              <w:bottom w:w="95" w:type="dxa"/>
              <w:left w:w="110" w:type="dxa"/>
              <w:right w:w="110" w:type="dxa"/>
            </w:tcMar>
          </w:tcPr>
          <w:p>
            <w:pPr>
              <w:spacing w:after="0" w:line="247" w:lineRule="auto"/>
            </w:pPr>
            <w:r>
              <w:rPr>
                <w:b w:val="0"/>
                <w:sz w:val="21"/>
              </w:rPr>
              <w:t>Teams building commercial underwriting or submission software</w:t>
            </w:r>
          </w:p>
        </w:tc>
        <w:tc>
          <w:tcPr>
            <w:tcW w:type="dxa" w:w="3960"/>
            <w:vAlign w:val="center"/>
            <w:shd w:fill="F3F6F8"/>
            <w:tcMar>
              <w:top w:w="95" w:type="dxa"/>
              <w:bottom w:w="95" w:type="dxa"/>
              <w:left w:w="110" w:type="dxa"/>
              <w:right w:w="110" w:type="dxa"/>
            </w:tcMar>
          </w:tcPr>
          <w:p>
            <w:pPr>
              <w:spacing w:after="0" w:line="247" w:lineRule="auto"/>
            </w:pPr>
            <w:r>
              <w:rPr>
                <w:b w:val="0"/>
                <w:sz w:val="21"/>
              </w:rPr>
              <w:t>A comparison on loss runs or schedules of values</w:t>
            </w:r>
          </w:p>
        </w:tc>
      </w:tr>
      <w:tr>
        <w:trPr>
          <w:cantSplit/>
        </w:trPr>
        <w:tc>
          <w:tcPr>
            <w:tcW w:type="dxa" w:w="1944"/>
            <w:vAlign w:val="center"/>
            <w:shd w:fill="FFFFFF"/>
            <w:tcMar>
              <w:top w:w="95" w:type="dxa"/>
              <w:bottom w:w="95" w:type="dxa"/>
              <w:left w:w="110" w:type="dxa"/>
              <w:right w:w="110" w:type="dxa"/>
            </w:tcMar>
          </w:tcPr>
          <w:p>
            <w:pPr>
              <w:spacing w:after="0" w:line="247" w:lineRule="auto"/>
            </w:pPr>
            <w:r>
              <w:rPr>
                <w:b w:val="0"/>
                <w:sz w:val="21"/>
              </w:rPr>
              <w:t>AI implementation partners</w:t>
            </w:r>
          </w:p>
        </w:tc>
        <w:tc>
          <w:tcPr>
            <w:tcW w:type="dxa" w:w="4176"/>
            <w:vAlign w:val="center"/>
            <w:shd w:fill="FFFFFF"/>
            <w:tcMar>
              <w:top w:w="95" w:type="dxa"/>
              <w:bottom w:w="95" w:type="dxa"/>
              <w:left w:w="110" w:type="dxa"/>
              <w:right w:w="110" w:type="dxa"/>
            </w:tcMar>
          </w:tcPr>
          <w:p>
            <w:pPr>
              <w:spacing w:after="0" w:line="247" w:lineRule="auto"/>
            </w:pPr>
            <w:r>
              <w:rPr>
                <w:b w:val="0"/>
                <w:sz w:val="21"/>
              </w:rPr>
              <w:t>Consultancies delivering document automation or AI applications for clients</w:t>
            </w:r>
          </w:p>
        </w:tc>
        <w:tc>
          <w:tcPr>
            <w:tcW w:type="dxa" w:w="3960"/>
            <w:vAlign w:val="center"/>
            <w:shd w:fill="FFFFFF"/>
            <w:tcMar>
              <w:top w:w="95" w:type="dxa"/>
              <w:bottom w:w="95" w:type="dxa"/>
              <w:left w:w="110" w:type="dxa"/>
              <w:right w:w="110" w:type="dxa"/>
            </w:tcMar>
          </w:tcPr>
          <w:p>
            <w:pPr>
              <w:spacing w:after="0" w:line="247" w:lineRule="auto"/>
            </w:pPr>
            <w:r>
              <w:rPr>
                <w:b w:val="0"/>
                <w:sz w:val="21"/>
              </w:rPr>
              <w:t>A technical evaluation for one live client project</w:t>
            </w:r>
          </w:p>
        </w:tc>
      </w:tr>
    </w:tbl>
    <w:p>
      <w:pPr>
        <w:spacing w:after="0"/>
      </w:pPr>
    </w:p>
    <w:p>
      <w:pPr>
        <w:pStyle w:val="Heading2"/>
      </w:pPr>
      <w:r>
        <w:t>Responsibilities</w:t>
      </w:r>
    </w:p>
    <w:p>
      <w:r>
        <w:t>Growency owns account research, outreach, reply handling, meeting qualification, and campaign reporting. Infratex owns product demonstrations, technical evaluation, security answers, pricing, pilots, and closing. An SDR can describe the product and introduce the evaluation. Commercial commitments and technical exceptions go to Infratex.</w:t>
      </w:r>
    </w:p>
    <w:p>
      <w:r>
        <w:t>Use this brief as the campaign operating guide. The proposed evaluation scope and pilot prices are planning choices for Infratex to adopt or revise before they enter outreach. Performance claims must come from an actual evaluation or approved customer evidence.</w:t>
      </w:r>
    </w:p>
    <w:p>
      <w:pPr>
        <w:pStyle w:val="Heading2"/>
      </w:pPr>
      <w:r>
        <w:t>How to use this brief</w:t>
      </w:r>
    </w:p>
    <w:p>
      <w:r>
        <w:t>The client should review the offer, commercial process, responsibilities, and launch plan. SDRs should read the product explanation, their assigned campaign, reply handling, qualification, and daily workflow. Campaign leads should use the reporting definitions and weekly review to decide where to invest next.</w:t>
      </w:r>
    </w:p>
    <w:p>
      <w:pPr>
        <w:pStyle w:val="Heading1"/>
        <w:pageBreakBefore/>
      </w:pPr>
      <w:r>
        <w:t>Product explanation and opening offer</w:t>
      </w:r>
    </w:p>
    <w:p>
      <w:pPr>
        <w:pStyle w:val="Heading2"/>
      </w:pPr>
      <w:r>
        <w:t>Explain Infratex simply</w:t>
      </w:r>
    </w:p>
    <w:p>
      <w:r>
        <w:t>Infratex turns information in PDFs and scanned pages into structured output that another application can use. Its documentation describes parsing, extracting specific fields, searching document content, and producing answers with source references. It provides an API and Python and Node SDKs. An API lets a customer's software connect to Infratex. [S1]</w:t>
      </w:r>
    </w:p>
    <w:p>
      <w:r>
        <w:t>For these campaigns, lead with the document workflow. Explain the wider product when the buyer asks or it helps the evaluation. A financial buyer should hear about financial documents; an insurance buyer should hear about insurance documents.</w:t>
      </w:r>
    </w:p>
    <w:p>
      <w:pPr>
        <w:pStyle w:val="Heading2"/>
      </w:pPr>
      <w:r>
        <w:t>Opening offer</w:t>
      </w:r>
    </w:p>
    <w:p>
      <w:r>
        <w:t>Offer a small document comparison covering one document type and an agreed output. Proposed scope: up to 20 documents, capped at 200 pages, with a scorecard showing correctness, missing information, processing time, and estimated cost. Include ordinary examples and difficult cases. Compare with the buyer's current output when available.</w:t>
      </w:r>
    </w:p>
    <w:p>
      <w:r>
        <w:t>Start with public or authorized redacted samples. Infratex agrees the transfer method before private documents are shared. Proposed turnaround is three business days after scope and data arrangements are agreed, subject to available capacity. The SDR should promise only the turnaround confirmed by Infratex.</w:t>
      </w:r>
    </w:p>
    <w:p>
      <w:r>
        <w:t>If the free scope is not adopted, use the alternative CTA: “Would a short technical walkthrough on a public sample be useful?” Adjust every sequence consistently.</w:t>
      </w:r>
    </w:p>
    <w:p>
      <w:pPr>
        <w:pStyle w:val="Heading2"/>
      </w:pPr>
      <w:r>
        <w:t>What the prospect gets</w:t>
      </w:r>
    </w:p>
    <w:p>
      <w:pPr>
        <w:pStyle w:val="ListBullet"/>
        <w:spacing w:after="80"/>
      </w:pPr>
      <w:r>
        <w:t>Extracted output they can inspect against the source document.</w:t>
      </w:r>
    </w:p>
    <w:p>
      <w:pPr>
        <w:pStyle w:val="ListBullet"/>
        <w:spacing w:after="80"/>
      </w:pPr>
      <w:r>
        <w:t>A scorecard using agreed criteria and including failures.</w:t>
      </w:r>
    </w:p>
    <w:p>
      <w:pPr>
        <w:pStyle w:val="ListBullet"/>
        <w:spacing w:after="80"/>
      </w:pPr>
      <w:r>
        <w:t>A practical explanation of what integration would involve.</w:t>
      </w:r>
    </w:p>
    <w:p>
      <w:pPr>
        <w:pStyle w:val="ListBullet"/>
        <w:spacing w:after="80"/>
      </w:pPr>
      <w:r>
        <w:t>A next-step recommendation based on the result and workload.</w:t>
      </w:r>
    </w:p>
    <w:p>
      <w:pPr>
        <w:pStyle w:val="Heading2"/>
      </w:pPr>
      <w:r>
        <w:t>Claims SDRs can use</w:t>
      </w:r>
    </w:p>
    <w:p>
      <w:r>
        <w:t>Describe the documented product and offer a test. Say that the purpose is to establish whether Infratex improves the buyer's workflow. Use savings or accuracy figures only with their scope and approved evidence.</w:t>
      </w:r>
    </w:p>
    <w:p>
      <w:r>
        <w:t>Escalate questions about certifications, data retention, hosting location, private deployment, throughput, service guarantees, or commercial discounts to Infratex. Claims must be specific to the product method and deployment being offered. The self-deployable Phi model does not by itself establish that every part of the platform runs privately. [S1]</w:t>
      </w:r>
    </w:p>
    <w:p>
      <w:r>
        <w:t>The public benchmark ranking needs supporting run details before use in SDR copy. Infratex reports an additional evaluation; the original PulseBench report does not list Infratex and describes a different language count. [S2, S3]</w:t>
      </w:r>
    </w:p>
    <w:p>
      <w:pPr>
        <w:pStyle w:val="Heading1"/>
        <w:pageBreakBefore/>
      </w:pPr>
      <w:r>
        <w:t>Financial software campaign</w:t>
      </w:r>
    </w:p>
    <w:p>
      <w:pPr>
        <w:pStyle w:val="Heading2"/>
      </w:pPr>
      <w:r>
        <w:t>Target companies</w:t>
      </w:r>
    </w:p>
    <w:p>
      <w:r>
        <w:t>Approach companies whose software uses financial documents repeatedly: lending and credit platforms, CRE underwriting products, and financial research or data products. Start around 20–250 employees with a live product and an identifiable engineering team. Size is a search filter; confirm workload and budget in conversation.</w:t>
      </w:r>
    </w:p>
    <w:p>
      <w:r>
        <w:t>Keep the three financial subsegments tagged separately. A lender's supporting documents, a property rent roll, and a financial report need different language and evaluation criteria.</w:t>
      </w:r>
    </w:p>
    <w:p>
      <w:pPr>
        <w:pStyle w:val="Heading2"/>
      </w:pPr>
      <w:r>
        <w:t>Relevant documents and problems</w:t>
      </w:r>
    </w:p>
    <w:p>
      <w:r>
        <w:t>Financial statements contain numbers across tables, reporting periods, and footnotes. Rent rolls list tenants, rents, occupancy, and other property information. Operating statements record property income and expenses. The comparison should check whether values retain their correct row, period, label, and unit.</w:t>
      </w:r>
    </w:p>
    <w:p>
      <w:r>
        <w:t>Possible problems to investigate include manual corrections, missing rows, mismatched reporting periods, inconsistent scans, and a new document type that requires engineering work. Frame these as questions unless the prospect has described them publicly.</w:t>
      </w:r>
    </w:p>
    <w:p>
      <w:pPr>
        <w:pStyle w:val="Heading2"/>
      </w:pPr>
      <w:r>
        <w:t>People to contact</w:t>
      </w:r>
    </w:p>
    <w:p>
      <w:r>
        <w:t>Start with the CTO, VP or Head of Engineering, Head of AI, or the engineering lead responsible for document ingestion. At smaller companies, a technical founder may own the decision. A product owner can explain the customer workflow and introduce the technical team.</w:t>
      </w:r>
    </w:p>
    <w:p>
      <w:pPr>
        <w:pStyle w:val="Heading2"/>
      </w:pPr>
      <w:r>
        <w:t>Research and personalization</w:t>
      </w:r>
    </w:p>
    <w:p>
      <w:r>
        <w:t>Find a product page, help article, launch, engineering vacancy, or case study that identifies a financial document workflow. Record the exact source and the document type. Personalize around that fact. A funding announcement alone is insufficient.</w:t>
      </w:r>
    </w:p>
    <w:p>
      <w:r>
        <w:t>Search examples: “lending software financial statement extraction”; “CRE underwriting rent roll parsing”; “financial research PDF ingestion”. Use these to discover companies, then verify the company website.</w:t>
      </w:r>
    </w:p>
    <w:p>
      <w:r>
        <w:t>Research seeds: Finley describes AI credit-agreement ingestion and OCR for collateral-data verification. Blooma describes parsing rent rolls, operating statements, and other CRE documents. These establish fit; buying intent and supplier needs require discovery. [S4, S5]</w:t>
      </w:r>
    </w:p>
    <w:p>
      <w:pPr>
        <w:pStyle w:val="Heading2"/>
      </w:pPr>
      <w:r>
        <w:t>Qualify and progress</w:t>
      </w:r>
    </w:p>
    <w:p>
      <w:r>
        <w:t>Ask which documents are processed, how often, approximate monthly pages, how output is used, and where correction work occurs. Identify who can run a technical test and who owns a purchase decision. Progress accounts with a real workflow and plausible production value. Low-volume experimentation belongs in the lighter self-serve route.</w:t>
      </w:r>
    </w:p>
    <w:p>
      <w:r>
        <w:t>The meeting goal is to agree a document type, evaluation owner, success criteria, and likely production use.</w:t>
      </w:r>
    </w:p>
    <w:p>
      <w:pPr>
        <w:pStyle w:val="Heading1"/>
        <w:pageBreakBefore/>
      </w:pPr>
      <w:r>
        <w:t>Financial outreach sequence</w:t>
      </w:r>
    </w:p>
    <w:p>
      <w:r>
        <w:t>Use the sequence on working days 1, 4, and 9. Stop automation on any reply. Replace bracketed fields with verified facts. Add the actual sender identity and required commercial footer to each message.</w:t>
      </w:r>
    </w:p>
    <w:p>
      <w:pPr>
        <w:pStyle w:val="Heading2"/>
      </w:pPr>
      <w:r>
        <w:t>Email one</w:t>
      </w:r>
    </w:p>
    <w:p>
      <w:r>
        <w:t>Subject: [document type] extraction</w:t>
      </w:r>
    </w:p>
    <w:p>
      <w:r>
        <w:t>Hi [First name],</w:t>
      </w:r>
    </w:p>
    <w:p>
      <w:r>
        <w:t>I saw [Company] supports [verified financial workflow].</w:t>
      </w:r>
    </w:p>
    <w:p>
      <w:r>
        <w:t>If multi-page tables are creating correction work, we can compare Infratex on a small set of your PDFs, checking missing rows, incorrect values, and processing cost against your current output.</w:t>
      </w:r>
    </w:p>
    <w:p>
      <w:r>
        <w:t>You would receive the scorecard and extracted data. Public or redacted samples are fine.</w:t>
      </w:r>
    </w:p>
    <w:p>
      <w:r>
        <w:t>Would that comparison be useful?</w:t>
      </w:r>
    </w:p>
    <w:p>
      <w:r>
        <w:t>[Name and accurate role]</w:t>
      </w:r>
    </w:p>
    <w:p>
      <w:pPr>
        <w:pStyle w:val="Heading2"/>
      </w:pPr>
      <w:r>
        <w:t>Email two</w:t>
      </w:r>
    </w:p>
    <w:p>
      <w:r>
        <w:t>Subject: [document type] extraction</w:t>
      </w:r>
    </w:p>
    <w:p>
      <w:r>
        <w:t>Hi [First name],</w:t>
      </w:r>
    </w:p>
    <w:p>
      <w:r>
        <w:t>For [document type], we would check whether the figures stay attached to the correct [period / property / transaction], including across page breaks.</w:t>
      </w:r>
    </w:p>
    <w:p>
      <w:r>
        <w:t>That gives your team a comparison they can inspect before considering an integration.</w:t>
      </w:r>
    </w:p>
    <w:p>
      <w:r>
        <w:t>Would you like the sample scorecard?</w:t>
      </w:r>
    </w:p>
    <w:p>
      <w:r>
        <w:t>[Name]</w:t>
      </w:r>
    </w:p>
    <w:p>
      <w:pPr>
        <w:pStyle w:val="Heading2"/>
      </w:pPr>
      <w:r>
        <w:t>Email three</w:t>
      </w:r>
    </w:p>
    <w:p>
      <w:r>
        <w:t>Subject: [document type] extraction</w:t>
      </w:r>
    </w:p>
    <w:p>
      <w:r>
        <w:t>Hi [First name],</w:t>
      </w:r>
    </w:p>
    <w:p>
      <w:r>
        <w:t>I will leave this here. If improving [document type] extraction is on your roadmap, happy to revisit a small comparison with the team that owns it.</w:t>
      </w:r>
    </w:p>
    <w:p>
      <w:r>
        <w:t>[Name]</w:t>
      </w:r>
    </w:p>
    <w:p>
      <w:pPr>
        <w:pStyle w:val="Heading2"/>
      </w:pPr>
      <w:r>
        <w:t>Optional call opener</w:t>
      </w:r>
    </w:p>
    <w:p>
      <w:r>
        <w:t>“Hi [Name], this is [Name] working with Infratex. Your site mentions [verified workflow]. We are offering a small document-extraction comparison for software teams. Is your team responsible for that part of the product?”</w:t>
      </w:r>
    </w:p>
    <w:p>
      <w:r>
        <w:t>If relevant, ask which document type causes the most review work. If they are not the owner, ask which team handles it. Use calls only within the campaign's applicable contact rules.</w:t>
      </w:r>
    </w:p>
    <w:p>
      <w:pPr>
        <w:pStyle w:val="Heading2"/>
      </w:pPr>
      <w:r>
        <w:t>Optional LinkedIn message</w:t>
      </w:r>
    </w:p>
    <w:p>
      <w:r>
        <w:t>“I noticed [Company]'s [specific workflow]. I work with Infratex on document extraction. Thought it would be relevant to connect.”</w:t>
      </w:r>
    </w:p>
    <w:p>
      <w:pPr>
        <w:pStyle w:val="Heading1"/>
        <w:pageBreakBefore/>
      </w:pPr>
      <w:r>
        <w:t>Insurance software campaign</w:t>
      </w:r>
    </w:p>
    <w:p>
      <w:pPr>
        <w:pStyle w:val="Heading2"/>
      </w:pPr>
      <w:r>
        <w:t>Target companies</w:t>
      </w:r>
    </w:p>
    <w:p>
      <w:r>
        <w:t>Approach software companies serving commercial underwriting and submission workflows. Prioritize products that ingest broker documents and have an engineering owner able to integrate an external component. Direct sales to insurers and brokers can follow when Infratex has the workflow, integrations, and proof required for those buyers.</w:t>
      </w:r>
    </w:p>
    <w:p>
      <w:r>
        <w:t>Use an initial size filter of approximately 20–250 employees. Review ownership: an acquired business may use a parent company's procurement and supplier arrangements.</w:t>
      </w:r>
    </w:p>
    <w:p>
      <w:pPr>
        <w:pStyle w:val="Heading2"/>
      </w:pPr>
      <w:r>
        <w:t>Relevant documents</w:t>
      </w:r>
    </w:p>
    <w:p>
      <w:r>
        <w:t>Loss runs summarize previous insurance claims and losses. Schedules of values list insured properties or assets and their values. These contain repeated records and financial figures, making row completeness and field correctness useful evaluation criteria.</w:t>
      </w:r>
    </w:p>
    <w:p>
      <w:r>
        <w:t>Begin with one of these document types. Add policy schedules, application forms, or larger submission packages only after Infratex has demonstrated support and agreed the scope. A document parser does not automatically provide an entire underwriting system.</w:t>
      </w:r>
    </w:p>
    <w:p>
      <w:pPr>
        <w:pStyle w:val="Heading2"/>
      </w:pPr>
      <w:r>
        <w:t>People to contact</w:t>
      </w:r>
    </w:p>
    <w:p>
      <w:r>
        <w:t>Start with CTOs, Heads of Engineering or AI, and product owners for submissions or underwriting. The workflow owner should help identify the fields and acceptable review process. Security and the budget owner join before a private-data pilot or purchase.</w:t>
      </w:r>
    </w:p>
    <w:p>
      <w:pPr>
        <w:pStyle w:val="Heading2"/>
      </w:pPr>
      <w:r>
        <w:t>Research and personalization</w:t>
      </w:r>
    </w:p>
    <w:p>
      <w:r>
        <w:t>Find explicit mentions of submission intake, document extraction, broker uploads, commercial underwriting, or loss-run processing. Use the buyer's terminology. A company selling insurance policies without relevant product infrastructure is a different audience.</w:t>
      </w:r>
    </w:p>
    <w:p>
      <w:r>
        <w:t>Search examples: “underwriting software submission ingestion”; “insurance platform loss run extraction”; “commercial insurance schedule of values software”. Verify relevance on the company site.</w:t>
      </w:r>
    </w:p>
    <w:p>
      <w:r>
        <w:t>Send offers underwriting workflows and an agentic framework. Its website states that Duck Creek acquired Send, so assess the responsible team and procurement ownership. It is a research seed rather than a confirmed opportunity. [S6]</w:t>
      </w:r>
    </w:p>
    <w:p>
      <w:pPr>
        <w:pStyle w:val="Heading2"/>
      </w:pPr>
      <w:r>
        <w:t>Qualify and progress</w:t>
      </w:r>
    </w:p>
    <w:p>
      <w:r>
        <w:t>Ask which submission documents recur, which fields are needed, how many records/pages are processed, and whether users rekey or correct information. Establish existing extraction tools and review controls. Check whether testing can begin with redacted or public examples.</w:t>
      </w:r>
    </w:p>
    <w:p>
      <w:r>
        <w:t>The meeting goal is to agree one document type, one schema of required fields, an evaluation owner, and an appropriate review process. Route sensitive-data and compliance requirements to Infratex before sample transfer.</w:t>
      </w:r>
    </w:p>
    <w:p>
      <w:pPr>
        <w:pStyle w:val="Heading1"/>
        <w:pageBreakBefore/>
      </w:pPr>
      <w:r>
        <w:t>Insurance outreach sequence</w:t>
      </w:r>
    </w:p>
    <w:p>
      <w:r>
        <w:t>Use this sequence after Infratex has a relevant document example and scorecard ready. Choose loss runs or schedules of values according to verified prospect relevance. Timing: working days 1, 4, and 9.</w:t>
      </w:r>
    </w:p>
    <w:p>
      <w:pPr>
        <w:pStyle w:val="Heading2"/>
      </w:pPr>
      <w:r>
        <w:t>Email one</w:t>
      </w:r>
    </w:p>
    <w:p>
      <w:r>
        <w:t>Subject: loss-run extraction</w:t>
      </w:r>
    </w:p>
    <w:p>
      <w:r>
        <w:t>Hi [First name],</w:t>
      </w:r>
    </w:p>
    <w:p>
      <w:r>
        <w:t>Your [product page / launch] mentions [verified submission workflow].</w:t>
      </w:r>
    </w:p>
    <w:p>
      <w:r>
        <w:t>We are offering a small comparison for loss-run PDFs, checking whether claim rows and financial values are captured correctly across pages against your current output.</w:t>
      </w:r>
    </w:p>
    <w:p>
      <w:r>
        <w:t>Your team would get the extracted data and a scorecard. Public or redacted samples are fine.</w:t>
      </w:r>
    </w:p>
    <w:p>
      <w:r>
        <w:t>Would a sample scorecard be useful?</w:t>
      </w:r>
    </w:p>
    <w:p>
      <w:r>
        <w:t>[Name and accurate role]</w:t>
      </w:r>
    </w:p>
    <w:p>
      <w:pPr>
        <w:pStyle w:val="Heading2"/>
      </w:pPr>
      <w:r>
        <w:t>Email two</w:t>
      </w:r>
    </w:p>
    <w:p>
      <w:r>
        <w:t>Subject: loss-run extraction</w:t>
      </w:r>
    </w:p>
    <w:p>
      <w:r>
        <w:t>Hi [First name],</w:t>
      </w:r>
    </w:p>
    <w:p>
      <w:r>
        <w:t>The comparison would check completeness as well as individual values. For example, does every claim row appear, and are the amounts attached to the correct claim?</w:t>
      </w:r>
    </w:p>
    <w:p>
      <w:r>
        <w:t>We would agree the fields with your technical team before testing.</w:t>
      </w:r>
    </w:p>
    <w:p>
      <w:r>
        <w:t>Is this relevant to your submission workflow?</w:t>
      </w:r>
    </w:p>
    <w:p>
      <w:r>
        <w:t>[Name]</w:t>
      </w:r>
    </w:p>
    <w:p>
      <w:pPr>
        <w:pStyle w:val="Heading2"/>
      </w:pPr>
      <w:r>
        <w:t>Email three</w:t>
      </w:r>
    </w:p>
    <w:p>
      <w:r>
        <w:t>Subject: loss-run extraction</w:t>
      </w:r>
    </w:p>
    <w:p>
      <w:r>
        <w:t>Hi [First name],</w:t>
      </w:r>
    </w:p>
    <w:p>
      <w:r>
        <w:t>I will close the loop here. If your team evaluates loss-run extraction later, happy to share the scorecard and discuss a small test.</w:t>
      </w:r>
    </w:p>
    <w:p>
      <w:r>
        <w:t>[Name]</w:t>
      </w:r>
    </w:p>
    <w:p>
      <w:pPr>
        <w:pStyle w:val="Heading2"/>
      </w:pPr>
      <w:r>
        <w:t>Optional call opener</w:t>
      </w:r>
    </w:p>
    <w:p>
      <w:r>
        <w:t>“Hi [Name], this is [Name] working with Infratex. I saw [Company]'s submission workflow. We are offering a small comparison on [loss runs / schedules of values]. Who owns extraction for that part of the product?”</w:t>
      </w:r>
    </w:p>
    <w:p>
      <w:pPr>
        <w:pStyle w:val="Heading2"/>
      </w:pPr>
      <w:r>
        <w:t>Optional LinkedIn message</w:t>
      </w:r>
    </w:p>
    <w:p>
      <w:r>
        <w:t>“I read about [Company]'s [specific submission feature]. I work with Infratex on document extraction and would be interested to connect around that workflow.”</w:t>
      </w:r>
    </w:p>
    <w:p>
      <w:pPr>
        <w:pStyle w:val="Heading2"/>
      </w:pPr>
      <w:r>
        <w:t>Adaptation rule</w:t>
      </w:r>
    </w:p>
    <w:p>
      <w:r>
        <w:t>For schedules of values, replace the document name and claim example with property/asset rows and associated values. Remove any field or document claim that Infratex cannot currently demonstrate. Avoid expanding the pitch into underwriting decisions or fraud detection unless a supported offering specifically covers them.</w:t>
      </w:r>
    </w:p>
    <w:p>
      <w:pPr>
        <w:pStyle w:val="Heading1"/>
        <w:pageBreakBefore/>
      </w:pPr>
      <w:r>
        <w:t>AI implementation partner campaign</w:t>
      </w:r>
    </w:p>
    <w:p>
      <w:pPr>
        <w:pStyle w:val="Heading2"/>
      </w:pPr>
      <w:r>
        <w:t>Target companies</w:t>
      </w:r>
    </w:p>
    <w:p>
      <w:r>
        <w:t>Approach consultancies and agencies that build AI applications or document automation for business clients. Look for evidence of deployed work involving PDFs, structured extraction, document search, or financial/insurance workflows. Prioritize firms with technical delivery capability and an identifiable practice or project owner.</w:t>
      </w:r>
    </w:p>
    <w:p>
      <w:r>
        <w:t>Start around 10–200 employees. A small specialist with a live project can be more relevant than a large consultancy with only generic AI positioning. Marketing agencies selling chatbot websites without document-heavy business projects are lower priority.</w:t>
      </w:r>
    </w:p>
    <w:p>
      <w:pPr>
        <w:pStyle w:val="Heading2"/>
      </w:pPr>
      <w:r>
        <w:t>The partner proposition</w:t>
      </w:r>
    </w:p>
    <w:p>
      <w:r>
        <w:t>The partner uses Infratex as a document-processing component while delivering and owning the wider client solution. The initial conversation should focus on one active project. A successful implementation may lead to further usage across other clients.</w:t>
      </w:r>
    </w:p>
    <w:p>
      <w:r>
        <w:t>Discuss referral, resale, white-label arrangements, revenue share, or discounts only when Infratex has established terms. Infratex and the partner must agree who contracts, pays, supports the client, and controls the data. Do not promise exclusivity or client ownership arrangements in outreach.</w:t>
      </w:r>
    </w:p>
    <w:p>
      <w:pPr>
        <w:pStyle w:val="Heading2"/>
      </w:pPr>
      <w:r>
        <w:t>People to contact</w:t>
      </w:r>
    </w:p>
    <w:p>
      <w:r>
        <w:t>Start with founders, delivery directors, Heads of AI or Data, and practice leads. A technical architect can evaluate the component but may not own a partner agreement. Ask who oversees the live client project and commercial relationship.</w:t>
      </w:r>
    </w:p>
    <w:p>
      <w:pPr>
        <w:pStyle w:val="Heading2"/>
      </w:pPr>
      <w:r>
        <w:t>Research and personalization</w:t>
      </w:r>
    </w:p>
    <w:p>
      <w:r>
        <w:t>Find a specific case study, service page, or project description. Record the client workflow, relevant documents, and what the partner delivered. Search examples: “AI consultancy document processing case study”; “RAG implementation financial documents”; “document automation consultancy insurance”.</w:t>
      </w:r>
    </w:p>
    <w:p>
      <w:r>
        <w:t>Addepto offers document-processing services and publishes enterprise implementation work. It also has its own ContextClue product, so qualify overlap and component-partner interest rather than assuming a supplier gap. [S7]</w:t>
      </w:r>
    </w:p>
    <w:p>
      <w:pPr>
        <w:pStyle w:val="Heading2"/>
      </w:pPr>
      <w:r>
        <w:t>Qualify and progress</w:t>
      </w:r>
    </w:p>
    <w:p>
      <w:r>
        <w:t>Ask about the current project, document type, client deadline, technical owner, likely production volume, and who can authorize evaluation. A general wish to “partner” is an introductory relationship. A live project with an owner and next step is a qualified opportunity.</w:t>
      </w:r>
    </w:p>
    <w:p>
      <w:r>
        <w:t>The meeting goal is to scope one project and establish the commercial/data responsibilities. Log later partnership potential separately from the first project's verified value.</w:t>
      </w:r>
    </w:p>
    <w:p>
      <w:pPr>
        <w:pStyle w:val="Heading1"/>
        <w:pageBreakBefore/>
      </w:pPr>
      <w:r>
        <w:t>Partner outreach sequence</w:t>
      </w:r>
    </w:p>
    <w:p>
      <w:r>
        <w:t>Personalize around a specific implementation or service. Use working days 1, 4, and 9. Keep the first ask focused on a relevant project or sample evaluation.</w:t>
      </w:r>
    </w:p>
    <w:p>
      <w:pPr>
        <w:pStyle w:val="Heading2"/>
      </w:pPr>
      <w:r>
        <w:t>Email one</w:t>
      </w:r>
    </w:p>
    <w:p>
      <w:r>
        <w:t>Subject: document processing for [project type]</w:t>
      </w:r>
    </w:p>
    <w:p>
      <w:r>
        <w:t>Hi [First name],</w:t>
      </w:r>
    </w:p>
    <w:p>
      <w:r>
        <w:t>I read your [specific document or AI implementation case study].</w:t>
      </w:r>
    </w:p>
    <w:p>
      <w:r>
        <w:t>If you have a current project involving difficult PDF tables, Infratex could be evaluated as the document-processing component.</w:t>
      </w:r>
    </w:p>
    <w:p>
      <w:r>
        <w:t>We would agree a small test with your technical lead and return structured output plus a cost breakdown. Your team would deliver the wider implementation.</w:t>
      </w:r>
    </w:p>
    <w:p>
      <w:r>
        <w:t>Would a sample evaluation be useful?</w:t>
      </w:r>
    </w:p>
    <w:p>
      <w:r>
        <w:t>[Name and accurate role]</w:t>
      </w:r>
    </w:p>
    <w:p>
      <w:pPr>
        <w:pStyle w:val="Heading2"/>
      </w:pPr>
      <w:r>
        <w:t>Email two</w:t>
      </w:r>
    </w:p>
    <w:p>
      <w:r>
        <w:t>Subject: document processing for [project type]</w:t>
      </w:r>
    </w:p>
    <w:p>
      <w:r>
        <w:t>Hi [First name],</w:t>
      </w:r>
    </w:p>
    <w:p>
      <w:r>
        <w:t>For a relevant client project, we could agree one document type and test the required output before your team commits to integration.</w:t>
      </w:r>
    </w:p>
    <w:p>
      <w:r>
        <w:t>Do you have an active project where that would help?</w:t>
      </w:r>
    </w:p>
    <w:p>
      <w:r>
        <w:t>[Name]</w:t>
      </w:r>
    </w:p>
    <w:p>
      <w:pPr>
        <w:pStyle w:val="Heading2"/>
      </w:pPr>
      <w:r>
        <w:t>Email three</w:t>
      </w:r>
    </w:p>
    <w:p>
      <w:r>
        <w:t>Subject: document processing for [project type]</w:t>
      </w:r>
    </w:p>
    <w:p>
      <w:r>
        <w:t>Hi [First name],</w:t>
      </w:r>
    </w:p>
    <w:p>
      <w:r>
        <w:t>I will leave this here. If a document-heavy client project comes up, happy to revisit an evaluation with the person leading delivery.</w:t>
      </w:r>
    </w:p>
    <w:p>
      <w:r>
        <w:t>[Name]</w:t>
      </w:r>
    </w:p>
    <w:p>
      <w:pPr>
        <w:pStyle w:val="Heading2"/>
      </w:pPr>
      <w:r>
        <w:t>Optional call opener</w:t>
      </w:r>
    </w:p>
    <w:p>
      <w:r>
        <w:t>“Hi [Name], this is [Name] working with Infratex. I read your [specific project]. We are speaking with delivery teams that need a document-processing component for client work. Do you have a current project involving PDF extraction?”</w:t>
      </w:r>
    </w:p>
    <w:p>
      <w:pPr>
        <w:pStyle w:val="Heading2"/>
      </w:pPr>
      <w:r>
        <w:t>Optional LinkedIn message</w:t>
      </w:r>
    </w:p>
    <w:p>
      <w:r>
        <w:t>“Your [specific implementation] was relevant to the document-processing work we do with Infratex. Thought it would be useful to connect.”</w:t>
      </w:r>
    </w:p>
    <w:p>
      <w:pPr>
        <w:pStyle w:val="Heading2"/>
      </w:pPr>
      <w:r>
        <w:t>Partner meeting questions</w:t>
      </w:r>
    </w:p>
    <w:p>
      <w:r>
        <w:t>Who is the end client and what can be disclosed? Who owns the data and approves a sample? Is there a funded project and deadline? Who would integrate and support the component? Would Infratex contract with the partner or the client? What volume belongs to this project?</w:t>
      </w:r>
    </w:p>
    <w:p>
      <w:pPr>
        <w:pStyle w:val="Heading1"/>
        <w:pageBreakBefore/>
      </w:pPr>
      <w:r>
        <w:t>Reply handling and meeting conversion</w:t>
      </w:r>
    </w:p>
    <w:p>
      <w:r>
        <w:t>Assign a reply owner and backup. Review replies throughout agreed business coverage and respond the same working day, ideally within two business hours. Give the requested item first, then ask a relevant qualifying question. The SDR should make the next step easy.</w:t>
      </w:r>
    </w:p>
    <w:p>
      <w:pPr>
        <w:pStyle w:val="Heading2"/>
      </w:pPr>
      <w:r>
        <w:t>Interested in the comparison</w:t>
      </w:r>
    </w:p>
    <w:p>
      <w:r>
        <w:t>“Happy to arrange it. Which document type is most relevant, and is this used in a recurring workflow? We can spend 15 minutes agreeing the sample and what a useful result would look like. Would [actual available option one] or [option two] work?”</w:t>
      </w:r>
    </w:p>
    <w:p>
      <w:pPr>
        <w:pStyle w:val="Heading2"/>
      </w:pPr>
      <w:r>
        <w:t>Send more information</w:t>
      </w:r>
    </w:p>
    <w:p>
      <w:r>
        <w:t>“Of course. Here is [actual sample scorecard or relevant product information]. Which document type matters most for your team?”</w:t>
      </w:r>
    </w:p>
    <w:p>
      <w:r>
        <w:t>Log an information request as interest. Upgrade it when the prospect confirms a relevant workflow or agrees a substantive next step.</w:t>
      </w:r>
    </w:p>
    <w:p>
      <w:pPr>
        <w:pStyle w:val="Heading2"/>
      </w:pPr>
      <w:r>
        <w:t>We already have a tool</w:t>
      </w:r>
    </w:p>
    <w:p>
      <w:r>
        <w:t>“Understood. Is there a document type or new requirement you are currently evaluating? If your existing setup meets your needs, there may be no reason to run a comparison.”</w:t>
      </w:r>
    </w:p>
    <w:p>
      <w:pPr>
        <w:pStyle w:val="Heading2"/>
      </w:pPr>
      <w:r>
        <w:t>No time to integrate</w:t>
      </w:r>
    </w:p>
    <w:p>
      <w:r>
        <w:t>“We can begin with an offline comparison. That would let your team inspect the result before deciding whether integration deserves time.”</w:t>
      </w:r>
    </w:p>
    <w:p>
      <w:pPr>
        <w:pStyle w:val="Heading2"/>
      </w:pPr>
      <w:r>
        <w:t>We cannot share documents</w:t>
      </w:r>
    </w:p>
    <w:p>
      <w:r>
        <w:t>“We can start with a public or redacted example. For private files, the Infratex team can discuss the data-handling requirements with the responsible person first.”</w:t>
      </w:r>
    </w:p>
    <w:p>
      <w:pPr>
        <w:pStyle w:val="Heading2"/>
      </w:pPr>
      <w:r>
        <w:t>Not now</w:t>
      </w:r>
    </w:p>
    <w:p>
      <w:r>
        <w:t>“Understood. Is there a suitable time to revisit this?” Record an agreed date. Follow up only according to that preference and the campaign's contact rules.</w:t>
      </w:r>
    </w:p>
    <w:p>
      <w:pPr>
        <w:pStyle w:val="Heading2"/>
      </w:pPr>
      <w:r>
        <w:t>Wrong person or objection</w:t>
      </w:r>
    </w:p>
    <w:p>
      <w:r>
        <w:t>For a wrong person, ask which team handles the workflow and contact the referral accurately. For an objection or opt-out, suppress further marketing promptly. Any reply stops the automated sequence while the SDR handles the conversation.</w:t>
      </w:r>
    </w:p>
    <w:p>
      <w:pPr>
        <w:pStyle w:val="Heading2"/>
      </w:pPr>
      <w:r>
        <w:t>Booking and attendance</w:t>
      </w:r>
    </w:p>
    <w:p>
      <w:r>
        <w:t>Confirm the timezone, meeting length, purpose, Infratex attendee, and meeting link. Use a standard invitation and one useful reminder. Describe what will be discussed and whether samples are needed. Record booked, held, and qualified status separately. If the prospect misses the meeting, offer one reschedule and use judgement on further contact.</w:t>
      </w:r>
    </w:p>
    <w:p>
      <w:pPr>
        <w:pStyle w:val="Heading1"/>
        <w:pageBreakBefore/>
      </w:pPr>
      <w:r>
        <w:t>Qualification and meeting handoff</w:t>
      </w:r>
    </w:p>
    <w:p>
      <w:pPr>
        <w:pStyle w:val="Heading2"/>
      </w:pPr>
      <w:r>
        <w:t>A qualified meeting</w:t>
      </w:r>
    </w:p>
    <w:p>
      <w:r>
        <w:t>A direct-buyer meeting needs a relevant recurring workflow, an owner who can assess it or introduce that owner, a reason to evaluate now, and plausible commercial value. A partner meeting needs a relevant live client project and a credible route to its technical/commercial owner. Unknown budget or volume can be established in the meeting, but record the gap explicitly.</w:t>
      </w:r>
    </w:p>
    <w:p>
      <w:r>
        <w:t>Use “exploratory” when fit is plausible but the workload or owner is unclear. Use “qualified held” only after the conversation verifies the required criteria. An SDR should not force a prospect through a long questionnaire before booking a relevant call.</w:t>
      </w:r>
    </w:p>
    <w:p>
      <w:pPr>
        <w:pStyle w:val="Heading2"/>
      </w:pPr>
      <w:r>
        <w:t>Discovery questions</w:t>
      </w:r>
    </w:p>
    <w:p>
      <w:pPr>
        <w:pStyle w:val="ListBullet"/>
        <w:spacing w:after="80"/>
      </w:pPr>
      <w:r>
        <w:t>What document type are you processing, and what output is needed?</w:t>
      </w:r>
    </w:p>
    <w:p>
      <w:pPr>
        <w:pStyle w:val="ListBullet"/>
        <w:spacing w:after="80"/>
      </w:pPr>
      <w:r>
        <w:t>What happens to the data after extraction?</w:t>
      </w:r>
    </w:p>
    <w:p>
      <w:pPr>
        <w:pStyle w:val="ListBullet"/>
        <w:spacing w:after="80"/>
      </w:pPr>
      <w:r>
        <w:t>What is the approximate monthly document/page volume?</w:t>
      </w:r>
    </w:p>
    <w:p>
      <w:pPr>
        <w:pStyle w:val="ListBullet"/>
        <w:spacing w:after="80"/>
      </w:pPr>
      <w:r>
        <w:t>What creates review or correction work today?</w:t>
      </w:r>
    </w:p>
    <w:p>
      <w:pPr>
        <w:pStyle w:val="ListBullet"/>
        <w:spacing w:after="80"/>
      </w:pPr>
      <w:r>
        <w:t>Which tool or internal process is currently used?</w:t>
      </w:r>
    </w:p>
    <w:p>
      <w:pPr>
        <w:pStyle w:val="ListBullet"/>
        <w:spacing w:after="80"/>
      </w:pPr>
      <w:r>
        <w:t>Who would evaluate the result and integrate a successful solution?</w:t>
      </w:r>
    </w:p>
    <w:p>
      <w:pPr>
        <w:pStyle w:val="ListBullet"/>
        <w:spacing w:after="80"/>
      </w:pPr>
      <w:r>
        <w:t>What is the relevant project or buying timeline?</w:t>
      </w:r>
    </w:p>
    <w:p>
      <w:r>
        <w:t>For partners, add who owns the end-client relationship, project budget, and data permission. Record total volume and expected Infratex volume separately.</w:t>
      </w:r>
    </w:p>
    <w:p>
      <w:pPr>
        <w:pStyle w:val="Heading2"/>
      </w:pPr>
      <w:r>
        <w:t>Handoff template</w:t>
      </w:r>
    </w:p>
    <w:p>
      <w:r>
        <w:t>Company and domain: [ ]</w:t>
      </w:r>
    </w:p>
    <w:p>
      <w:r>
        <w:t>Campaign and subsegment: [ ]</w:t>
      </w:r>
    </w:p>
    <w:p>
      <w:r>
        <w:t>Contact, role, timezone, meeting date: [ ]</w:t>
      </w:r>
    </w:p>
    <w:p>
      <w:r>
        <w:t>Verified relevance and source URL: [ ]</w:t>
      </w:r>
    </w:p>
    <w:p>
      <w:r>
        <w:t>Document type, required output, workflow: [ ]</w:t>
      </w:r>
    </w:p>
    <w:p>
      <w:r>
        <w:t>Current process and prospect's stated problem: [ ]</w:t>
      </w:r>
    </w:p>
    <w:p>
      <w:r>
        <w:t>Monthly volume and likely Infratex share: [known / estimate / unknown]</w:t>
      </w:r>
    </w:p>
    <w:p>
      <w:r>
        <w:t>Evaluation owner, integration owner, budget owner: [ ]</w:t>
      </w:r>
    </w:p>
    <w:p>
      <w:r>
        <w:t>Project timing and security questions: [ ]</w:t>
      </w:r>
    </w:p>
    <w:p>
      <w:r>
        <w:t>What we offered and what the prospect accepted: [ ]</w:t>
      </w:r>
    </w:p>
    <w:p>
      <w:r>
        <w:t>Next step and owner: [ ]</w:t>
      </w:r>
    </w:p>
    <w:p>
      <w:r>
        <w:t>Open questions and link to conversation: [ ]</w:t>
      </w:r>
    </w:p>
    <w:p>
      <w:pPr>
        <w:pStyle w:val="Heading2"/>
      </w:pPr>
      <w:r>
        <w:t>First meeting agenda</w:t>
      </w:r>
    </w:p>
    <w:p>
      <w:r>
        <w:t>Use a 20-minute call: understand the workflow, examine a representative example, confirm volume and ownership, and agree the evaluation. Infratex owns technical answers and the next commercial step. End with a named owner and a date for the next action.</w:t>
      </w:r>
    </w:p>
    <w:p>
      <w:pPr>
        <w:pStyle w:val="Heading1"/>
        <w:pageBreakBefore/>
      </w:pPr>
      <w:r>
        <w:t>Evaluation pilot and commercial process</w:t>
      </w:r>
    </w:p>
    <w:p>
      <w:pPr>
        <w:pStyle w:val="Heading2"/>
      </w:pPr>
      <w:r>
        <w:t>Evaluation</w:t>
      </w:r>
    </w:p>
    <w:p>
      <w:r>
        <w:t>Infratex agrees the document class, output, success criteria, permitted data, and scope. Use representative examples and preserve failures in the result. Check field correctness, row completeness, source traceability, review time, latency, processing cost, and integration effort. An unseen holdout set should test whether results generalize beyond the setup samples.</w:t>
      </w:r>
    </w:p>
    <w:p>
      <w:r>
        <w:t>Suggested initial capacity: ten free evaluations a week, roughly one engineer-hour each. Measure actual effort and revise the scope or capacity when needed. Custom connectors and extensive data preparation require separately scoped work.</w:t>
      </w:r>
    </w:p>
    <w:p>
      <w:pPr>
        <w:pStyle w:val="Heading2"/>
      </w:pPr>
      <w:r>
        <w:t>Paid pilot</w:t>
      </w:r>
    </w:p>
    <w:p>
      <w:r>
        <w:t>Proposed package: €1,500–€3,000 for two weeks, one workflow, capped usage, agreed fields, and a documented outcome. Infratex sets the actual price and included support before an SDR quotes it. Define any credit against a production contract explicitly.</w:t>
      </w:r>
    </w:p>
    <w:p>
      <w:r>
        <w:t>The pilot starts with a technical owner, a credible commercial owner, an agreed evaluation criterion, and a decision process. A technically successful pilot should end with an agreed production proposal or a clear reason to stop.</w:t>
      </w:r>
    </w:p>
    <w:p>
      <w:pPr>
        <w:pStyle w:val="Heading2"/>
      </w:pPr>
      <w:r>
        <w:t>Production opportunity</w:t>
      </w:r>
    </w:p>
    <w:p>
      <w:r>
        <w:t>Target plausible annual value of €12,000–€36,000 through appropriate usage, support, or deployment requirements. This is a qualification hypothesis, not a price promise. Infratex's public plans start at €25 and extend to a €500 monthly tier, with custom arrangements beyond it. A higher contract must provide justified additional value. [S8]</w:t>
      </w:r>
    </w:p>
    <w:p>
      <w:r>
        <w:t>At public Standard pricing, 100,000 pages represent approximately €500 before additional operations and discounts. If only 10% would use Infratex, the applicable workload is 10,000 pages. Confirm what volume actually enters the proposed contract. [S8]</w:t>
      </w:r>
    </w:p>
    <w:p>
      <w:pPr>
        <w:pStyle w:val="Heading2"/>
      </w:pPr>
      <w:r>
        <w:t>Profitability</w:t>
      </w:r>
    </w:p>
    <w:p>
      <w:r>
        <w:t>Infratex tracks revenue less processing, infrastructure, onboarding, and support costs. Growency tracks fee revenue less SDR time, research, tools, reply handling, and management costs. Free evaluations and pilot credits belong in the acquisition model.</w:t>
      </w:r>
    </w:p>
    <w:p>
      <w:r>
        <w:t>Illustration: €6,000 invested per acquired customer would take about 5.7 months to recover at €1,500 monthly revenue and an assumed 70% gross margin. At €500 monthly revenue, the same assumptions imply about 17 months. These are planning calculations; actual margin, churn, and conversion determine the result.</w:t>
      </w:r>
    </w:p>
    <w:p>
      <w:r>
        <w:t>For partner projects, record each end-client workload separately and agree who pays and supports it. Keep speculative future referrals outside committed revenue.</w:t>
      </w:r>
    </w:p>
    <w:p>
      <w:pPr>
        <w:pStyle w:val="Heading1"/>
        <w:pageBreakBefore/>
      </w:pPr>
      <w:r>
        <w:t>SDR daily workflow and account records</w:t>
      </w:r>
    </w:p>
    <w:p>
      <w:pPr>
        <w:pStyle w:val="Heading2"/>
      </w:pPr>
      <w:r>
        <w:t>Start of day</w:t>
      </w:r>
    </w:p>
    <w:p>
      <w:r>
        <w:t>Review replies, opt-outs, meeting changes, and follow-ups due. Handle active conversations before adding new accounts. Check that scheduled messages use the correct campaign, document type, and sender.</w:t>
      </w:r>
    </w:p>
    <w:p>
      <w:pPr>
        <w:pStyle w:val="Heading2"/>
      </w:pPr>
      <w:r>
        <w:t>Research and add accounts</w:t>
      </w:r>
    </w:p>
    <w:p>
      <w:r>
        <w:t>Suggested daily allocation per SDR: 8–12 researched accounts, allowing time for replies and meetings. Use an evidence score: document fit 0–3; current initiative 0–3; plausible scale 0–2; identifiable owner 0–2. Prioritize 7+/10. The score helps order work; the underlying evidence matters more.</w:t>
      </w:r>
    </w:p>
    <w:p>
      <w:r>
        <w:t>Before adding a contact, verify the company, relevant workflow, role, source/date, business email, and suppression status. Use “unknown” for absent information. Check duplicate records and current conversations across the team.</w:t>
      </w:r>
    </w:p>
    <w:p>
      <w:pPr>
        <w:pStyle w:val="Heading2"/>
      </w:pPr>
      <w:r>
        <w:t>Sending and follow-up</w:t>
      </w:r>
    </w:p>
    <w:p>
      <w:r>
        <w:t>Start with one primary contact per account. Contact a second person sequentially when appropriate and stop account-wide automation when a conversation begins. Actual daily sending limits depend on provider rules, sender reputation, and delivery results. The research allocation is not a sending entitlement.</w:t>
      </w:r>
    </w:p>
    <w:p>
      <w:r>
        <w:t>Use the verified workflow in the opening line. Choose one relevant offer. Include accurate identity, required commercial/contact details, applicable privacy information, and an easy opt-out. Keep sender-domain authentication and alignment configured; monitor bounces, complaints, and deferrals. Follow the sending provider's terms. [S9]</w:t>
      </w:r>
    </w:p>
    <w:p>
      <w:pPr>
        <w:pStyle w:val="Heading2"/>
      </w:pPr>
      <w:r>
        <w:t>Required account fields</w:t>
      </w:r>
    </w:p>
    <w:p>
      <w:r>
        <w:t>Account/domain; campaign; financial subsegment or document type; geography; source URL/date; relevance; contact/role; email source/verification; confirmed current provider; outreach status; reply category; suppression status; next action/owner/date; meeting and qualification status; evaluation/pilot status; commercial value and confidence.</w:t>
      </w:r>
    </w:p>
    <w:p>
      <w:pPr>
        <w:pStyle w:val="Heading2"/>
      </w:pPr>
      <w:r>
        <w:t>Contact rules</w:t>
      </w:r>
    </w:p>
    <w:p>
      <w:r>
        <w:t>US and UK campaigns should be separate. UK rules distinguish corporate subscribers from sole traders and some partnerships; personal-data obligations still apply. US commercial email requires truthful identification, a valid postal address, and a working opt-out among other requirements. Check the applicable rules before extending into other jurisdictions. [S10, S11]</w:t>
      </w:r>
    </w:p>
    <w:p>
      <w:pPr>
        <w:pStyle w:val="Heading2"/>
      </w:pPr>
      <w:r>
        <w:t>End of day</w:t>
      </w:r>
    </w:p>
    <w:p>
      <w:r>
        <w:t>Complete handoffs, update next actions, and flag technical or commercial questions. Escalate delivery deterioration to the campaign lead. Leave every active reply with an owner and dated next step.</w:t>
      </w:r>
    </w:p>
    <w:p>
      <w:pPr>
        <w:pStyle w:val="Heading1"/>
        <w:pageBreakBefore/>
      </w:pPr>
      <w:r>
        <w:t>Launch plan and campaign reporting</w:t>
      </w:r>
    </w:p>
    <w:p>
      <w:pPr>
        <w:pStyle w:val="Heading2"/>
      </w:pPr>
      <w:r>
        <w:t>Initial allocation</w:t>
      </w:r>
    </w:p>
    <w:p>
      <w:r>
        <w:t>Use a six-week validation period. Research approximately 300 accounts: 150 financial software, 75 insurance software, and 75 implementation partners. These are account allocations across the team, not per SDR quotas. Start with half the allocation and add the remainder after reviewing relevance, delivery, and reply handling.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5544"/>
        <w:gridCol w:w="2736"/>
      </w:tblGrid>
      <w:tr>
        <w:trPr>
          <w:tblHeader/>
          <w:cantSplit/>
        </w:trPr>
        <w:tc>
          <w:tcPr>
            <w:tcW w:type="dxa" w:w="1800"/>
            <w:vAlign w:val="center"/>
            <w:shd w:fill="20384C"/>
            <w:tcMar>
              <w:top w:w="95" w:type="dxa"/>
              <w:bottom w:w="95" w:type="dxa"/>
              <w:left w:w="110" w:type="dxa"/>
              <w:right w:w="110" w:type="dxa"/>
            </w:tcMar>
          </w:tcPr>
          <w:p>
            <w:pPr>
              <w:spacing w:after="0" w:line="247" w:lineRule="auto"/>
            </w:pPr>
            <w:r>
              <w:rPr>
                <w:b/>
                <w:color w:val="FFFFFF"/>
                <w:sz w:val="21"/>
              </w:rPr>
              <w:t>Timing</w:t>
            </w:r>
          </w:p>
        </w:tc>
        <w:tc>
          <w:tcPr>
            <w:tcW w:type="dxa" w:w="5544"/>
            <w:vAlign w:val="center"/>
            <w:shd w:fill="20384C"/>
            <w:tcMar>
              <w:top w:w="95" w:type="dxa"/>
              <w:bottom w:w="95" w:type="dxa"/>
              <w:left w:w="110" w:type="dxa"/>
              <w:right w:w="110" w:type="dxa"/>
            </w:tcMar>
          </w:tcPr>
          <w:p>
            <w:pPr>
              <w:spacing w:after="0" w:line="247" w:lineRule="auto"/>
            </w:pPr>
            <w:r>
              <w:rPr>
                <w:b/>
                <w:color w:val="FFFFFF"/>
                <w:sz w:val="21"/>
              </w:rPr>
              <w:t>Main action</w:t>
            </w:r>
          </w:p>
        </w:tc>
        <w:tc>
          <w:tcPr>
            <w:tcW w:type="dxa" w:w="2736"/>
            <w:vAlign w:val="center"/>
            <w:shd w:fill="20384C"/>
            <w:tcMar>
              <w:top w:w="95" w:type="dxa"/>
              <w:bottom w:w="95" w:type="dxa"/>
              <w:left w:w="110" w:type="dxa"/>
              <w:right w:w="110" w:type="dxa"/>
            </w:tcMar>
          </w:tcPr>
          <w:p>
            <w:pPr>
              <w:spacing w:after="0" w:line="247" w:lineRule="auto"/>
            </w:pPr>
            <w:r>
              <w:rPr>
                <w:b/>
                <w:color w:val="FFFFFF"/>
                <w:sz w:val="21"/>
              </w:rPr>
              <w:t>Owner</w:t>
            </w:r>
          </w:p>
        </w:tc>
      </w:tr>
      <w:tr>
        <w:trPr>
          <w:cantSplit/>
        </w:trPr>
        <w:tc>
          <w:tcPr>
            <w:tcW w:type="dxa" w:w="1800"/>
            <w:vAlign w:val="center"/>
            <w:shd w:fill="FFFFFF"/>
            <w:tcMar>
              <w:top w:w="95" w:type="dxa"/>
              <w:bottom w:w="95" w:type="dxa"/>
              <w:left w:w="110" w:type="dxa"/>
              <w:right w:w="110" w:type="dxa"/>
            </w:tcMar>
          </w:tcPr>
          <w:p>
            <w:pPr>
              <w:spacing w:after="0" w:line="247" w:lineRule="auto"/>
            </w:pPr>
            <w:r>
              <w:rPr>
                <w:b w:val="0"/>
                <w:sz w:val="21"/>
              </w:rPr>
              <w:t>Week 1</w:t>
            </w:r>
          </w:p>
        </w:tc>
        <w:tc>
          <w:tcPr>
            <w:tcW w:type="dxa" w:w="5544"/>
            <w:vAlign w:val="center"/>
            <w:shd w:fill="FFFFFF"/>
            <w:tcMar>
              <w:top w:w="95" w:type="dxa"/>
              <w:bottom w:w="95" w:type="dxa"/>
              <w:left w:w="110" w:type="dxa"/>
              <w:right w:w="110" w:type="dxa"/>
            </w:tcMar>
          </w:tcPr>
          <w:p>
            <w:pPr>
              <w:spacing w:after="0" w:line="247" w:lineRule="auto"/>
            </w:pPr>
            <w:r>
              <w:rPr>
                <w:b w:val="0"/>
                <w:sz w:val="21"/>
              </w:rPr>
              <w:t>Confirm offer, proof, data handling, demo capacity, pilot scope, and reply ownership</w:t>
            </w:r>
          </w:p>
        </w:tc>
        <w:tc>
          <w:tcPr>
            <w:tcW w:type="dxa" w:w="2736"/>
            <w:vAlign w:val="center"/>
            <w:shd w:fill="FFFFFF"/>
            <w:tcMar>
              <w:top w:w="95" w:type="dxa"/>
              <w:bottom w:w="95" w:type="dxa"/>
              <w:left w:w="110" w:type="dxa"/>
              <w:right w:w="110" w:type="dxa"/>
            </w:tcMar>
          </w:tcPr>
          <w:p>
            <w:pPr>
              <w:spacing w:after="0" w:line="247" w:lineRule="auto"/>
            </w:pPr>
            <w:r>
              <w:rPr>
                <w:b w:val="0"/>
                <w:sz w:val="21"/>
              </w:rPr>
              <w:t>Infratex and Growency leads</w:t>
            </w:r>
          </w:p>
        </w:tc>
      </w:tr>
      <w:tr>
        <w:trPr>
          <w:cantSplit/>
        </w:trPr>
        <w:tc>
          <w:tcPr>
            <w:tcW w:type="dxa" w:w="1800"/>
            <w:vAlign w:val="center"/>
            <w:shd w:fill="F3F6F8"/>
            <w:tcMar>
              <w:top w:w="95" w:type="dxa"/>
              <w:bottom w:w="95" w:type="dxa"/>
              <w:left w:w="110" w:type="dxa"/>
              <w:right w:w="110" w:type="dxa"/>
            </w:tcMar>
          </w:tcPr>
          <w:p>
            <w:pPr>
              <w:spacing w:after="0" w:line="247" w:lineRule="auto"/>
            </w:pPr>
            <w:r>
              <w:rPr>
                <w:b w:val="0"/>
                <w:sz w:val="21"/>
              </w:rPr>
              <w:t>Week 2</w:t>
            </w:r>
          </w:p>
        </w:tc>
        <w:tc>
          <w:tcPr>
            <w:tcW w:type="dxa" w:w="5544"/>
            <w:vAlign w:val="center"/>
            <w:shd w:fill="F3F6F8"/>
            <w:tcMar>
              <w:top w:w="95" w:type="dxa"/>
              <w:bottom w:w="95" w:type="dxa"/>
              <w:left w:w="110" w:type="dxa"/>
              <w:right w:w="110" w:type="dxa"/>
            </w:tcMar>
          </w:tcPr>
          <w:p>
            <w:pPr>
              <w:spacing w:after="0" w:line="247" w:lineRule="auto"/>
            </w:pPr>
            <w:r>
              <w:rPr>
                <w:b w:val="0"/>
                <w:sz w:val="21"/>
              </w:rPr>
              <w:t>Launch the first researched cohort across all campaigns</w:t>
            </w:r>
          </w:p>
        </w:tc>
        <w:tc>
          <w:tcPr>
            <w:tcW w:type="dxa" w:w="2736"/>
            <w:vAlign w:val="center"/>
            <w:shd w:fill="F3F6F8"/>
            <w:tcMar>
              <w:top w:w="95" w:type="dxa"/>
              <w:bottom w:w="95" w:type="dxa"/>
              <w:left w:w="110" w:type="dxa"/>
              <w:right w:w="110" w:type="dxa"/>
            </w:tcMar>
          </w:tcPr>
          <w:p>
            <w:pPr>
              <w:spacing w:after="0" w:line="247" w:lineRule="auto"/>
            </w:pPr>
            <w:r>
              <w:rPr>
                <w:b w:val="0"/>
                <w:sz w:val="21"/>
              </w:rPr>
              <w:t>SDR team</w:t>
            </w:r>
          </w:p>
        </w:tc>
      </w:tr>
      <w:tr>
        <w:trPr>
          <w:cantSplit/>
        </w:trPr>
        <w:tc>
          <w:tcPr>
            <w:tcW w:type="dxa" w:w="1800"/>
            <w:vAlign w:val="center"/>
            <w:shd w:fill="FFFFFF"/>
            <w:tcMar>
              <w:top w:w="95" w:type="dxa"/>
              <w:bottom w:w="95" w:type="dxa"/>
              <w:left w:w="110" w:type="dxa"/>
              <w:right w:w="110" w:type="dxa"/>
            </w:tcMar>
          </w:tcPr>
          <w:p>
            <w:pPr>
              <w:spacing w:after="0" w:line="247" w:lineRule="auto"/>
            </w:pPr>
            <w:r>
              <w:rPr>
                <w:b w:val="0"/>
                <w:sz w:val="21"/>
              </w:rPr>
              <w:t>Weeks 3 and 4</w:t>
            </w:r>
          </w:p>
        </w:tc>
        <w:tc>
          <w:tcPr>
            <w:tcW w:type="dxa" w:w="5544"/>
            <w:vAlign w:val="center"/>
            <w:shd w:fill="FFFFFF"/>
            <w:tcMar>
              <w:top w:w="95" w:type="dxa"/>
              <w:bottom w:w="95" w:type="dxa"/>
              <w:left w:w="110" w:type="dxa"/>
              <w:right w:w="110" w:type="dxa"/>
            </w:tcMar>
          </w:tcPr>
          <w:p>
            <w:pPr>
              <w:spacing w:after="0" w:line="247" w:lineRule="auto"/>
            </w:pPr>
            <w:r>
              <w:rPr>
                <w:b w:val="0"/>
                <w:sz w:val="21"/>
              </w:rPr>
              <w:t>Complete sequences, run evaluations, add suitable accounts, and progress pilots</w:t>
            </w:r>
          </w:p>
        </w:tc>
        <w:tc>
          <w:tcPr>
            <w:tcW w:type="dxa" w:w="2736"/>
            <w:vAlign w:val="center"/>
            <w:shd w:fill="FFFFFF"/>
            <w:tcMar>
              <w:top w:w="95" w:type="dxa"/>
              <w:bottom w:w="95" w:type="dxa"/>
              <w:left w:w="110" w:type="dxa"/>
              <w:right w:w="110" w:type="dxa"/>
            </w:tcMar>
          </w:tcPr>
          <w:p>
            <w:pPr>
              <w:spacing w:after="0" w:line="247" w:lineRule="auto"/>
            </w:pPr>
            <w:r>
              <w:rPr>
                <w:b w:val="0"/>
                <w:sz w:val="21"/>
              </w:rPr>
              <w:t>SDRs and Infratex</w:t>
            </w:r>
          </w:p>
        </w:tc>
      </w:tr>
      <w:tr>
        <w:trPr>
          <w:cantSplit/>
        </w:trPr>
        <w:tc>
          <w:tcPr>
            <w:tcW w:type="dxa" w:w="1800"/>
            <w:vAlign w:val="center"/>
            <w:shd w:fill="F3F6F8"/>
            <w:tcMar>
              <w:top w:w="95" w:type="dxa"/>
              <w:bottom w:w="95" w:type="dxa"/>
              <w:left w:w="110" w:type="dxa"/>
              <w:right w:w="110" w:type="dxa"/>
            </w:tcMar>
          </w:tcPr>
          <w:p>
            <w:pPr>
              <w:spacing w:after="0" w:line="247" w:lineRule="auto"/>
            </w:pPr>
            <w:r>
              <w:rPr>
                <w:b w:val="0"/>
                <w:sz w:val="21"/>
              </w:rPr>
              <w:t>Week 5</w:t>
            </w:r>
          </w:p>
        </w:tc>
        <w:tc>
          <w:tcPr>
            <w:tcW w:type="dxa" w:w="5544"/>
            <w:vAlign w:val="center"/>
            <w:shd w:fill="F3F6F8"/>
            <w:tcMar>
              <w:top w:w="95" w:type="dxa"/>
              <w:bottom w:w="95" w:type="dxa"/>
              <w:left w:w="110" w:type="dxa"/>
              <w:right w:w="110" w:type="dxa"/>
            </w:tcMar>
          </w:tcPr>
          <w:p>
            <w:pPr>
              <w:spacing w:after="0" w:line="247" w:lineRule="auto"/>
            </w:pPr>
            <w:r>
              <w:rPr>
                <w:b w:val="0"/>
                <w:sz w:val="21"/>
              </w:rPr>
              <w:t>Compare completed cohorts and investigate conversion gaps</w:t>
            </w:r>
          </w:p>
        </w:tc>
        <w:tc>
          <w:tcPr>
            <w:tcW w:type="dxa" w:w="2736"/>
            <w:vAlign w:val="center"/>
            <w:shd w:fill="F3F6F8"/>
            <w:tcMar>
              <w:top w:w="95" w:type="dxa"/>
              <w:bottom w:w="95" w:type="dxa"/>
              <w:left w:w="110" w:type="dxa"/>
              <w:right w:w="110" w:type="dxa"/>
            </w:tcMar>
          </w:tcPr>
          <w:p>
            <w:pPr>
              <w:spacing w:after="0" w:line="247" w:lineRule="auto"/>
            </w:pPr>
            <w:r>
              <w:rPr>
                <w:b w:val="0"/>
                <w:sz w:val="21"/>
              </w:rPr>
              <w:t>Campaign lead</w:t>
            </w:r>
          </w:p>
        </w:tc>
      </w:tr>
      <w:tr>
        <w:trPr>
          <w:cantSplit/>
        </w:trPr>
        <w:tc>
          <w:tcPr>
            <w:tcW w:type="dxa" w:w="1800"/>
            <w:vAlign w:val="center"/>
            <w:shd w:fill="FFFFFF"/>
            <w:tcMar>
              <w:top w:w="95" w:type="dxa"/>
              <w:bottom w:w="95" w:type="dxa"/>
              <w:left w:w="110" w:type="dxa"/>
              <w:right w:w="110" w:type="dxa"/>
            </w:tcMar>
          </w:tcPr>
          <w:p>
            <w:pPr>
              <w:spacing w:after="0" w:line="247" w:lineRule="auto"/>
            </w:pPr>
            <w:r>
              <w:rPr>
                <w:b w:val="0"/>
                <w:sz w:val="21"/>
              </w:rPr>
              <w:t>Week 6</w:t>
            </w:r>
          </w:p>
        </w:tc>
        <w:tc>
          <w:tcPr>
            <w:tcW w:type="dxa" w:w="5544"/>
            <w:vAlign w:val="center"/>
            <w:shd w:fill="FFFFFF"/>
            <w:tcMar>
              <w:top w:w="95" w:type="dxa"/>
              <w:bottom w:w="95" w:type="dxa"/>
              <w:left w:w="110" w:type="dxa"/>
              <w:right w:w="110" w:type="dxa"/>
            </w:tcMar>
          </w:tcPr>
          <w:p>
            <w:pPr>
              <w:spacing w:after="0" w:line="247" w:lineRule="auto"/>
            </w:pPr>
            <w:r>
              <w:rPr>
                <w:b w:val="0"/>
                <w:sz w:val="21"/>
              </w:rPr>
              <w:t>Decide next allocation and progress commercial opportunities</w:t>
            </w:r>
          </w:p>
        </w:tc>
        <w:tc>
          <w:tcPr>
            <w:tcW w:type="dxa" w:w="2736"/>
            <w:vAlign w:val="center"/>
            <w:shd w:fill="FFFFFF"/>
            <w:tcMar>
              <w:top w:w="95" w:type="dxa"/>
              <w:bottom w:w="95" w:type="dxa"/>
              <w:left w:w="110" w:type="dxa"/>
              <w:right w:w="110" w:type="dxa"/>
            </w:tcMar>
          </w:tcPr>
          <w:p>
            <w:pPr>
              <w:spacing w:after="0" w:line="247" w:lineRule="auto"/>
            </w:pPr>
            <w:r>
              <w:rPr>
                <w:b w:val="0"/>
                <w:sz w:val="21"/>
              </w:rPr>
              <w:t>Infratex and Growency leads</w:t>
            </w:r>
          </w:p>
        </w:tc>
      </w:tr>
    </w:tbl>
    <w:p>
      <w:pPr>
        <w:spacing w:after="0"/>
      </w:pPr>
    </w:p>
    <w:p>
      <w:pPr>
        <w:pStyle w:val="Heading2"/>
      </w:pPr>
      <w:r>
        <w:t>Metrics and definitions</w:t>
      </w:r>
    </w:p>
    <w:p>
      <w:r>
        <w:t>Track positive replies per unique delivered recipient. Separate information requests from substantive interest; exclude automatic replies, objections, and opt-outs. Report booked meetings per unique delivered recipient, held meetings per booking, and qualified meetings per held meeting.</w:t>
      </w:r>
    </w:p>
    <w:p>
      <w:r>
        <w:t>Track qualified meetings per account, evaluation uptake, paid pilots, production wins, pipeline value, time to next step, and staff hours. Deduplicate people and accounts. Definitions must remain consistent across campaigns. Open rates are a secondary signal and can be unreliable. Published reply benchmarks can use different denominators. [S12]</w:t>
      </w:r>
    </w:p>
    <w:p>
      <w:pPr>
        <w:pStyle w:val="Heading2"/>
      </w:pPr>
      <w:r>
        <w:t>Weekly review</w:t>
      </w:r>
    </w:p>
    <w:p>
      <w:r>
        <w:t>Review delivery first, then positive replies, held qualified meetings, and pilot progression. Diagnose the stage that loses prospects. Low replies may indicate relevance, offer, or delivery problems. Interest without meetings may indicate an unclear next step. Meetings without pilots may expose weak urgency, trust, or performance. Successful pilots without purchases may expose economics or buying authority.</w:t>
      </w:r>
    </w:p>
    <w:p>
      <w:r>
        <w:t>Treat early results as directional. Different campaign sizes and buyer groups limit comparisons. Avoid many simultaneous copy tests. Once a segment shows promise, test one variable within it and randomize by account.</w:t>
      </w:r>
    </w:p>
    <w:p>
      <w:pPr>
        <w:pStyle w:val="Heading2"/>
      </w:pPr>
      <w:r>
        <w:t>Client readiness</w:t>
      </w:r>
    </w:p>
    <w:p>
      <w:r>
        <w:t>Before first send, Infratex supplies the actual evaluation scope, a sample scorecard, relevant document outputs, security/data answers, demo owner, available meeting slots, pricing authority, and evaluation capacity. Growency supplies verified account research, sequences, sender setup, reply coverage, reporting definitions, and handoff process.</w:t>
      </w:r>
    </w:p>
    <w:p>
      <w:pPr>
        <w:pStyle w:val="Heading1"/>
        <w:pageBreakBefore/>
      </w:pPr>
      <w:r>
        <w:t>Source references and SDR terminology</w:t>
      </w:r>
    </w:p>
    <w:p>
      <w:r>
        <w:t>Research supporting the campaign choices was gathered on 6 October 2026. Commercial rates and product details should be checked again when preparing a specific proposal.</w:t>
      </w:r>
    </w:p>
    <w:p>
      <w:pPr>
        <w:pStyle w:val="Heading2"/>
      </w:pPr>
      <w:r>
        <w:t>Product and market references</w:t>
      </w:r>
    </w:p>
    <w:p>
      <w:pPr>
        <w:spacing w:after="120"/>
      </w:pPr>
      <w:r>
        <w:t xml:space="preserve">[S1] Infratex documentation  </w:t>
      </w:r>
      <w:hyperlink r:id="rId9">
        <w:r>
          <w:rPr>
            <w:color w:val="195B8A"/>
            <w:u w:val="single"/>
          </w:rPr>
          <w:t>Open source</w:t>
        </w:r>
      </w:hyperlink>
    </w:p>
    <w:p>
      <w:pPr>
        <w:spacing w:after="120"/>
      </w:pPr>
      <w:r>
        <w:t xml:space="preserve">[S2] Infratex product and benchmark claims  </w:t>
      </w:r>
      <w:hyperlink r:id="rId10">
        <w:r>
          <w:rPr>
            <w:color w:val="195B8A"/>
            <w:u w:val="single"/>
          </w:rPr>
          <w:t>Open source</w:t>
        </w:r>
      </w:hyperlink>
    </w:p>
    <w:p>
      <w:pPr>
        <w:spacing w:after="120"/>
      </w:pPr>
      <w:r>
        <w:t xml:space="preserve">[S3] Original PulseBench research report  </w:t>
      </w:r>
      <w:hyperlink r:id="rId11">
        <w:r>
          <w:rPr>
            <w:color w:val="195B8A"/>
            <w:u w:val="single"/>
          </w:rPr>
          <w:t>Open source</w:t>
        </w:r>
      </w:hyperlink>
    </w:p>
    <w:p>
      <w:pPr>
        <w:spacing w:after="120"/>
      </w:pPr>
      <w:r>
        <w:t xml:space="preserve">[S4] Finley AI capabilities  </w:t>
      </w:r>
      <w:hyperlink r:id="rId12">
        <w:r>
          <w:rPr>
            <w:color w:val="195B8A"/>
            <w:u w:val="single"/>
          </w:rPr>
          <w:t>Open source</w:t>
        </w:r>
      </w:hyperlink>
    </w:p>
    <w:p>
      <w:pPr>
        <w:spacing w:after="120"/>
      </w:pPr>
      <w:r>
        <w:t xml:space="preserve">[S5] Blooma document types  </w:t>
      </w:r>
      <w:hyperlink r:id="rId13">
        <w:r>
          <w:rPr>
            <w:color w:val="195B8A"/>
            <w:u w:val="single"/>
          </w:rPr>
          <w:t>Open source</w:t>
        </w:r>
      </w:hyperlink>
    </w:p>
    <w:p>
      <w:pPr>
        <w:spacing w:after="120"/>
      </w:pPr>
      <w:r>
        <w:t xml:space="preserve">[S6] Send underwriting platform  </w:t>
      </w:r>
      <w:hyperlink r:id="rId14">
        <w:r>
          <w:rPr>
            <w:color w:val="195B8A"/>
            <w:u w:val="single"/>
          </w:rPr>
          <w:t>Open source</w:t>
        </w:r>
      </w:hyperlink>
    </w:p>
    <w:p>
      <w:pPr>
        <w:spacing w:after="120"/>
      </w:pPr>
      <w:r>
        <w:t xml:space="preserve">[S7] Addepto services and implementation work  </w:t>
      </w:r>
      <w:hyperlink r:id="rId15">
        <w:r>
          <w:rPr>
            <w:color w:val="195B8A"/>
            <w:u w:val="single"/>
          </w:rPr>
          <w:t>Open source</w:t>
        </w:r>
      </w:hyperlink>
    </w:p>
    <w:p>
      <w:pPr>
        <w:spacing w:after="120"/>
      </w:pPr>
      <w:r>
        <w:t xml:space="preserve">[S8] Infratex pricing  </w:t>
      </w:r>
      <w:hyperlink r:id="rId16">
        <w:r>
          <w:rPr>
            <w:color w:val="195B8A"/>
            <w:u w:val="single"/>
          </w:rPr>
          <w:t>Open source</w:t>
        </w:r>
      </w:hyperlink>
    </w:p>
    <w:p>
      <w:pPr>
        <w:pStyle w:val="Heading2"/>
      </w:pPr>
      <w:r>
        <w:t>Outreach operations references</w:t>
      </w:r>
    </w:p>
    <w:p>
      <w:pPr>
        <w:spacing w:after="120"/>
      </w:pPr>
      <w:r>
        <w:t xml:space="preserve">[S9] Google sender guidelines  </w:t>
      </w:r>
      <w:hyperlink r:id="rId17">
        <w:r>
          <w:rPr>
            <w:color w:val="195B8A"/>
            <w:u w:val="single"/>
          </w:rPr>
          <w:t>Open source</w:t>
        </w:r>
      </w:hyperlink>
    </w:p>
    <w:p>
      <w:pPr>
        <w:spacing w:after="120"/>
      </w:pPr>
      <w:r>
        <w:t xml:space="preserve">[S10] ICO business marketing guidance  </w:t>
      </w:r>
      <w:hyperlink r:id="rId18">
        <w:r>
          <w:rPr>
            <w:color w:val="195B8A"/>
            <w:u w:val="single"/>
          </w:rPr>
          <w:t>Open source</w:t>
        </w:r>
      </w:hyperlink>
    </w:p>
    <w:p>
      <w:pPr>
        <w:spacing w:after="120"/>
      </w:pPr>
      <w:r>
        <w:t xml:space="preserve">[S11] FTC CAN-SPAM guide  </w:t>
      </w:r>
      <w:hyperlink r:id="rId19">
        <w:r>
          <w:rPr>
            <w:color w:val="195B8A"/>
            <w:u w:val="single"/>
          </w:rPr>
          <w:t>Open source</w:t>
        </w:r>
      </w:hyperlink>
    </w:p>
    <w:p>
      <w:pPr>
        <w:spacing w:after="120"/>
      </w:pPr>
      <w:r>
        <w:t xml:space="preserve">[S12] Belkins reply-rate methodology  </w:t>
      </w:r>
      <w:hyperlink r:id="rId20">
        <w:r>
          <w:rPr>
            <w:color w:val="195B8A"/>
            <w:u w:val="single"/>
          </w:rPr>
          <w:t>Open source</w:t>
        </w:r>
      </w:hyperlink>
    </w:p>
    <w:p>
      <w:pPr>
        <w:pStyle w:val="Heading2"/>
      </w:pPr>
      <w:r>
        <w:t>Terms SDRs should understand</w:t>
      </w:r>
    </w:p>
    <w:p>
      <w:r>
        <w:t>Parsing means reading a document into usable digital content. Extraction means pulling specified values or records from that content. A schema is the agreed list and structure of output fields. JSON is a common format software uses for structured data. OCR reads text from images or scans. A benchmark compares results against agreed criteria. A pilot tests a bounded real workflow before a production commitment. Production means the system is used in the customer's ongoing business workflow.</w:t>
      </w:r>
    </w:p>
    <w:p>
      <w:r>
        <w:t>Loss runs list historical insurance claims and losses. A schedule of values lists insured assets/properties and their values. A rent roll lists rental properties or units, tenants, and rent details. CRE means commercial real estate. RAG is a method of supplying relevant document content to an AI system when it answers a question.</w:t>
      </w:r>
    </w:p>
    <w:sectPr w:rsidR="00FC693F" w:rsidRPr="0006063C" w:rsidSect="00034616">
      <w:footerReference w:type="default" r:id="rId21"/>
      <w:pgSz w:w="12240" w:h="15840"/>
      <w:pgMar w:top="936" w:right="1080" w:bottom="936" w:left="1080"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Growency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auto" w:after="10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24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widowControl/>
      <w:spacing w:before="160" w:after="8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8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nfratex.ai/documentation" TargetMode="External"/><Relationship Id="rId10" Type="http://schemas.openxmlformats.org/officeDocument/2006/relationships/hyperlink" Target="https://www.infratex.ai/" TargetMode="External"/><Relationship Id="rId11" Type="http://schemas.openxmlformats.org/officeDocument/2006/relationships/hyperlink" Target="https://www.documentbenchmark.com/research-report" TargetMode="External"/><Relationship Id="rId12" Type="http://schemas.openxmlformats.org/officeDocument/2006/relationships/hyperlink" Target="https://www.finleycms.com/platform/ai" TargetMode="External"/><Relationship Id="rId13" Type="http://schemas.openxmlformats.org/officeDocument/2006/relationships/hyperlink" Target="https://www.blooma.ai/mortgage-lending-software" TargetMode="External"/><Relationship Id="rId14" Type="http://schemas.openxmlformats.org/officeDocument/2006/relationships/hyperlink" Target="https://send.technology/" TargetMode="External"/><Relationship Id="rId15" Type="http://schemas.openxmlformats.org/officeDocument/2006/relationships/hyperlink" Target="https://addepto.com/" TargetMode="External"/><Relationship Id="rId16" Type="http://schemas.openxmlformats.org/officeDocument/2006/relationships/hyperlink" Target="https://www.infratex.ai/pricing" TargetMode="External"/><Relationship Id="rId17" Type="http://schemas.openxmlformats.org/officeDocument/2006/relationships/hyperlink" Target="https://support.google.com/mail/answer/81126" TargetMode="External"/><Relationship Id="rId18" Type="http://schemas.openxmlformats.org/officeDocument/2006/relationships/hyperlink" Target="https://ico.org.uk/for-organisations/direct-marketing-and-privacy-and-electronic-communications/business-to-business-marketing/" TargetMode="External"/><Relationship Id="rId19" Type="http://schemas.openxmlformats.org/officeDocument/2006/relationships/hyperlink" Target="https://www.ftc.gov/business-guidance/resources/can-spam-act-compliance-guide-business" TargetMode="External"/><Relationship Id="rId20" Type="http://schemas.openxmlformats.org/officeDocument/2006/relationships/hyperlink" Target="https://belkins.io/blog/cold-email-response-rates" TargetMode="External"/><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Infratex sales and campaign brief</dc:title>
  <dc:subject>Financial software insurance software and AI implementation partner campaigns</dc:subject>
  <dc:creator>Growency</dc:creator>
  <cp:keywords/>
  <dc:description>generated by python-docx</dc:description>
  <cp:lastModifiedBy/>
  <cp:revision>1</cp:revision>
  <dcterms:created xsi:type="dcterms:W3CDTF">2013-12-23T23:15:00Z</dcterms:created>
  <dcterms:modified xsi:type="dcterms:W3CDTF">2013-12-23T23:15:00Z</dcterms:modified>
  <cp:category/>
</cp:coreProperties>
</file>