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D6B"/>
          <w:spacing w:val="60"/>
          <w:sz w:val="20"/>
          <w:szCs w:val="20"/>
        </w:rPr>
        <w:t xml:space="preserve">TRIVERIFY</w:t>
      </w:r>
    </w:p>
    <w:p>
      <w:pPr>
        <w:pBdr>
          <w:bottom w:val="single" w:color="1F3D6B" w:sz="12" w:space="8"/>
        </w:pBdr>
        <w:spacing w:after="80"/>
      </w:pPr>
      <w:r>
        <w:rPr>
          <w:rFonts w:ascii="Calibri" w:cs="Calibri" w:eastAsia="Calibri" w:hAnsi="Calibri"/>
          <w:b/>
          <w:bCs/>
          <w:color w:val="16181D"/>
          <w:sz w:val="40"/>
          <w:szCs w:val="40"/>
        </w:rPr>
        <w:t xml:space="preserve">Extraction &amp; Model Guide</w:t>
      </w:r>
    </w:p>
    <w:p>
      <w:pPr>
        <w:spacing w:after="60" w:before="140"/>
      </w:pPr>
      <w:r>
        <w:rPr>
          <w:rFonts w:ascii="Calibri" w:cs="Calibri" w:eastAsia="Calibri" w:hAnsi="Calibri"/>
          <w:color w:val="4C5360"/>
          <w:sz w:val="23"/>
          <w:szCs w:val="23"/>
        </w:rPr>
        <w:t xml:space="preserve">How to plug real OCR, layout analysis and calibrated confidence into TriVerify.</w:t>
      </w:r>
    </w:p>
    <w:p>
      <w:pPr>
        <w:spacing w:after="300"/>
      </w:pPr>
      <w:r>
        <w:rPr>
          <w:rFonts w:ascii="Calibri" w:cs="Calibri" w:eastAsia="Calibri" w:hAnsi="Calibri"/>
          <w:color w:val="7B828F"/>
          <w:sz w:val="20"/>
          <w:szCs w:val="20"/>
        </w:rPr>
        <w:t xml:space="preserve">For: </w:t>
      </w:r>
      <w:r>
        <w:rPr>
          <w:rFonts w:ascii="Calibri" w:cs="Calibri" w:eastAsia="Calibri" w:hAnsi="Calibri"/>
          <w:b/>
          <w:bCs/>
          <w:color w:val="4C5360"/>
          <w:sz w:val="20"/>
          <w:szCs w:val="20"/>
        </w:rPr>
        <w:t xml:space="preserve">Model implementer</w:t>
      </w:r>
      <w:r>
        <w:rPr>
          <w:rFonts w:ascii="Calibri" w:cs="Calibri" w:eastAsia="Calibri" w:hAnsi="Calibri"/>
          <w:color w:val="7B828F"/>
          <w:sz w:val="20"/>
          <w:szCs w:val="20"/>
        </w:rPr>
        <w:t xml:space="preserve">   ·   SIH 2026 · PS SIH26034 · Legal Metrology compliance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1. What you are joining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TriVerify checks whether a packaged product complies with the Legal Metrology (Packaged Commodities) Rules, 2011. It reads the declarations printed on the pack, then compares them against two independent sources: the seller’s e-commerce listing and the official registered declaration. The output is a classification with the exact mismatches and the image region behind each one.</w:t>
      </w:r>
    </w:p>
    <w:tbl>
      <w:tblPr>
        <w:tblW w:type="dxa" w:w="9026"/>
        <w:tblBorders>
          <w:top w:val="single" w:color="D7DCE3" w:sz="2"/>
          <w:left w:val="single" w:color="12694A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9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one rule that shapes your whole job: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extracts. Deterministic rules decide. Your model never returns a compliance verdict — it returns text, a bounding box and a confidence. A separate, explicit rule engine turns those into PASS / FAIL / REVIEW. The problem statement asks for rule-based compliance checking, and judges will ask about this.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has a practical consequence: your accuracy does not just affect a score, it affects whether a case is auto-decided or routed to a human. A confident wrong reading is far more damaging than a low-confidence right one.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2. Where you plug in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Everything you own sits behind one interface in </w:t>
      </w:r>
      <w:r>
        <w:rPr>
          <w:rFonts w:ascii="Consolas" w:cs="Consolas" w:eastAsia="Consolas" w:hAnsi="Consolas"/>
          <w:sz w:val="19"/>
          <w:szCs w:val="19"/>
        </w:rPr>
        <w:t xml:space="preserve">backend/app/pipeline/ocr.py</w:t>
      </w:r>
      <w:r>
        <w:rPr>
          <w:rFonts w:ascii="Calibri" w:cs="Calibri" w:eastAsia="Calibri" w:hAnsi="Calibri"/>
          <w:sz w:val="21"/>
          <w:szCs w:val="21"/>
        </w:rPr>
        <w:t xml:space="preserve">. The rest of the system never knows which engine ran.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OcrEngine(Protocol):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name: str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 available(self) -&gt; bool: ...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 run(self, image_bytes: bytes) -&gt; OcrResult: ...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engines exist today: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nsolas" w:cs="Consolas" w:eastAsia="Consolas" w:hAnsi="Consolas"/>
          <w:sz w:val="19"/>
          <w:szCs w:val="19"/>
        </w:rPr>
        <w:t xml:space="preserve">FixtureOcrEngine</w:t>
      </w:r>
      <w:r>
        <w:rPr>
          <w:rFonts w:ascii="Calibri" w:cs="Calibri" w:eastAsia="Calibri" w:hAnsi="Calibri"/>
          <w:sz w:val="21"/>
          <w:szCs w:val="21"/>
        </w:rPr>
        <w:t xml:space="preserve"> — replays committed OCR output for the four demo images. Deterministic, offline, and what the tests and the live demo run 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nsolas" w:cs="Consolas" w:eastAsia="Consolas" w:hAnsi="Consolas"/>
          <w:sz w:val="19"/>
          <w:szCs w:val="19"/>
        </w:rPr>
        <w:t xml:space="preserve">TesseractOcrEngine</w:t>
      </w:r>
      <w:r>
        <w:rPr>
          <w:rFonts w:ascii="Calibri" w:cs="Calibri" w:eastAsia="Calibri" w:hAnsi="Calibri"/>
          <w:sz w:val="21"/>
          <w:szCs w:val="21"/>
        </w:rPr>
        <w:t xml:space="preserve"> — real OCR, used for any image with no fixture, if pytesseract and the binary are installed. This is the baseline you are replacing.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What you return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OcrLine: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text: str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bbox: list[float]      # [x, y, w, h]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confidence: float      # 0.0 - 1.0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OcrResult: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engine: str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lines: list[OcrLine]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unavailable_reason: str | None = None   # set =&gt; case goes to REVIEW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coordinate_space: str = "original"      # "original" or "processed"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Field</w:t>
            </w:r>
          </w:p>
        </w:tc>
        <w:tc>
          <w:tcPr>
            <w:tcW w:type="dxa" w:w="6426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What it must be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line of recognised text. Do not merge lines — the extractor splits multi-field lines such as "MFG: DEC 2025   EXP: DEC 2026" by label position.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bbox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[x, y, w, h]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pixels. This becomes the clickable evidence crop, so it must actually contain the text.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confidence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 to 1.0,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0–100. Tesseract reports percentages; divide by 100.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coordinate_space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"processed"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if you ran on the preprocessed image,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"original"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if on the upload. The extractor rescales for you — but only if you declare it honestly.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unavailable_reason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this instead of raising when you cannot read the image. The case then becomes MANUAL_REVIEW with your message shown to the officer.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D7DCE3" w:sz="2"/>
          <w:left w:val="single" w:color="A51D12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C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raise an uncaught exception from run().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crash takes down a case mid-demo. An unavailable_reason produces an honest "could not read the label" result and the demo continues.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3. Adding your engine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Write the class in backend/app/pipeline/ocr.py (or a new module next to it).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MyOcrEngine: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name = "my-model-v1"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 __init__(self) -&gt; None: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self._model = None          # load lazily: import cost hurts startup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 available(self) -&gt; bool: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import my_framework  # noqa: F401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except ImportError: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return False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True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 run(self, image_bytes: bytes) -&gt; OcrResult: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not self.available():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return OcrResult(engine=self.name,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unavailable_reason="my-model is not installed.")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raw = self._predict(image_bytes)      # your inference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except Exception as exc: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return OcrResult(engine=self.name,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unavailable_reason=f"Extraction failed: {exc}")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lines = [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OcrLine(text=r.text,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bbox=[r.x, r.y, r.w, r.h],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confidence=float(r.score))   # already 0-1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for r in raw if r.text.strip()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not lines: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return OcrResult(engine=self.name,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unavailable_reason="No readable text found.")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OcrResult(engine=self.name, lines=lines,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coordinate_space="processed")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Register it in run_ocr(), ahead of Tesseract and behind the fixture engine.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_my_engine = MyOcrEngine()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def run_ocr(original_bytes, processed_bytes) -&gt; OcrResult: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_fixture_engine.has_fixture(original_bytes):   # keep this first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_my_engine.available():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_my_engine.run(processed_bytes)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_tesseract_engine.available():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Add your dependency to backend/requirements-dev.txt, pinned, and check it has a wheel for Python 3.11 through 3.14 on Windows and Linux.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Run python -m pytest from backend/. All 160 must still pass.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D7DCE3" w:sz="2"/>
          <w:left w:val="single" w:color="A51D12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C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Leave the fixture engine first in the chain.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four golden cases must stay byte-for-byte reproducible on every machine, including yours with a GPU and a teammate’s laptop without one. If your engine ran on them, the tests would start depending on your model weights.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4. Your workstream, in priority order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P0 — An extraction engine that beats Tesseract on Indian packaging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Tesseract is the baseline, and on real packs it is weak: curved surfaces, low-contrast small print, reflective foil, mixed scripts, rotated text. Candidate approaches, roughly in order of effort: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PaddleOCR (PP-OCRv4) — strong on small text and rotation, ships detection + recognition, runs on CPU. The pragmatic first choice.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EasyOCR — simpler API, weaker on dense small print.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 detector + recogniser you fine-tune (DBNet / CRAFT plus CRNN or TrOCR) on packaging crops. Highest ceiling, highest cost — only worth it if you have labelled data.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Whatever you choose, it must degrade gracefully when it is not installed. Check </w:t>
      </w:r>
      <w:r>
        <w:rPr>
          <w:rFonts w:ascii="Consolas" w:cs="Consolas" w:eastAsia="Consolas" w:hAnsi="Consolas"/>
          <w:sz w:val="19"/>
          <w:szCs w:val="19"/>
        </w:rPr>
        <w:t xml:space="preserve">available()</w:t>
      </w:r>
      <w:r>
        <w:rPr>
          <w:rFonts w:ascii="Calibri" w:cs="Calibri" w:eastAsia="Calibri" w:hAnsi="Calibri"/>
          <w:sz w:val="21"/>
          <w:szCs w:val="21"/>
        </w:rPr>
        <w:t xml:space="preserve"> honestly — teammates without your setup must still be able to run the project.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P0 — Confidence calibration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is load-bearing and easy to underestimate. Two thresholds read your confidence directly: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Threshold</w:t>
            </w:r>
          </w:p>
        </w:tc>
        <w:tc>
          <w:tcPr>
            <w:tcW w:type="dxa" w:w="12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Default</w:t>
            </w:r>
          </w:p>
        </w:tc>
        <w:tc>
          <w:tcPr>
            <w:tcW w:type="dxa" w:w="4626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CONFIDENCE_THRESHOLD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0.65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 this, a field is not used at all — it becomes REVIEW.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FAIL_CONFIDENCE_THRESHOLD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0.70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mismatch below this is recorded as REVIEW, not FAIL.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 a model that reports 0.95 on everything is worse than useless: it converts every misread into a confident false accusation. A model whose confidence tracks observed correctness lets the system route honestly. Measure calibration explicitly — bucket predictions by confidence and check the actual accuracy in each bucket. Report the reliability curve; it is a strong slide.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Both thresholds are environment variables (</w:t>
      </w:r>
      <w:r>
        <w:rPr>
          <w:rFonts w:ascii="Consolas" w:cs="Consolas" w:eastAsia="Consolas" w:hAnsi="Consolas"/>
          <w:sz w:val="19"/>
          <w:szCs w:val="19"/>
        </w:rPr>
        <w:t xml:space="preserve">TRIVERIFY_CONFIDENCE_THRESHOLD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TRIVERIFY_FAIL_CONFIDENCE_THRESHOLD</w:t>
      </w:r>
      <w:r>
        <w:rPr>
          <w:rFonts w:ascii="Calibri" w:cs="Calibri" w:eastAsia="Calibri" w:hAnsi="Calibri"/>
          <w:sz w:val="21"/>
          <w:szCs w:val="21"/>
        </w:rPr>
        <w:t xml:space="preserve">), so you can tune without touching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P1 — Field extraction quality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Turning OCR lines into fields happens in </w:t>
      </w:r>
      <w:r>
        <w:rPr>
          <w:rFonts w:ascii="Consolas" w:cs="Consolas" w:eastAsia="Consolas" w:hAnsi="Consolas"/>
          <w:sz w:val="19"/>
          <w:szCs w:val="19"/>
        </w:rPr>
        <w:t xml:space="preserve">backend/app/pipeline/extract.py</w:t>
      </w:r>
      <w:r>
        <w:rPr>
          <w:rFonts w:ascii="Calibri" w:cs="Calibri" w:eastAsia="Calibri" w:hAnsi="Calibri"/>
          <w:sz w:val="21"/>
          <w:szCs w:val="21"/>
        </w:rPr>
        <w:t xml:space="preserve">. It is label-anchored regex, no model. It already handles multiple labels on one line and a few unlabelled shapes (a bare price, a bare quantity, an 8–14 digit code).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Good work here, in rough order of value: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More label variants — regional spellings, abbreviations, "Qty.", "M.R.P", "Cust. Care", bilingual labels.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Multi-line values: an address that wraps across three lines currently only captures the first.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Associating a label on one line with its value on the next — common on tall narrow packs.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you add a normalizer, put it in </w:t>
      </w:r>
      <w:r>
        <w:rPr>
          <w:rFonts w:ascii="Consolas" w:cs="Consolas" w:eastAsia="Consolas" w:hAnsi="Consolas"/>
          <w:sz w:val="19"/>
          <w:szCs w:val="19"/>
        </w:rPr>
        <w:t xml:space="preserve">normalize.py</w:t>
      </w:r>
      <w:r>
        <w:rPr>
          <w:rFonts w:ascii="Calibri" w:cs="Calibri" w:eastAsia="Calibri" w:hAnsi="Calibri"/>
          <w:sz w:val="21"/>
          <w:szCs w:val="21"/>
        </w:rPr>
        <w:t xml:space="preserve"> and return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 when you cannot parse. Never guess: a parser that turns garbled "Rs. 4Z9.OO" into a confident Rs. 4.00 is exactly the failure mode this project exists to avoid.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P1 — Font size, placement and readability checks (not yet built)</w:t>
      </w:r>
    </w:p>
    <w:tbl>
      <w:tblPr>
        <w:tblW w:type="dxa" w:w="9026"/>
        <w:tblBorders>
          <w:top w:val="single" w:color="D7DCE3" w:sz="2"/>
          <w:left w:val="single" w:color="1F3D6B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This is a genuine, visible gap.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problem statement explicitly asks for placement, readability and font-size checks. TriVerify does not implement them today — the rule set covers presence of declarations and cross-source agreement only. This is the highest-value unclaimed piece of the project, and it is squarely computer vision.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Rules prescribe minimum height for the letters and numerals of mandatory declarations, tied to the area of the principal display panel. A workable approach: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Estimate the principal display panel: the largest coherent text-bearing region, or ask the officer to confirm it on upload.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Measure glyph height per declaration — you already have the bounding boxes.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Convert pixels to millimetres. This is the hard part and needs a scale reference: a known pack dimension entered at intake, a detected barcode of standard width, or a reference object. Without one, report the check as unsupported rather than guessing.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Emit a new rule result (FONT-001, PLACE-001) through the existing rule mechanism so it appears in the findings panel and the report with evidence attached.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Talk to whoever owns </w:t>
      </w:r>
      <w:r>
        <w:rPr>
          <w:rFonts w:ascii="Consolas" w:cs="Consolas" w:eastAsia="Consolas" w:hAnsi="Consolas"/>
          <w:sz w:val="19"/>
          <w:szCs w:val="19"/>
        </w:rPr>
        <w:t xml:space="preserve">engine/rules.py</w:t>
      </w:r>
      <w:r>
        <w:rPr>
          <w:rFonts w:ascii="Calibri" w:cs="Calibri" w:eastAsia="Calibri" w:hAnsi="Calibri"/>
          <w:sz w:val="21"/>
          <w:szCs w:val="21"/>
        </w:rPr>
        <w:t xml:space="preserve"> before adding rule IDs, so severities and explanations stay consistent. And validate the thresholds against the authoritative current Rules text — do not hard-code a number you found in a blog post.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P2 — Preprocessing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backend/app/pipeline/preprocess.py</w:t>
      </w:r>
      <w:r>
        <w:rPr>
          <w:rFonts w:ascii="Calibri" w:cs="Calibri" w:eastAsia="Calibri" w:hAnsi="Calibri"/>
          <w:sz w:val="21"/>
          <w:szCs w:val="21"/>
        </w:rPr>
        <w:t xml:space="preserve"> does EXIF rotation, a resize to 1600px, median denoise, autocontrast and a mild unsharp mask, plus a 0–1 quality score. It is deliberately conservative because aggressive filtering erases small print — which is precisely the print the compliance checks care about. Perspective correction for angled photographs is the obvious missing piece.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5. Measuring your work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Build a small labelled set before you tune anything, or you are optimising blind. Thirty to fifty real packaged-product photographs with hand-written ground truth for each declaration is enough to be meaningful for a hackathon.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How to measure</w:t>
            </w:r>
          </w:p>
        </w:tc>
        <w:tc>
          <w:tcPr>
            <w:tcW w:type="dxa" w:w="3226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 accuracy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 match after normalization, per field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headline number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Character error rate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distance on the raw line text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Separates reading from parsing failures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Accuracy within each confidence bucket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Justifies the REVIEW threshold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Manual-review rate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Fraction of fields below threshold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where automation stops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Latency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to result, end to end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 usability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Report per-field accuracy, not one average. MRP and net quantity are the material fields that drive classifications; getting consumer-care right matters much less.</w:t>
      </w:r>
    </w:p>
    <w:tbl>
      <w:tblPr>
        <w:tblW w:type="dxa" w:w="9026"/>
        <w:tblBorders>
          <w:top w:val="single" w:color="D7DCE3" w:sz="2"/>
          <w:left w:val="single" w:color="12694A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9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Present the limitations, do not hide them.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build manual scripts an honesty statement for judges: OCR and source availability are not perfect, so low-confidence evidence is routed to review rather than treated as compliant. A team that measured its own failure modes is more convincing than one claiming 99%.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6. Traps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Confidence scale. </w:t>
      </w:r>
      <w:r>
        <w:rPr>
          <w:rFonts w:ascii="Calibri" w:cs="Calibri" w:eastAsia="Calibri" w:hAnsi="Calibri"/>
          <w:sz w:val="21"/>
          <w:szCs w:val="21"/>
        </w:rPr>
        <w:t xml:space="preserve">Tesseract returns 0–100. The contract is 0–1. This mistake silently makes every field "high confidence".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Coordinate space. </w:t>
      </w:r>
      <w:r>
        <w:rPr>
          <w:rFonts w:ascii="Calibri" w:cs="Calibri" w:eastAsia="Calibri" w:hAnsi="Calibri"/>
          <w:sz w:val="21"/>
          <w:szCs w:val="21"/>
        </w:rPr>
        <w:t xml:space="preserve">If you run on the preprocessed image you must say so, or every evidence crop will be offset and the click-to-evidence demo falls apart.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EXIF rotation. </w:t>
      </w:r>
      <w:r>
        <w:rPr>
          <w:rFonts w:ascii="Calibri" w:cs="Calibri" w:eastAsia="Calibri" w:hAnsi="Calibri"/>
          <w:sz w:val="21"/>
          <w:szCs w:val="21"/>
        </w:rPr>
        <w:t xml:space="preserve">Handled in preprocessing. If you decode the original bytes yourself, apply it or your boxes will be rotated relative to everyone else’s.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normalize in the engine. </w:t>
      </w:r>
      <w:r>
        <w:rPr>
          <w:rFonts w:ascii="Calibri" w:cs="Calibri" w:eastAsia="Calibri" w:hAnsi="Calibri"/>
          <w:sz w:val="21"/>
          <w:szCs w:val="21"/>
        </w:rPr>
        <w:t xml:space="preserve">Return the raw text you read. Currency parsing, unit conversion and date handling all happen downstream, consistently for all three sources.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decide compliance. </w:t>
      </w:r>
      <w:r>
        <w:rPr>
          <w:rFonts w:ascii="Calibri" w:cs="Calibri" w:eastAsia="Calibri" w:hAnsi="Calibri"/>
          <w:sz w:val="21"/>
          <w:szCs w:val="21"/>
        </w:rPr>
        <w:t xml:space="preserve">No matter how tempting, the model does not emit PASS, FAIL or a classification.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Keep it offline-capable. </w:t>
      </w:r>
      <w:r>
        <w:rPr>
          <w:rFonts w:ascii="Consolas" w:cs="Consolas" w:eastAsia="Consolas" w:hAnsi="Consolas"/>
          <w:sz w:val="19"/>
          <w:szCs w:val="19"/>
        </w:rPr>
        <w:t xml:space="preserve">backend/tests/test_offline.py</w:t>
      </w:r>
      <w:r>
        <w:rPr>
          <w:rFonts w:ascii="Calibri" w:cs="Calibri" w:eastAsia="Calibri" w:hAnsi="Calibri"/>
          <w:sz w:val="21"/>
          <w:szCs w:val="21"/>
        </w:rPr>
        <w:t xml:space="preserve"> breaks outbound sockets and runs the whole demo. A model that downloads weights on first use will fail that test — and the venue wifi.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D6B"/>
          <w:sz w:val="30"/>
          <w:szCs w:val="30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Your engine implements the protocol and is registered behind the fixture engine.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python -m pytest passes from backend/, all 160 tests, on a clean clone.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The demo still runs with the network disabled and with your dependency absent.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Confidence is calibrated and you can show the reliability curve.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Per-field accuracy is measured on a labelled set and written down.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Weights or models load from disk, not from the internet at runtime.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Running the project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repository has two halves. Every command below names the directory it runs from.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 from the repository root (the folder holding backend\ and frontend\)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          # Windows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               # macOS / Linux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pip install -r backend/requirements-dev.txt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 then from backend/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app.seed                      # load the four golden cases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pytest                        # 160 tests, ~3 seconds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uvicorn app.main:app --reload --port 8000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Open http://127.0.0.1:8000 — FastAPI serves the prebuilt React dashboard on the same port, so you do not need Node unless you are changing the UI.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6546B"/>
          <w:sz w:val="22"/>
          <w:szCs w:val="22"/>
        </w:rPr>
        <w:t xml:space="preserve">Useful while iterating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 from backend/ — force fixtures off so YOUR engine runs on the demo images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set TRIVERIFY_FORCE_FIXTURE_OCR=0        # Windows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-m uvicorn app.main:app --reload --port 8000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 which engine is active?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curl http://127.0.0.1:8000/health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 regenerate demo images + fixtures after changing the renderer</w:t>
      </w:r>
    </w:p>
    <w:p>
      <w:pPr>
        <w:shd w:fill="F2F4F7" w:val="clear"/>
        <w:spacing w:after="1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scripts/make_demo_data.py</w:t>
      </w:r>
    </w:p>
    <w:tbl>
      <w:tblPr>
        <w:tblW w:type="dxa" w:w="9026"/>
        <w:tblBorders>
          <w:top w:val="single" w:color="D7DCE3" w:sz="2"/>
          <w:left w:val="single" w:color="1F3D6B" w:sz="12"/>
          <w:bottom w:val="single" w:color="D7DCE3" w:sz="2"/>
          <w:right w:val="single" w:color="D7DC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 the tests before you start.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they are not green on your machine before you change anything, fix that first. You need a trustworthy baseline, or you will not know whether a failure is yours.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Contracts you must not change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Four things are frozen. Everything else in the repository is fair game, but changing these breaks other people’s work in ways that are hard to see until demo day.</w:t>
      </w:r>
    </w:p>
    <w:tbl>
      <w:tblPr>
        <w:tblW w:type="dxa" w:w="9026"/>
        <w:tblBorders>
          <w:top w:val="single" w:color="C9D0DA" w:sz="2"/>
          <w:left w:val="single" w:color="C9D0DA" w:sz="2"/>
          <w:bottom w:val="single" w:color="C9D0DA" w:sz="2"/>
          <w:right w:val="single" w:color="C9D0DA" w:sz="2"/>
          <w:insideH w:val="single" w:color="DDE2E9" w:sz="2"/>
          <w:insideV w:val="single" w:color="DDE2E9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File</w:t>
            </w:r>
          </w:p>
        </w:tc>
        <w:tc>
          <w:tcPr>
            <w:tcW w:type="dxa" w:w="5226"/>
            <w:shd w:fill="E8EC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What it fixes</w:t>
            </w:r>
          </w:p>
        </w:tc>
      </w:tr>
      <w:tr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backend/app/engine/vocabulary.py</w:t>
            </w:r>
          </w:p>
        </w:tc>
        <w:tc>
          <w:tcPr>
            <w:tcW w:type="dxa" w:w="5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Canonical field names, rule states, classifications</w:t>
            </w:r>
          </w:p>
        </w:tc>
      </w:tr>
      <w:tr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backend/app/schemas/case.py</w:t>
            </w:r>
          </w:p>
        </w:tc>
        <w:tc>
          <w:tcPr>
            <w:tcW w:type="dxa" w:w="5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JSON shape the React dashboard is written against</w:t>
            </w:r>
          </w:p>
        </w:tc>
      </w:tr>
      <w:tr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backend/app/models/</w:t>
            </w:r>
          </w:p>
        </w:tc>
        <w:tc>
          <w:tcPr>
            <w:tcW w:type="dxa" w:w="5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entities and their columns</w:t>
            </w:r>
          </w:p>
        </w:tc>
      </w:tr>
      <w:tr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backend/data/fixtures/golden_cases/</w:t>
            </w:r>
          </w:p>
        </w:tc>
        <w:tc>
          <w:tcPr>
            <w:tcW w:type="dxa" w:w="5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four demo cases, which are also the regression tests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Adding a field to a schema is safe. Renaming or removing one is not. If you genuinely need a change here, raise it with the team lead first — that is the contract rule from the build manual.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2026-09-13T15:32:03.653Z</dcterms:created>
  <dcterms:modified xsi:type="dcterms:W3CDTF">2026-09-13T15:32:03.653Z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