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D6B"/>
          <w:spacing w:val="60"/>
          <w:sz w:val="20"/>
          <w:szCs w:val="20"/>
        </w:rPr>
        <w:t xml:space="preserve">TRIVERIFY</w:t>
      </w:r>
    </w:p>
    <w:p>
      <w:pPr>
        <w:pBdr>
          <w:bottom w:val="single" w:color="1F3D6B" w:sz="12" w:space="8"/>
        </w:pBdr>
        <w:spacing w:after="80"/>
      </w:pPr>
      <w:r>
        <w:rPr>
          <w:rFonts w:ascii="Calibri" w:cs="Calibri" w:eastAsia="Calibri" w:hAnsi="Calibri"/>
          <w:b/>
          <w:bCs/>
          <w:color w:val="16181D"/>
          <w:sz w:val="40"/>
          <w:szCs w:val="40"/>
        </w:rPr>
        <w:t xml:space="preserve">Project Status Summary</w:t>
      </w:r>
    </w:p>
    <w:p>
      <w:pPr>
        <w:spacing w:after="60" w:before="140"/>
      </w:pPr>
      <w:r>
        <w:rPr>
          <w:rFonts w:ascii="Calibri" w:cs="Calibri" w:eastAsia="Calibri" w:hAnsi="Calibri"/>
          <w:color w:val="4C5360"/>
          <w:sz w:val="23"/>
          <w:szCs w:val="23"/>
        </w:rPr>
        <w:t xml:space="preserve">What has been built, what is verified, and what is still open.</w:t>
      </w:r>
    </w:p>
    <w:p>
      <w:pPr>
        <w:spacing w:after="280"/>
      </w:pPr>
      <w:r>
        <w:rPr>
          <w:rFonts w:ascii="Calibri" w:cs="Calibri" w:eastAsia="Calibri" w:hAnsi="Calibri"/>
          <w:color w:val="7B828F"/>
          <w:sz w:val="20"/>
          <w:szCs w:val="20"/>
        </w:rPr>
        <w:t xml:space="preserve">SIH 2026  ·  PS SIH26034 — Legal Metrology (Packaged Commodities) compliance  ·  Team ITCY</w:t>
      </w:r>
    </w:p>
    <w:tbl>
      <w:tblPr>
        <w:tblW w:type="dxa" w:w="9026"/>
        <w:tblBorders>
          <w:top w:val="single" w:color="D7DCE3" w:sz="2"/>
          <w:left w:val="single" w:color="12694A" w:sz="12"/>
          <w:bottom w:val="single" w:color="D7DCE3" w:sz="2"/>
          <w:right w:val="single" w:color="D7DCE3" w:sz="2"/>
          <w:insideH w:val="none"/>
          <w:insideV w:val="none"/>
        </w:tblBorders>
      </w:tblPr>
      <w:tblGrid>
        <w:gridCol w:w="9026"/>
      </w:tblGrid>
      <w:tr>
        <w:tc>
          <w:tcPr>
            <w:tcW w:type="dxa" w:w="9026"/>
            <w:shd w:fill="E9F3EE"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Status:  </w:t>
            </w:r>
            <w:r>
              <w:rPr>
                <w:rFonts w:ascii="Calibri" w:cs="Calibri" w:eastAsia="Calibri" w:hAnsi="Calibri"/>
                <w:sz w:val="21"/>
                <w:szCs w:val="21"/>
              </w:rPr>
              <w:t xml:space="preserve">The complete evidence chain works end to end. Upload a pack photo, extract the declarations, pull the seller listing and the official record, run deterministic rules, get a classification with clickable image evidence and an exportable report — with the network disconnected. 160 automated tests pass on Python 3.11 through 3.14.</w:t>
            </w:r>
          </w:p>
        </w:tc>
      </w:tr>
    </w:tbl>
    <w:p>
      <w:pPr>
        <w:pStyle w:val="Heading1"/>
        <w:spacing w:after="150" w:before="340"/>
      </w:pPr>
      <w:r>
        <w:rPr>
          <w:rFonts w:ascii="Calibri" w:cs="Calibri" w:eastAsia="Calibri" w:hAnsi="Calibri"/>
          <w:b/>
          <w:bCs/>
          <w:color w:val="1F3D6B"/>
          <w:sz w:val="29"/>
          <w:szCs w:val="29"/>
        </w:rPr>
        <w:t xml:space="preserve">1. What TriVerify does</w:t>
      </w:r>
    </w:p>
    <w:p>
      <w:pPr>
        <w:spacing w:after="120" w:line="276"/>
      </w:pPr>
      <w:r>
        <w:rPr>
          <w:rFonts w:ascii="Calibri" w:cs="Calibri" w:eastAsia="Calibri" w:hAnsi="Calibri"/>
          <w:sz w:val="21"/>
          <w:szCs w:val="21"/>
        </w:rPr>
        <w:t xml:space="preserve">A packaged product carries legally mandated declarations — retail price, net quantity, who made or imported it, consumer care details, dates. TriVerify reads those from a photograph, then compares them against two independent surfaces: the seller’s e-commerce listing and the registered official declaration.</w:t>
      </w:r>
    </w:p>
    <w:p>
      <w:pPr>
        <w:spacing w:after="120" w:line="276"/>
      </w:pPr>
      <w:r>
        <w:rPr>
          <w:rFonts w:ascii="Calibri" w:cs="Calibri" w:eastAsia="Calibri" w:hAnsi="Calibri"/>
          <w:sz w:val="21"/>
          <w:szCs w:val="21"/>
        </w:rPr>
        <w:t xml:space="preserve">Comparing a pack against a single source proves very little, because a seller can misstate one surface while another stays correct. Comparing all three isolates where the discrepancy actually sits. That triangulation is the core idea.</w:t>
      </w:r>
    </w:p>
    <w:p>
      <w:pPr>
        <w:spacing w:after="120" w:line="276"/>
      </w:pPr>
      <w:r>
        <w:rPr>
          <w:rFonts w:ascii="Calibri" w:cs="Calibri" w:eastAsia="Calibri" w:hAnsi="Calibri"/>
          <w:sz w:val="21"/>
          <w:szCs w:val="21"/>
        </w:rPr>
        <w:t xml:space="preserve"/>
      </w:r>
      <w:r>
        <w:rPr>
          <w:rFonts w:ascii="Calibri" w:cs="Calibri" w:eastAsia="Calibri" w:hAnsi="Calibri"/>
          <w:i/>
          <w:iCs/>
          <w:sz w:val="21"/>
          <w:szCs w:val="21"/>
        </w:rPr>
        <w:t xml:space="preserve">"Show me what is printed on the pack, what the seller claims online, what the official record says, and exactly why those three do or do not agree."</w:t>
      </w:r>
    </w:p>
    <w:tbl>
      <w:tblPr>
        <w:tblW w:type="dxa" w:w="9026"/>
        <w:tblBorders>
          <w:top w:val="single" w:color="D7DCE3" w:sz="2"/>
          <w:left w:val="single" w:color="1F3D6B" w:sz="12"/>
          <w:bottom w:val="single" w:color="D7DCE3" w:sz="2"/>
          <w:right w:val="single" w:color="D7DCE3" w:sz="2"/>
          <w:insideH w:val="none"/>
          <w:insideV w:val="none"/>
        </w:tblBorders>
      </w:tblPr>
      <w:tblGrid>
        <w:gridCol w:w="9026"/>
      </w:tblGrid>
      <w:tr>
        <w:tc>
          <w:tcPr>
            <w:tcW w:type="dxa" w:w="9026"/>
            <w:shd w:fill="EEF3FA"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The design rule everything follows:  </w:t>
            </w:r>
            <w:r>
              <w:rPr>
                <w:rFonts w:ascii="Calibri" w:cs="Calibri" w:eastAsia="Calibri" w:hAnsi="Calibri"/>
                <w:sz w:val="21"/>
                <w:szCs w:val="21"/>
              </w:rPr>
              <w:t xml:space="preserve">AI extracts. Deterministic rules decide. OCR produces text, a bounding box and a confidence; an explicit rule set a judge can read line by line turns those into PASS / FAIL / REVIEW. The problem statement asks for rule-based compliance checking, and this is how that is honoured.</w:t>
            </w:r>
          </w:p>
        </w:tc>
      </w:tr>
    </w:tbl>
    <w:p>
      <w:pPr>
        <w:pStyle w:val="Heading1"/>
        <w:spacing w:after="150" w:before="340"/>
      </w:pPr>
      <w:r>
        <w:rPr>
          <w:rFonts w:ascii="Calibri" w:cs="Calibri" w:eastAsia="Calibri" w:hAnsi="Calibri"/>
          <w:b/>
          <w:bCs/>
          <w:color w:val="1F3D6B"/>
          <w:sz w:val="29"/>
          <w:szCs w:val="29"/>
        </w:rPr>
        <w:t xml:space="preserve">2. By the numbers</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2300"/>
        <w:gridCol w:w="3100"/>
        <w:gridCol w:w="3626"/>
      </w:tblGrid>
      <w:tr>
        <w:trPr>
          <w:tblHeader/>
        </w:trPr>
        <w:tc>
          <w:tcPr>
            <w:tcW w:type="dxa" w:w="23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
            </w:r>
          </w:p>
        </w:tc>
        <w:tc>
          <w:tcPr>
            <w:tcW w:type="dxa" w:w="31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Count</w:t>
            </w:r>
          </w:p>
        </w:tc>
        <w:tc>
          <w:tcPr>
            <w:tcW w:type="dxa" w:w="3626"/>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Backend</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48 Python files, 7,480 lines</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FastAPI, SQLAlchemy, Pillow, reportlab</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Frontend</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13 JSX/JS files, 1,251 lines</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React 18 + Vite, no UI framework</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Automated tests</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160</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Unit, rules, API, golden cases, offline, deployment</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Compliance rules</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24</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6 presence, 17 cross-source, 1 consistency</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Canonical fields</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13</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5 of them can drive a classification</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API endpoints</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11</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Plus static hosting of the dashboard</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Golden demo cases</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4</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One per classification outcome</w:t>
            </w:r>
          </w:p>
        </w:tc>
      </w:tr>
      <w:tr>
        <w:tc>
          <w:tcPr>
            <w:tcW w:type="dxa" w:w="2300"/>
            <w:tcMar>
              <w:top w:type="dxa" w:w="85"/>
              <w:left w:type="dxa" w:w="125"/>
              <w:bottom w:type="dxa" w:w="85"/>
              <w:right w:type="dxa" w:w="125"/>
            </w:tcMar>
          </w:tcPr>
          <w:p>
            <w:pPr>
              <w:spacing w:after="0" w:line="252"/>
            </w:pPr>
            <w:r>
              <w:rPr>
                <w:rFonts w:ascii="Calibri" w:cs="Calibri" w:eastAsia="Calibri" w:hAnsi="Calibri"/>
                <w:sz w:val="19"/>
                <w:szCs w:val="19"/>
              </w:rPr>
              <w:t xml:space="preserve">Runtime dependencies</w:t>
            </w:r>
          </w:p>
        </w:tc>
        <w:tc>
          <w:tcPr>
            <w:tcW w:type="dxa" w:w="3100"/>
            <w:tcMar>
              <w:top w:type="dxa" w:w="85"/>
              <w:left w:type="dxa" w:w="125"/>
              <w:bottom w:type="dxa" w:w="85"/>
              <w:right w:type="dxa" w:w="125"/>
            </w:tcMar>
          </w:tcPr>
          <w:p>
            <w:pPr>
              <w:spacing w:after="0" w:line="252"/>
            </w:pPr>
            <w:r>
              <w:rPr>
                <w:rFonts w:ascii="Calibri" w:cs="Calibri" w:eastAsia="Calibri" w:hAnsi="Calibri"/>
                <w:b/>
                <w:bCs/>
                <w:sz w:val="19"/>
                <w:szCs w:val="19"/>
              </w:rPr>
              <w:t xml:space="preserve">9</w:t>
            </w:r>
          </w:p>
        </w:tc>
        <w:tc>
          <w:tcPr>
            <w:tcW w:type="dxa" w:w="3626"/>
            <w:tcMar>
              <w:top w:type="dxa" w:w="85"/>
              <w:left w:type="dxa" w:w="125"/>
              <w:bottom w:type="dxa" w:w="85"/>
              <w:right w:type="dxa" w:w="125"/>
            </w:tcMar>
          </w:tcPr>
          <w:p>
            <w:pPr>
              <w:spacing w:after="0" w:line="252"/>
            </w:pPr>
            <w:r>
              <w:rPr>
                <w:rFonts w:ascii="Calibri" w:cs="Calibri" w:eastAsia="Calibri" w:hAnsi="Calibri"/>
                <w:sz w:val="19"/>
                <w:szCs w:val="19"/>
              </w:rPr>
              <w:t xml:space="preserve">All pinned, all with prebuilt wheels</w:t>
            </w:r>
          </w:p>
        </w:tc>
      </w:tr>
    </w:tbl>
    <w:p>
      <w:pPr>
        <w:pStyle w:val="Heading1"/>
        <w:spacing w:after="150" w:before="340"/>
      </w:pPr>
      <w:r>
        <w:rPr>
          <w:rFonts w:ascii="Calibri" w:cs="Calibri" w:eastAsia="Calibri" w:hAnsi="Calibri"/>
          <w:b/>
          <w:bCs/>
          <w:color w:val="1F3D6B"/>
          <w:sz w:val="29"/>
          <w:szCs w:val="29"/>
        </w:rPr>
        <w:t xml:space="preserve">3. What is built</w:t>
      </w:r>
    </w:p>
    <w:p>
      <w:pPr>
        <w:pStyle w:val="Heading2"/>
        <w:spacing w:after="110" w:before="240"/>
      </w:pPr>
      <w:r>
        <w:rPr>
          <w:rFonts w:ascii="Calibri" w:cs="Calibri" w:eastAsia="Calibri" w:hAnsi="Calibri"/>
          <w:b/>
          <w:bCs/>
          <w:color w:val="2C3E50"/>
          <w:sz w:val="24"/>
          <w:szCs w:val="24"/>
        </w:rPr>
        <w:t xml:space="preserve">Extraction pipeline</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Image preprocessing</w:t>
      </w:r>
      <w:r>
        <w:rPr>
          <w:rFonts w:ascii="Calibri" w:cs="Calibri" w:eastAsia="Calibri" w:hAnsi="Calibri"/>
          <w:sz w:val="21"/>
          <w:szCs w:val="21"/>
        </w:rPr>
        <w:t xml:space="preserve"> — EXIF rotation, resize, denoise, autocontrast, unsharp mask, and a 0–1 quality score. Deliberately conservative: aggressive filtering erases the small print the compliance checks care about. The original is never destroyed.</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Pluggable OCR</w:t>
      </w:r>
      <w:r>
        <w:rPr>
          <w:rFonts w:ascii="Calibri" w:cs="Calibri" w:eastAsia="Calibri" w:hAnsi="Calibri"/>
          <w:sz w:val="21"/>
          <w:szCs w:val="21"/>
        </w:rPr>
        <w:t xml:space="preserve"> — one interface, two engines. A fixture engine replays committed output for the demo images (deterministic, offline); Tesseract handles anything else when installed. Neither available means the case is routed to review, not crashed.</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Label-anchored field extraction</w:t>
      </w:r>
      <w:r>
        <w:rPr>
          <w:rFonts w:ascii="Calibri" w:cs="Calibri" w:eastAsia="Calibri" w:hAnsi="Calibri"/>
          <w:sz w:val="21"/>
          <w:szCs w:val="21"/>
        </w:rPr>
        <w:t xml:space="preserve"> — turns OCR lines into field/value/bbox/confidence tuples. Handles several declarations on one line, such as "MFG: DEC 2025   EXP: DEC 2026", by splitting on label position rather than letting the first label swallow the line.</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Normalization</w:t>
      </w:r>
      <w:r>
        <w:rPr>
          <w:rFonts w:ascii="Calibri" w:cs="Calibri" w:eastAsia="Calibri" w:hAnsi="Calibri"/>
          <w:sz w:val="21"/>
          <w:szCs w:val="21"/>
        </w:rPr>
        <w:t xml:space="preserve"> — money, quantity, dates, entity names and identifiers. "1 kg" equals "1000 g"; "₹99", "Rs. 99.00/-" and "MRP 99" are the same value; "DEC 2025" and "01/12/2025" agree at month precision. A value that cannot be parsed returns nothing rather than a guess.</w:t>
      </w:r>
    </w:p>
    <w:p>
      <w:pPr>
        <w:pStyle w:val="Heading2"/>
        <w:spacing w:after="110" w:before="240"/>
      </w:pPr>
      <w:r>
        <w:rPr>
          <w:rFonts w:ascii="Calibri" w:cs="Calibri" w:eastAsia="Calibri" w:hAnsi="Calibri"/>
          <w:b/>
          <w:bCs/>
          <w:color w:val="2C3E50"/>
          <w:sz w:val="24"/>
          <w:szCs w:val="24"/>
        </w:rPr>
        <w:t xml:space="preserve">Verification engine</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Three-state comparison</w:t>
      </w:r>
      <w:r>
        <w:rPr>
          <w:rFonts w:ascii="Calibri" w:cs="Calibri" w:eastAsia="Calibri" w:hAnsi="Calibri"/>
          <w:sz w:val="21"/>
          <w:szCs w:val="21"/>
        </w:rPr>
        <w:t xml:space="preserve"> — every value comparison returns EQUAL, DIFFERENT or INCOMPARABLE, never a bare boolean. 500 g against 500 ml is INCOMPARABLE, which becomes review, not a false match and not a false accusation.</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24 deterministic rules</w:t>
      </w:r>
      <w:r>
        <w:rPr>
          <w:rFonts w:ascii="Calibri" w:cs="Calibri" w:eastAsia="Calibri" w:hAnsi="Calibri"/>
          <w:sz w:val="21"/>
          <w:szCs w:val="21"/>
        </w:rPr>
        <w:t xml:space="preserve"> — mandatory-declaration presence, pairwise cross-source agreement across all three layers, and internal label consistency. Rules are data, not code, so the set is versioned and introspectable at </w:t>
      </w:r>
      <w:r>
        <w:rPr>
          <w:rFonts w:ascii="Consolas" w:cs="Consolas" w:eastAsia="Consolas" w:hAnsi="Consolas"/>
          <w:sz w:val="19"/>
          <w:szCs w:val="19"/>
        </w:rPr>
        <w:t xml:space="preserve">GET /rules</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Triangulation</w:t>
      </w:r>
      <w:r>
        <w:rPr>
          <w:rFonts w:ascii="Calibri" w:cs="Calibri" w:eastAsia="Calibri" w:hAnsi="Calibri"/>
          <w:sz w:val="21"/>
          <w:szCs w:val="21"/>
        </w:rPr>
        <w:t xml:space="preserve"> — for each material field the engine works out which surface is the outlier, and maps that pattern to a classification. The decision order is fixed and documented.</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Four classifications</w:t>
      </w:r>
      <w:r>
        <w:rPr>
          <w:rFonts w:ascii="Calibri" w:cs="Calibri" w:eastAsia="Calibri" w:hAnsi="Calibri"/>
          <w:sz w:val="21"/>
          <w:szCs w:val="21"/>
        </w:rPr>
        <w:t xml:space="preserve"> — COMPLIANT, SELLER_FRAUD, COUNTERFEIT_OR_ILLEGAL_IMPORT, MANUAL_REVIEW, each with a one-sentence explanation naming the fields that drove it.</w:t>
      </w:r>
    </w:p>
    <w:p>
      <w:pPr>
        <w:pStyle w:val="Heading2"/>
        <w:spacing w:after="110" w:before="240"/>
      </w:pPr>
      <w:r>
        <w:rPr>
          <w:rFonts w:ascii="Calibri" w:cs="Calibri" w:eastAsia="Calibri" w:hAnsi="Calibri"/>
          <w:b/>
          <w:bCs/>
          <w:color w:val="2C3E50"/>
          <w:sz w:val="24"/>
          <w:szCs w:val="24"/>
        </w:rPr>
        <w:t xml:space="preserve">Evidence and reporting</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Click-to-evidence</w:t>
      </w:r>
      <w:r>
        <w:rPr>
          <w:rFonts w:ascii="Calibri" w:cs="Calibri" w:eastAsia="Calibri" w:hAnsi="Calibri"/>
          <w:sz w:val="21"/>
          <w:szCs w:val="21"/>
        </w:rPr>
        <w:t xml:space="preserve"> — every finding points at evidence IDs; opening one shows the exact crop of the uploaded photograph, the raw and normalized values, the extraction confidence, the capture timestamp and the untouched source payload.</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Reports</w:t>
      </w:r>
      <w:r>
        <w:rPr>
          <w:rFonts w:ascii="Calibri" w:cs="Calibri" w:eastAsia="Calibri" w:hAnsi="Calibri"/>
          <w:sz w:val="21"/>
          <w:szCs w:val="21"/>
        </w:rPr>
        <w:t xml:space="preserve"> — HTML and PDF, both rendered from the same structured result the UI shows, so the two can never disagree. The report is a rendering of the case, never a second decision engine.</w:t>
      </w:r>
    </w:p>
    <w:p>
      <w:pPr>
        <w:pStyle w:val="Heading2"/>
        <w:spacing w:after="110" w:before="240"/>
      </w:pPr>
      <w:r>
        <w:rPr>
          <w:rFonts w:ascii="Calibri" w:cs="Calibri" w:eastAsia="Calibri" w:hAnsi="Calibri"/>
          <w:b/>
          <w:bCs/>
          <w:color w:val="2C3E50"/>
          <w:sz w:val="24"/>
          <w:szCs w:val="24"/>
        </w:rPr>
        <w:t xml:space="preserve">Officer dashboard (React)</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Case intake</w:t>
      </w:r>
      <w:r>
        <w:rPr>
          <w:rFonts w:ascii="Calibri" w:cs="Calibri" w:eastAsia="Calibri" w:hAnsi="Calibri"/>
          <w:sz w:val="21"/>
          <w:szCs w:val="21"/>
        </w:rPr>
        <w:t xml:space="preserve"> — upload plus identifier, with the seeded demo cases one click away as a fallback.</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Verification view</w:t>
      </w:r>
      <w:r>
        <w:rPr>
          <w:rFonts w:ascii="Calibri" w:cs="Calibri" w:eastAsia="Calibri" w:hAnsi="Calibri"/>
          <w:sz w:val="21"/>
          <w:szCs w:val="21"/>
        </w:rPr>
        <w:t xml:space="preserve"> — big classification, one-sentence reason, confidence, source availability strip.</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Three-pane workspace</w:t>
      </w:r>
      <w:r>
        <w:rPr>
          <w:rFonts w:ascii="Calibri" w:cs="Calibri" w:eastAsia="Calibri" w:hAnsi="Calibri"/>
          <w:sz w:val="21"/>
          <w:szCs w:val="21"/>
        </w:rPr>
        <w:t xml:space="preserve"> — the label with clickable OCR regions, the three-layer comparison table, and rule findings; clicking a field in one pane highlights it in the others.</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History and search</w:t>
      </w:r>
      <w:r>
        <w:rPr>
          <w:rFonts w:ascii="Calibri" w:cs="Calibri" w:eastAsia="Calibri" w:hAnsi="Calibri"/>
          <w:sz w:val="21"/>
          <w:szCs w:val="21"/>
        </w:rPr>
        <w:t xml:space="preserve"> — by case ID, product, brand, identifier or classification.</w:t>
      </w:r>
    </w:p>
    <w:p>
      <w:pPr>
        <w:pStyle w:val="ListParagraph"/>
        <w:numPr>
          <w:ilvl w:val="0"/>
          <w:numId w:val="2"/>
        </w:numPr>
        <w:spacing w:after="70" w:line="264"/>
      </w:pPr>
      <w:r>
        <w:rPr>
          <w:rFonts w:ascii="Calibri" w:cs="Calibri" w:eastAsia="Calibri" w:hAnsi="Calibri"/>
          <w:b/>
          <w:bCs/>
          <w:color w:val="12694A"/>
          <w:sz w:val="21"/>
          <w:szCs w:val="21"/>
        </w:rPr>
        <w:t xml:space="preserve">✓ </w:t>
      </w:r>
      <w:r>
        <w:rPr>
          <w:rFonts w:ascii="Calibri" w:cs="Calibri" w:eastAsia="Calibri" w:hAnsi="Calibri"/>
          <w:b/>
          <w:bCs/>
          <w:sz w:val="21"/>
          <w:szCs w:val="21"/>
        </w:rPr>
        <w:t xml:space="preserve">Accessibility</w:t>
      </w:r>
      <w:r>
        <w:rPr>
          <w:rFonts w:ascii="Calibri" w:cs="Calibri" w:eastAsia="Calibri" w:hAnsi="Calibri"/>
          <w:sz w:val="21"/>
          <w:szCs w:val="21"/>
        </w:rPr>
        <w:t xml:space="preserve"> — status is never colour alone; every state carries a glyph and a word. Works down to phone width.</w:t>
      </w:r>
    </w:p>
    <w:p>
      <w:pPr>
        <w:pStyle w:val="Heading1"/>
        <w:spacing w:after="150" w:before="340"/>
      </w:pPr>
      <w:r>
        <w:rPr>
          <w:rFonts w:ascii="Calibri" w:cs="Calibri" w:eastAsia="Calibri" w:hAnsi="Calibri"/>
          <w:b/>
          <w:bCs/>
          <w:color w:val="1F3D6B"/>
          <w:sz w:val="29"/>
          <w:szCs w:val="29"/>
        </w:rPr>
        <w:t xml:space="preserve">4. The four golden cases</w:t>
      </w:r>
    </w:p>
    <w:p>
      <w:pPr>
        <w:spacing w:after="120" w:line="276"/>
      </w:pPr>
      <w:r>
        <w:rPr>
          <w:rFonts w:ascii="Calibri" w:cs="Calibri" w:eastAsia="Calibri" w:hAnsi="Calibri"/>
          <w:sz w:val="21"/>
          <w:szCs w:val="21"/>
        </w:rPr>
        <w:t xml:space="preserve">These are the demo, and they are also regression tests. Each runs the complete path from PNG bytes to classification.</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1400"/>
        <w:gridCol w:w="4800"/>
        <w:gridCol w:w="2826"/>
      </w:tblGrid>
      <w:tr>
        <w:trPr>
          <w:tblHeader/>
        </w:trPr>
        <w:tc>
          <w:tcPr>
            <w:tcW w:type="dxa" w:w="14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Case</w:t>
            </w:r>
          </w:p>
        </w:tc>
        <w:tc>
          <w:tcPr>
            <w:tcW w:type="dxa" w:w="48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Scenario</w:t>
            </w:r>
          </w:p>
        </w:tc>
        <w:tc>
          <w:tcPr>
            <w:tcW w:type="dxa" w:w="2826"/>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Result</w:t>
            </w:r>
          </w:p>
        </w:tc>
      </w:tr>
      <w:tr>
        <w:tc>
          <w:tcPr>
            <w:tcW w:type="dxa" w:w="1400"/>
            <w:tcMar>
              <w:top w:type="dxa" w:w="85"/>
              <w:left w:type="dxa" w:w="125"/>
              <w:bottom w:type="dxa" w:w="85"/>
              <w:right w:type="dxa" w:w="125"/>
            </w:tcMar>
          </w:tcPr>
          <w:p>
            <w:pPr>
              <w:spacing w:after="0" w:line="252"/>
            </w:pPr>
            <w:r>
              <w:rPr>
                <w:rFonts w:ascii="Consolas" w:cs="Consolas" w:eastAsia="Consolas" w:hAnsi="Consolas"/>
                <w:sz w:val="17"/>
                <w:szCs w:val="17"/>
              </w:rPr>
              <w:t xml:space="preserve">TV-0001</w:t>
            </w:r>
          </w:p>
        </w:tc>
        <w:tc>
          <w:tcPr>
            <w:tcW w:type="dxa" w:w="4800"/>
            <w:tcMar>
              <w:top w:type="dxa" w:w="85"/>
              <w:left w:type="dxa" w:w="125"/>
              <w:bottom w:type="dxa" w:w="85"/>
              <w:right w:type="dxa" w:w="125"/>
            </w:tcMar>
          </w:tcPr>
          <w:p>
            <w:pPr>
              <w:spacing w:after="0" w:line="252"/>
            </w:pPr>
            <w:r>
              <w:rPr>
                <w:rFonts w:ascii="Calibri" w:cs="Calibri" w:eastAsia="Calibri" w:hAnsi="Calibri"/>
                <w:sz w:val="19"/>
                <w:szCs w:val="19"/>
              </w:rPr>
              <w:t xml:space="preserve">All three sources agree</w:t>
            </w:r>
          </w:p>
        </w:tc>
        <w:tc>
          <w:tcPr>
            <w:tcW w:type="dxa" w:w="28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COMPLIANT</w:t>
            </w:r>
          </w:p>
        </w:tc>
      </w:tr>
      <w:tr>
        <w:tc>
          <w:tcPr>
            <w:tcW w:type="dxa" w:w="1400"/>
            <w:tcMar>
              <w:top w:type="dxa" w:w="85"/>
              <w:left w:type="dxa" w:w="125"/>
              <w:bottom w:type="dxa" w:w="85"/>
              <w:right w:type="dxa" w:w="125"/>
            </w:tcMar>
          </w:tcPr>
          <w:p>
            <w:pPr>
              <w:spacing w:after="0" w:line="252"/>
            </w:pPr>
            <w:r>
              <w:rPr>
                <w:rFonts w:ascii="Consolas" w:cs="Consolas" w:eastAsia="Consolas" w:hAnsi="Consolas"/>
                <w:sz w:val="17"/>
                <w:szCs w:val="17"/>
              </w:rPr>
              <w:t xml:space="preserve">TV-0002</w:t>
            </w:r>
          </w:p>
        </w:tc>
        <w:tc>
          <w:tcPr>
            <w:tcW w:type="dxa" w:w="4800"/>
            <w:tcMar>
              <w:top w:type="dxa" w:w="85"/>
              <w:left w:type="dxa" w:w="125"/>
              <w:bottom w:type="dxa" w:w="85"/>
              <w:right w:type="dxa" w:w="125"/>
            </w:tcMar>
          </w:tcPr>
          <w:p>
            <w:pPr>
              <w:spacing w:after="0" w:line="252"/>
            </w:pPr>
            <w:r>
              <w:rPr>
                <w:rFonts w:ascii="Calibri" w:cs="Calibri" w:eastAsia="Calibri" w:hAnsi="Calibri"/>
                <w:sz w:val="19"/>
                <w:szCs w:val="19"/>
              </w:rPr>
              <w:t xml:space="preserve">Pack and registry say ₹249; listing says ₹199</w:t>
            </w:r>
          </w:p>
        </w:tc>
        <w:tc>
          <w:tcPr>
            <w:tcW w:type="dxa" w:w="2826"/>
            <w:tcMar>
              <w:top w:type="dxa" w:w="85"/>
              <w:left w:type="dxa" w:w="125"/>
              <w:bottom w:type="dxa" w:w="85"/>
              <w:right w:type="dxa" w:w="125"/>
            </w:tcMar>
          </w:tcPr>
          <w:p>
            <w:pPr>
              <w:spacing w:after="0" w:line="252"/>
            </w:pPr>
            <w:r>
              <w:rPr>
                <w:rFonts w:ascii="Calibri" w:cs="Calibri" w:eastAsia="Calibri" w:hAnsi="Calibri"/>
                <w:b/>
                <w:bCs/>
                <w:color w:val="A51D12"/>
                <w:sz w:val="19"/>
                <w:szCs w:val="19"/>
              </w:rPr>
              <w:t xml:space="preserve">SELLER_FRAUD</w:t>
            </w:r>
          </w:p>
        </w:tc>
      </w:tr>
      <w:tr>
        <w:tc>
          <w:tcPr>
            <w:tcW w:type="dxa" w:w="1400"/>
            <w:tcMar>
              <w:top w:type="dxa" w:w="85"/>
              <w:left w:type="dxa" w:w="125"/>
              <w:bottom w:type="dxa" w:w="85"/>
              <w:right w:type="dxa" w:w="125"/>
            </w:tcMar>
          </w:tcPr>
          <w:p>
            <w:pPr>
              <w:spacing w:after="0" w:line="252"/>
            </w:pPr>
            <w:r>
              <w:rPr>
                <w:rFonts w:ascii="Consolas" w:cs="Consolas" w:eastAsia="Consolas" w:hAnsi="Consolas"/>
                <w:sz w:val="17"/>
                <w:szCs w:val="17"/>
              </w:rPr>
              <w:t xml:space="preserve">TV-0003</w:t>
            </w:r>
          </w:p>
        </w:tc>
        <w:tc>
          <w:tcPr>
            <w:tcW w:type="dxa" w:w="4800"/>
            <w:tcMar>
              <w:top w:type="dxa" w:w="85"/>
              <w:left w:type="dxa" w:w="125"/>
              <w:bottom w:type="dxa" w:w="85"/>
              <w:right w:type="dxa" w:w="125"/>
            </w:tcMar>
          </w:tcPr>
          <w:p>
            <w:pPr>
              <w:spacing w:after="0" w:line="252"/>
            </w:pPr>
            <w:r>
              <w:rPr>
                <w:rFonts w:ascii="Calibri" w:cs="Calibri" w:eastAsia="Calibri" w:hAnsi="Calibri"/>
                <w:sz w:val="19"/>
                <w:szCs w:val="19"/>
              </w:rPr>
              <w:t xml:space="preserve">Pack and listing say 450 g under one importer; registry says 500 g under another</w:t>
            </w:r>
          </w:p>
        </w:tc>
        <w:tc>
          <w:tcPr>
            <w:tcW w:type="dxa" w:w="2826"/>
            <w:tcMar>
              <w:top w:type="dxa" w:w="85"/>
              <w:left w:type="dxa" w:w="125"/>
              <w:bottom w:type="dxa" w:w="85"/>
              <w:right w:type="dxa" w:w="125"/>
            </w:tcMar>
          </w:tcPr>
          <w:p>
            <w:pPr>
              <w:spacing w:after="0" w:line="252"/>
            </w:pPr>
            <w:r>
              <w:rPr>
                <w:rFonts w:ascii="Calibri" w:cs="Calibri" w:eastAsia="Calibri" w:hAnsi="Calibri"/>
                <w:b/>
                <w:bCs/>
                <w:color w:val="A51D12"/>
                <w:sz w:val="19"/>
                <w:szCs w:val="19"/>
              </w:rPr>
              <w:t xml:space="preserve">COUNTERFEIT_OR_
ILLEGAL_IMPORT</w:t>
            </w:r>
          </w:p>
        </w:tc>
      </w:tr>
      <w:tr>
        <w:tc>
          <w:tcPr>
            <w:tcW w:type="dxa" w:w="1400"/>
            <w:tcMar>
              <w:top w:type="dxa" w:w="85"/>
              <w:left w:type="dxa" w:w="125"/>
              <w:bottom w:type="dxa" w:w="85"/>
              <w:right w:type="dxa" w:w="125"/>
            </w:tcMar>
          </w:tcPr>
          <w:p>
            <w:pPr>
              <w:spacing w:after="0" w:line="252"/>
            </w:pPr>
            <w:r>
              <w:rPr>
                <w:rFonts w:ascii="Consolas" w:cs="Consolas" w:eastAsia="Consolas" w:hAnsi="Consolas"/>
                <w:sz w:val="17"/>
                <w:szCs w:val="17"/>
              </w:rPr>
              <w:t xml:space="preserve">TV-0004</w:t>
            </w:r>
          </w:p>
        </w:tc>
        <w:tc>
          <w:tcPr>
            <w:tcW w:type="dxa" w:w="4800"/>
            <w:tcMar>
              <w:top w:type="dxa" w:w="85"/>
              <w:left w:type="dxa" w:w="125"/>
              <w:bottom w:type="dxa" w:w="85"/>
              <w:right w:type="dxa" w:w="125"/>
            </w:tcMar>
          </w:tcPr>
          <w:p>
            <w:pPr>
              <w:spacing w:after="0" w:line="252"/>
            </w:pPr>
            <w:r>
              <w:rPr>
                <w:rFonts w:ascii="Calibri" w:cs="Calibri" w:eastAsia="Calibri" w:hAnsi="Calibri"/>
                <w:sz w:val="19"/>
                <w:szCs w:val="19"/>
              </w:rPr>
              <w:t xml:space="preserve">MRP line blurred below threshold and no registered record exists</w:t>
            </w:r>
          </w:p>
        </w:tc>
        <w:tc>
          <w:tcPr>
            <w:tcW w:type="dxa" w:w="2826"/>
            <w:tcMar>
              <w:top w:type="dxa" w:w="85"/>
              <w:left w:type="dxa" w:w="125"/>
              <w:bottom w:type="dxa" w:w="85"/>
              <w:right w:type="dxa" w:w="125"/>
            </w:tcMar>
          </w:tcPr>
          <w:p>
            <w:pPr>
              <w:spacing w:after="0" w:line="252"/>
            </w:pPr>
            <w:r>
              <w:rPr>
                <w:rFonts w:ascii="Calibri" w:cs="Calibri" w:eastAsia="Calibri" w:hAnsi="Calibri"/>
                <w:b/>
                <w:bCs/>
                <w:color w:val="7A4F00"/>
                <w:sz w:val="19"/>
                <w:szCs w:val="19"/>
              </w:rPr>
              <w:t xml:space="preserve">MANUAL_REVIEW</w:t>
            </w:r>
          </w:p>
        </w:tc>
      </w:tr>
    </w:tbl>
    <w:p>
      <w:pPr>
        <w:spacing w:after="150"/>
      </w:pPr>
      <w:r>
        <w:t xml:space="preserve"/>
      </w:r>
    </w:p>
    <w:p>
      <w:pPr>
        <w:spacing w:after="120" w:line="276"/>
      </w:pPr>
      <w:r>
        <w:rPr>
          <w:rFonts w:ascii="Calibri" w:cs="Calibri" w:eastAsia="Calibri" w:hAnsi="Calibri"/>
          <w:sz w:val="21"/>
          <w:szCs w:val="21"/>
        </w:rPr>
        <w:t xml:space="preserve">Each case is one self-contained JSON file. The label images are generated from it, and the OCR boxes are the exact pixel rectangles the text was drawn into — so the image and its extraction can never drift apart. TV-0004 deliberately ships </w:t>
      </w:r>
      <w:r>
        <w:rPr>
          <w:rFonts w:ascii="Calibri" w:cs="Calibri" w:eastAsia="Calibri" w:hAnsi="Calibri"/>
          <w:i/>
          <w:iCs/>
          <w:sz w:val="21"/>
          <w:szCs w:val="21"/>
        </w:rPr>
        <w:t xml:space="preserve">without</w:t>
      </w:r>
      <w:r>
        <w:rPr>
          <w:rFonts w:ascii="Calibri" w:cs="Calibri" w:eastAsia="Calibri" w:hAnsi="Calibri"/>
          <w:sz w:val="21"/>
          <w:szCs w:val="21"/>
        </w:rPr>
        <w:t xml:space="preserve"> an official record, to prove the system refuses to guess.</w:t>
      </w:r>
    </w:p>
    <w:p>
      <w:pPr>
        <w:pStyle w:val="Heading1"/>
        <w:spacing w:after="150" w:before="340"/>
      </w:pPr>
      <w:r>
        <w:rPr>
          <w:rFonts w:ascii="Calibri" w:cs="Calibri" w:eastAsia="Calibri" w:hAnsi="Calibri"/>
          <w:b/>
          <w:bCs/>
          <w:color w:val="1F3D6B"/>
          <w:sz w:val="29"/>
          <w:szCs w:val="29"/>
        </w:rPr>
        <w:t xml:space="preserve">5. What has been verified</w:t>
      </w:r>
    </w:p>
    <w:p>
      <w:pPr>
        <w:spacing w:after="120" w:line="276"/>
      </w:pPr>
      <w:r>
        <w:rPr>
          <w:rFonts w:ascii="Calibri" w:cs="Calibri" w:eastAsia="Calibri" w:hAnsi="Calibri"/>
          <w:sz w:val="21"/>
          <w:szCs w:val="21"/>
        </w:rPr>
        <w:t xml:space="preserve">Not "it worked on my machine" — each of these was actually executed.</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2600"/>
        <w:gridCol w:w="6426"/>
      </w:tblGrid>
      <w:tr>
        <w:trPr>
          <w:tblHeader/>
        </w:trPr>
        <w:tc>
          <w:tcPr>
            <w:tcW w:type="dxa" w:w="26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Check</w:t>
            </w:r>
          </w:p>
        </w:tc>
        <w:tc>
          <w:tcPr>
            <w:tcW w:type="dxa" w:w="6426"/>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Result</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Full test suite</w:t>
            </w:r>
          </w:p>
        </w:tc>
        <w:tc>
          <w:tcPr>
            <w:tcW w:type="dxa" w:w="6426"/>
            <w:tcMar>
              <w:top w:type="dxa" w:w="85"/>
              <w:left w:type="dxa" w:w="125"/>
              <w:bottom w:type="dxa" w:w="85"/>
              <w:right w:type="dxa" w:w="125"/>
            </w:tcMar>
          </w:tcPr>
          <w:p>
            <w:pPr>
              <w:spacing w:after="0" w:line="252"/>
            </w:pPr>
            <w:r>
              <w:rPr>
                <w:rFonts w:ascii="Calibri" w:cs="Calibri" w:eastAsia="Calibri" w:hAnsi="Calibri"/>
                <w:b/>
                <w:bCs/>
                <w:sz w:val="19"/>
                <w:szCs w:val="19"/>
              </w:rPr>
              <w:t xml:space="preserve">160 passed on Python 3.11, 3.12, 3.13 and 3.14</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Clean clone</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Fresh checkout, fresh virtualenv, seed and test with no manual steps</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Offline operation</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Outbound sockets physically broken, then upload, verification, evidence crops, reports and history all driven successfully</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Dependency install</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All 9 runtime packages resolve to prebuilt wheels on Windows and Linux — no compiler needed</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Golden-case determinism</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Re-running verification produces byte-identical findings and evidence IDs</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Image re-encoding</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Demo images re-encoded to 1.2 MB each; fixtures still resolve and all cases still classify correctly</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Live server</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Real uvicorn run: health, dashboard, cases, evidence crops, PDF export and upload</w:t>
            </w:r>
          </w:p>
        </w:tc>
      </w:tr>
      <w:tr>
        <w:tc>
          <w:tcPr>
            <w:tcW w:type="dxa" w:w="2600"/>
            <w:tcMar>
              <w:top w:type="dxa" w:w="85"/>
              <w:left w:type="dxa" w:w="125"/>
              <w:bottom w:type="dxa" w:w="85"/>
              <w:right w:type="dxa" w:w="125"/>
            </w:tcMar>
          </w:tcPr>
          <w:p>
            <w:pPr>
              <w:spacing w:after="0" w:line="252"/>
            </w:pPr>
            <w:r>
              <w:rPr>
                <w:rFonts w:ascii="Calibri" w:cs="Calibri" w:eastAsia="Calibri" w:hAnsi="Calibri"/>
                <w:sz w:val="19"/>
                <w:szCs w:val="19"/>
              </w:rPr>
              <w:t xml:space="preserve">Browser</w:t>
            </w:r>
          </w:p>
        </w:tc>
        <w:tc>
          <w:tcPr>
            <w:tcW w:type="dxa" w:w="6426"/>
            <w:tcMar>
              <w:top w:type="dxa" w:w="85"/>
              <w:left w:type="dxa" w:w="125"/>
              <w:bottom w:type="dxa" w:w="85"/>
              <w:right w:type="dxa" w:w="125"/>
            </w:tcMar>
          </w:tcPr>
          <w:p>
            <w:pPr>
              <w:spacing w:after="0" w:line="252"/>
            </w:pPr>
            <w:r>
              <w:rPr>
                <w:rFonts w:ascii="Calibri" w:cs="Calibri" w:eastAsia="Calibri" w:hAnsi="Calibri"/>
                <w:sz w:val="19"/>
                <w:szCs w:val="19"/>
              </w:rPr>
              <w:t xml:space="preserve">Dashboard renders with zero console errors at 430px, 1024px and 1600px</w:t>
            </w:r>
          </w:p>
        </w:tc>
      </w:tr>
    </w:tbl>
    <w:p>
      <w:pPr>
        <w:pStyle w:val="Heading1"/>
        <w:spacing w:after="150" w:before="340"/>
      </w:pPr>
      <w:r>
        <w:rPr>
          <w:rFonts w:ascii="Calibri" w:cs="Calibri" w:eastAsia="Calibri" w:hAnsi="Calibri"/>
          <w:b/>
          <w:bCs/>
          <w:color w:val="1F3D6B"/>
          <w:sz w:val="29"/>
          <w:szCs w:val="29"/>
        </w:rPr>
        <w:t xml:space="preserve">6. Architecture</w:t>
      </w:r>
    </w:p>
    <w:p>
      <w:pPr>
        <w:shd w:fill="F2F4F7" w:val="clear"/>
        <w:spacing w:after="0" w:line="240"/>
        <w:ind w:left="170" w:right="170"/>
      </w:pPr>
      <w:r>
        <w:rPr>
          <w:rFonts w:ascii="Consolas" w:cs="Consolas" w:eastAsia="Consolas" w:hAnsi="Consolas"/>
          <w:sz w:val="18"/>
          <w:szCs w:val="18"/>
        </w:rPr>
        <w:t xml:space="preserve">Sih/</w:t>
      </w:r>
    </w:p>
    <w:p>
      <w:pPr>
        <w:shd w:fill="F2F4F7" w:val="clear"/>
        <w:spacing w:after="0" w:line="240"/>
        <w:ind w:left="170" w:right="170"/>
      </w:pPr>
      <w:r>
        <w:rPr>
          <w:rFonts w:ascii="Consolas" w:cs="Consolas" w:eastAsia="Consolas" w:hAnsi="Consolas"/>
          <w:sz w:val="18"/>
          <w:szCs w:val="18"/>
        </w:rPr>
        <w:t xml:space="preserve">├── backend/                  FastAPI service</w:t>
      </w:r>
    </w:p>
    <w:p>
      <w:pPr>
        <w:shd w:fill="F2F4F7" w:val="clear"/>
        <w:spacing w:after="0" w:line="240"/>
        <w:ind w:left="170" w:right="170"/>
      </w:pPr>
      <w:r>
        <w:rPr>
          <w:rFonts w:ascii="Consolas" w:cs="Consolas" w:eastAsia="Consolas" w:hAnsi="Consolas"/>
          <w:sz w:val="18"/>
          <w:szCs w:val="18"/>
        </w:rPr>
        <w:t xml:space="preserve">│   └── app/</w:t>
      </w:r>
    </w:p>
    <w:p>
      <w:pPr>
        <w:shd w:fill="F2F4F7" w:val="clear"/>
        <w:spacing w:after="0" w:line="240"/>
        <w:ind w:left="170" w:right="170"/>
      </w:pPr>
      <w:r>
        <w:rPr>
          <w:rFonts w:ascii="Consolas" w:cs="Consolas" w:eastAsia="Consolas" w:hAnsi="Consolas"/>
          <w:sz w:val="18"/>
          <w:szCs w:val="18"/>
        </w:rPr>
        <w:t xml:space="preserve">│       ├── core/             config, database (SQLite / Supabase)</w:t>
      </w:r>
    </w:p>
    <w:p>
      <w:pPr>
        <w:shd w:fill="F2F4F7" w:val="clear"/>
        <w:spacing w:after="0" w:line="240"/>
        <w:ind w:left="170" w:right="170"/>
      </w:pPr>
      <w:r>
        <w:rPr>
          <w:rFonts w:ascii="Consolas" w:cs="Consolas" w:eastAsia="Consolas" w:hAnsi="Consolas"/>
          <w:sz w:val="18"/>
          <w:szCs w:val="18"/>
        </w:rPr>
        <w:t xml:space="preserve">│       ├── models/           SQLAlchemy ORM      — FROZEN contract</w:t>
      </w:r>
    </w:p>
    <w:p>
      <w:pPr>
        <w:shd w:fill="F2F4F7" w:val="clear"/>
        <w:spacing w:after="0" w:line="240"/>
        <w:ind w:left="170" w:right="170"/>
      </w:pPr>
      <w:r>
        <w:rPr>
          <w:rFonts w:ascii="Consolas" w:cs="Consolas" w:eastAsia="Consolas" w:hAnsi="Consolas"/>
          <w:sz w:val="18"/>
          <w:szCs w:val="18"/>
        </w:rPr>
        <w:t xml:space="preserve">│       ├── schemas/          Pydantic API shape  — FROZEN contract</w:t>
      </w:r>
    </w:p>
    <w:p>
      <w:pPr>
        <w:shd w:fill="F2F4F7" w:val="clear"/>
        <w:spacing w:after="0" w:line="240"/>
        <w:ind w:left="170" w:right="170"/>
      </w:pPr>
      <w:r>
        <w:rPr>
          <w:rFonts w:ascii="Consolas" w:cs="Consolas" w:eastAsia="Consolas" w:hAnsi="Consolas"/>
          <w:sz w:val="18"/>
          <w:szCs w:val="18"/>
        </w:rPr>
        <w:t xml:space="preserve">│       ├── routers/          thin endpoints</w:t>
      </w:r>
    </w:p>
    <w:p>
      <w:pPr>
        <w:shd w:fill="F2F4F7" w:val="clear"/>
        <w:spacing w:after="0" w:line="240"/>
        <w:ind w:left="170" w:right="170"/>
      </w:pPr>
      <w:r>
        <w:rPr>
          <w:rFonts w:ascii="Consolas" w:cs="Consolas" w:eastAsia="Consolas" w:hAnsi="Consolas"/>
          <w:sz w:val="18"/>
          <w:szCs w:val="18"/>
        </w:rPr>
        <w:t xml:space="preserve">│       ├── services/         ingest, present, report</w:t>
      </w:r>
    </w:p>
    <w:p>
      <w:pPr>
        <w:shd w:fill="F2F4F7" w:val="clear"/>
        <w:spacing w:after="0" w:line="240"/>
        <w:ind w:left="170" w:right="170"/>
      </w:pPr>
      <w:r>
        <w:rPr>
          <w:rFonts w:ascii="Consolas" w:cs="Consolas" w:eastAsia="Consolas" w:hAnsi="Consolas"/>
          <w:sz w:val="18"/>
          <w:szCs w:val="18"/>
        </w:rPr>
        <w:t xml:space="preserve">│       ├── engine/           deterministic core (pure, no I/O)</w:t>
      </w:r>
    </w:p>
    <w:p>
      <w:pPr>
        <w:shd w:fill="F2F4F7" w:val="clear"/>
        <w:spacing w:after="0" w:line="240"/>
        <w:ind w:left="170" w:right="170"/>
      </w:pPr>
      <w:r>
        <w:rPr>
          <w:rFonts w:ascii="Consolas" w:cs="Consolas" w:eastAsia="Consolas" w:hAnsi="Consolas"/>
          <w:sz w:val="18"/>
          <w:szCs w:val="18"/>
        </w:rPr>
        <w:t xml:space="preserve">│       └── pipeline/         preprocess, OCR, extract, normalize,</w:t>
      </w:r>
    </w:p>
    <w:p>
      <w:pPr>
        <w:shd w:fill="F2F4F7" w:val="clear"/>
        <w:spacing w:after="0" w:line="240"/>
        <w:ind w:left="170" w:right="170"/>
      </w:pPr>
      <w:r>
        <w:rPr>
          <w:rFonts w:ascii="Consolas" w:cs="Consolas" w:eastAsia="Consolas" w:hAnsi="Consolas"/>
          <w:sz w:val="18"/>
          <w:szCs w:val="18"/>
        </w:rPr>
        <w:t xml:space="preserve">│                             source adapters</w:t>
      </w:r>
    </w:p>
    <w:p>
      <w:pPr>
        <w:shd w:fill="F2F4F7" w:val="clear"/>
        <w:spacing w:after="140" w:line="240"/>
        <w:ind w:left="170" w:right="170"/>
      </w:pPr>
      <w:r>
        <w:rPr>
          <w:rFonts w:ascii="Consolas" w:cs="Consolas" w:eastAsia="Consolas" w:hAnsi="Consolas"/>
          <w:sz w:val="18"/>
          <w:szCs w:val="18"/>
        </w:rPr>
        <w:t xml:space="preserve">└── frontend/                 React dashboard (Vite)</w:t>
      </w:r>
    </w:p>
    <w:p>
      <w:pPr>
        <w:spacing w:after="120" w:line="276"/>
      </w:pPr>
      <w:r>
        <w:rPr>
          <w:rFonts w:ascii="Calibri" w:cs="Calibri" w:eastAsia="Calibri" w:hAnsi="Calibri"/>
          <w:sz w:val="21"/>
          <w:szCs w:val="21"/>
        </w:rPr>
        <w:t xml:space="preserve">Two planes, as the build manual prescribes: acquisition and extraction are separate from the live service. The engine is pure — no I/O, no models, no network — which is what makes it testable and its output reproducible.</w:t>
      </w:r>
    </w:p>
    <w:p>
      <w:pPr>
        <w:pStyle w:val="Heading1"/>
        <w:spacing w:after="150" w:before="340"/>
      </w:pPr>
      <w:r>
        <w:rPr>
          <w:rFonts w:ascii="Calibri" w:cs="Calibri" w:eastAsia="Calibri" w:hAnsi="Calibri"/>
          <w:b/>
          <w:bCs/>
          <w:color w:val="1F3D6B"/>
          <w:sz w:val="29"/>
          <w:szCs w:val="29"/>
        </w:rPr>
        <w:t xml:space="preserve">7. Deployment readiness</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2600"/>
        <w:gridCol w:w="6426"/>
      </w:tblGrid>
      <w:tr>
        <w:trPr>
          <w:tblHeader/>
        </w:trPr>
        <w:tc>
          <w:tcPr>
            <w:tcW w:type="dxa" w:w="26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Target</w:t>
            </w:r>
          </w:p>
        </w:tc>
        <w:tc>
          <w:tcPr>
            <w:tcW w:type="dxa" w:w="6426"/>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State</w:t>
            </w:r>
          </w:p>
        </w:tc>
      </w:tr>
      <w:tr>
        <w:tc>
          <w:tcPr>
            <w:tcW w:type="dxa" w:w="2600"/>
            <w:tcMar>
              <w:top w:type="dxa" w:w="85"/>
              <w:left w:type="dxa" w:w="125"/>
              <w:bottom w:type="dxa" w:w="85"/>
              <w:right w:type="dxa" w:w="125"/>
            </w:tcMar>
          </w:tcPr>
          <w:p>
            <w:pPr>
              <w:spacing w:after="0" w:line="252"/>
            </w:pPr>
            <w:r>
              <w:rPr>
                <w:rFonts w:ascii="Calibri" w:cs="Calibri" w:eastAsia="Calibri" w:hAnsi="Calibri"/>
                <w:b/>
                <w:bCs/>
                <w:sz w:val="19"/>
                <w:szCs w:val="19"/>
              </w:rPr>
              <w:t xml:space="preserve">Render</w:t>
            </w:r>
            <w:r>
              <w:rPr>
                <w:rFonts w:ascii="Calibri" w:cs="Calibri" w:eastAsia="Calibri" w:hAnsi="Calibri"/>
                <w:sz w:val="19"/>
                <w:szCs w:val="19"/>
              </w:rPr>
              <w:t xml:space="preserve"> (backend)</w:t>
            </w:r>
          </w:p>
        </w:tc>
        <w:tc>
          <w:tcPr>
            <w:tcW w:type="dxa" w:w="64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Blueprint committed, rootDir set, health check wired, $PORT bound</w:t>
            </w:r>
          </w:p>
        </w:tc>
      </w:tr>
      <w:tr>
        <w:tc>
          <w:tcPr>
            <w:tcW w:type="dxa" w:w="2600"/>
            <w:tcMar>
              <w:top w:type="dxa" w:w="85"/>
              <w:left w:type="dxa" w:w="125"/>
              <w:bottom w:type="dxa" w:w="85"/>
              <w:right w:type="dxa" w:w="125"/>
            </w:tcMar>
          </w:tcPr>
          <w:p>
            <w:pPr>
              <w:spacing w:after="0" w:line="252"/>
            </w:pPr>
            <w:r>
              <w:rPr>
                <w:rFonts w:ascii="Calibri" w:cs="Calibri" w:eastAsia="Calibri" w:hAnsi="Calibri"/>
                <w:b/>
                <w:bCs/>
                <w:sz w:val="19"/>
                <w:szCs w:val="19"/>
              </w:rPr>
              <w:t xml:space="preserve">Vercel</w:t>
            </w:r>
            <w:r>
              <w:rPr>
                <w:rFonts w:ascii="Calibri" w:cs="Calibri" w:eastAsia="Calibri" w:hAnsi="Calibri"/>
                <w:sz w:val="19"/>
                <w:szCs w:val="19"/>
              </w:rPr>
              <w:t xml:space="preserve"> (frontend)</w:t>
            </w:r>
          </w:p>
        </w:tc>
        <w:tc>
          <w:tcPr>
            <w:tcW w:type="dxa" w:w="64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Build config committed; hash routing means no rewrite rules needed</w:t>
            </w:r>
          </w:p>
        </w:tc>
      </w:tr>
      <w:tr>
        <w:tc>
          <w:tcPr>
            <w:tcW w:type="dxa" w:w="2600"/>
            <w:tcMar>
              <w:top w:type="dxa" w:w="85"/>
              <w:left w:type="dxa" w:w="125"/>
              <w:bottom w:type="dxa" w:w="85"/>
              <w:right w:type="dxa" w:w="125"/>
            </w:tcMar>
          </w:tcPr>
          <w:p>
            <w:pPr>
              <w:spacing w:after="0" w:line="252"/>
            </w:pPr>
            <w:r>
              <w:rPr>
                <w:rFonts w:ascii="Calibri" w:cs="Calibri" w:eastAsia="Calibri" w:hAnsi="Calibri"/>
                <w:b/>
                <w:bCs/>
                <w:sz w:val="19"/>
                <w:szCs w:val="19"/>
              </w:rPr>
              <w:t xml:space="preserve">Supabase</w:t>
            </w:r>
            <w:r>
              <w:rPr>
                <w:rFonts w:ascii="Calibri" w:cs="Calibri" w:eastAsia="Calibri" w:hAnsi="Calibri"/>
                <w:sz w:val="19"/>
                <w:szCs w:val="19"/>
              </w:rPr>
              <w:t xml:space="preserve"> (database)</w:t>
            </w:r>
          </w:p>
        </w:tc>
        <w:tc>
          <w:tcPr>
            <w:tcW w:type="dxa" w:w="64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Connection handling written and unit-tested, including the transaction pooler</w:t>
            </w:r>
          </w:p>
        </w:tc>
      </w:tr>
      <w:tr>
        <w:tc>
          <w:tcPr>
            <w:tcW w:type="dxa" w:w="2600"/>
            <w:tcMar>
              <w:top w:type="dxa" w:w="85"/>
              <w:left w:type="dxa" w:w="125"/>
              <w:bottom w:type="dxa" w:w="85"/>
              <w:right w:type="dxa" w:w="125"/>
            </w:tcMar>
          </w:tcPr>
          <w:p>
            <w:pPr>
              <w:spacing w:after="0" w:line="252"/>
            </w:pPr>
            <w:r>
              <w:rPr>
                <w:rFonts w:ascii="Calibri" w:cs="Calibri" w:eastAsia="Calibri" w:hAnsi="Calibri"/>
                <w:b/>
                <w:bCs/>
                <w:sz w:val="19"/>
                <w:szCs w:val="19"/>
              </w:rPr>
              <w:t xml:space="preserve">Local demo</w:t>
            </w:r>
          </w:p>
        </w:tc>
        <w:tc>
          <w:tcPr>
            <w:tcW w:type="dxa" w:w="64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One process on one port, no Docker, no Node, no network</w:t>
            </w:r>
          </w:p>
        </w:tc>
      </w:tr>
      <w:tr>
        <w:tc>
          <w:tcPr>
            <w:tcW w:type="dxa" w:w="2600"/>
            <w:tcMar>
              <w:top w:type="dxa" w:w="85"/>
              <w:left w:type="dxa" w:w="125"/>
              <w:bottom w:type="dxa" w:w="85"/>
              <w:right w:type="dxa" w:w="125"/>
            </w:tcMar>
          </w:tcPr>
          <w:p>
            <w:pPr>
              <w:spacing w:after="0" w:line="252"/>
            </w:pPr>
            <w:r>
              <w:rPr>
                <w:rFonts w:ascii="Calibri" w:cs="Calibri" w:eastAsia="Calibri" w:hAnsi="Calibri"/>
                <w:b/>
                <w:bCs/>
                <w:sz w:val="19"/>
                <w:szCs w:val="19"/>
              </w:rPr>
              <w:t xml:space="preserve">Deployed instance</w:t>
            </w:r>
          </w:p>
        </w:tc>
        <w:tc>
          <w:tcPr>
            <w:tcW w:type="dxa" w:w="6426"/>
            <w:tcMar>
              <w:top w:type="dxa" w:w="85"/>
              <w:left w:type="dxa" w:w="125"/>
              <w:bottom w:type="dxa" w:w="85"/>
              <w:right w:type="dxa" w:w="125"/>
            </w:tcMar>
          </w:tcPr>
          <w:p>
            <w:pPr>
              <w:spacing w:after="0" w:line="252"/>
            </w:pPr>
            <w:r>
              <w:rPr>
                <w:rFonts w:ascii="Calibri" w:cs="Calibri" w:eastAsia="Calibri" w:hAnsi="Calibri"/>
                <w:b/>
                <w:bCs/>
                <w:color w:val="A51D12"/>
                <w:sz w:val="19"/>
                <w:szCs w:val="19"/>
              </w:rPr>
              <w:t xml:space="preserve">✗ </w:t>
            </w:r>
            <w:r>
              <w:rPr>
                <w:rFonts w:ascii="Calibri" w:cs="Calibri" w:eastAsia="Calibri" w:hAnsi="Calibri"/>
                <w:sz w:val="19"/>
                <w:szCs w:val="19"/>
              </w:rPr>
              <w:t xml:space="preserve">Not yet provisioned — nothing has been pushed to Render or Vercel</w:t>
            </w:r>
          </w:p>
        </w:tc>
      </w:tr>
    </w:tbl>
    <w:p>
      <w:pPr>
        <w:spacing w:after="150"/>
      </w:pPr>
      <w:r>
        <w:t xml:space="preserve"/>
      </w:r>
    </w:p>
    <w:p>
      <w:pPr>
        <w:spacing w:after="120" w:line="276"/>
      </w:pPr>
      <w:r>
        <w:rPr>
          <w:rFonts w:ascii="Calibri" w:cs="Calibri" w:eastAsia="Calibri" w:hAnsi="Calibri"/>
          <w:sz w:val="21"/>
          <w:szCs w:val="21"/>
        </w:rPr>
        <w:t xml:space="preserve">The Supabase specifics are handled automatically: the URL is rewritten to the right driver, TLS is required, and when the transaction-mode pooler is detected the connection pool and prepared-statement cache are disabled. Without that last part you get intermittent </w:t>
      </w:r>
      <w:r>
        <w:rPr>
          <w:rFonts w:ascii="Consolas" w:cs="Consolas" w:eastAsia="Consolas" w:hAnsi="Consolas"/>
          <w:sz w:val="19"/>
          <w:szCs w:val="19"/>
        </w:rPr>
        <w:t xml:space="preserve">DuplicatePreparedStatement</w:t>
      </w:r>
      <w:r>
        <w:rPr>
          <w:rFonts w:ascii="Calibri" w:cs="Calibri" w:eastAsia="Calibri" w:hAnsi="Calibri"/>
          <w:sz w:val="21"/>
          <w:szCs w:val="21"/>
        </w:rPr>
        <w:t xml:space="preserve"> errors under load — the kind of bug that only appears in production.</w:t>
      </w:r>
    </w:p>
    <w:p>
      <w:pPr>
        <w:pStyle w:val="Heading1"/>
        <w:spacing w:after="150" w:before="340"/>
      </w:pPr>
      <w:r>
        <w:rPr>
          <w:rFonts w:ascii="Calibri" w:cs="Calibri" w:eastAsia="Calibri" w:hAnsi="Calibri"/>
          <w:b/>
          <w:bCs/>
          <w:color w:val="1F3D6B"/>
          <w:sz w:val="29"/>
          <w:szCs w:val="29"/>
        </w:rPr>
        <w:t xml:space="preserve">8. What is not built yet</w:t>
      </w:r>
    </w:p>
    <w:p>
      <w:pPr>
        <w:spacing w:after="120" w:line="276"/>
      </w:pPr>
      <w:r>
        <w:rPr>
          <w:rFonts w:ascii="Calibri" w:cs="Calibri" w:eastAsia="Calibri" w:hAnsi="Calibri"/>
          <w:sz w:val="21"/>
          <w:szCs w:val="21"/>
        </w:rPr>
        <w:t xml:space="preserve">Stated plainly, because knowing the gaps is worth more than a checklist of green ticks.</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2500"/>
        <w:gridCol w:w="4600"/>
        <w:gridCol w:w="1926"/>
      </w:tblGrid>
      <w:tr>
        <w:trPr>
          <w:tblHeader/>
        </w:trPr>
        <w:tc>
          <w:tcPr>
            <w:tcW w:type="dxa" w:w="25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Gap</w:t>
            </w:r>
          </w:p>
        </w:tc>
        <w:tc>
          <w:tcPr>
            <w:tcW w:type="dxa" w:w="46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Status</w:t>
            </w:r>
          </w:p>
        </w:tc>
        <w:tc>
          <w:tcPr>
            <w:tcW w:type="dxa" w:w="1926"/>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Owner</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Font size, placement and readability checks</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The problem statement asks for these. Not implemented — the rule set covers presence and cross-source agreement only. Largest unclaimed piece.</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Model implementer</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Live e-commerce acquisition</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Adapter seam exists and is wired; no connector behind it. All listing data is cached snapshots.</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Scraper builder</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Live official registry lookup</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Same — seam exists, access not yet obtained. Worth resolving early.</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Scraper builder</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Real OCR on arbitrary photos</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Tesseract works if installed; demo images use committed fixtures. No model tuned for Indian packaging yet.</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Model implementer</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Product matching</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A case needs an explicit identifier. No fuzzy pack-to-listing matching.</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Scraper builder</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Role-based access</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Deliberately deferred — the manual puts it post-MVP.</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w:t>
            </w:r>
          </w:p>
        </w:tc>
      </w:tr>
      <w:tr>
        <w:tc>
          <w:tcPr>
            <w:tcW w:type="dxa" w:w="2500"/>
            <w:tcMar>
              <w:top w:type="dxa" w:w="85"/>
              <w:left w:type="dxa" w:w="125"/>
              <w:bottom w:type="dxa" w:w="85"/>
              <w:right w:type="dxa" w:w="125"/>
            </w:tcMar>
          </w:tcPr>
          <w:p>
            <w:pPr>
              <w:spacing w:after="0" w:line="252"/>
            </w:pPr>
            <w:r>
              <w:rPr>
                <w:rFonts w:ascii="Calibri" w:cs="Calibri" w:eastAsia="Calibri" w:hAnsi="Calibri"/>
                <w:b/>
                <w:bCs/>
                <w:sz w:val="19"/>
                <w:szCs w:val="19"/>
              </w:rPr>
              <w:t xml:space="preserve">Legal rule validation</w:t>
            </w:r>
          </w:p>
        </w:tc>
        <w:tc>
          <w:tcPr>
            <w:tcW w:type="dxa" w:w="4600"/>
            <w:tcMar>
              <w:top w:type="dxa" w:w="85"/>
              <w:left w:type="dxa" w:w="125"/>
              <w:bottom w:type="dxa" w:w="85"/>
              <w:right w:type="dxa" w:w="125"/>
            </w:tcMar>
          </w:tcPr>
          <w:p>
            <w:pPr>
              <w:spacing w:after="0" w:line="252"/>
            </w:pPr>
            <w:r>
              <w:rPr>
                <w:rFonts w:ascii="Calibri" w:cs="Calibri" w:eastAsia="Calibri" w:hAnsi="Calibri"/>
                <w:sz w:val="19"/>
                <w:szCs w:val="19"/>
              </w:rPr>
              <w:t xml:space="preserve">Rule wording has not been checked against the authoritative current Rules text.</w:t>
            </w:r>
          </w:p>
        </w:tc>
        <w:tc>
          <w:tcPr>
            <w:tcW w:type="dxa" w:w="1926"/>
            <w:tcMar>
              <w:top w:type="dxa" w:w="85"/>
              <w:left w:type="dxa" w:w="125"/>
              <w:bottom w:type="dxa" w:w="85"/>
              <w:right w:type="dxa" w:w="125"/>
            </w:tcMar>
          </w:tcPr>
          <w:p>
            <w:pPr>
              <w:spacing w:after="0" w:line="252"/>
            </w:pPr>
            <w:r>
              <w:rPr>
                <w:rFonts w:ascii="Calibri" w:cs="Calibri" w:eastAsia="Calibri" w:hAnsi="Calibri"/>
                <w:sz w:val="19"/>
                <w:szCs w:val="19"/>
              </w:rPr>
              <w:t xml:space="preserve">Whole team</w:t>
            </w:r>
          </w:p>
        </w:tc>
      </w:tr>
    </w:tbl>
    <w:p>
      <w:pPr>
        <w:pStyle w:val="Heading1"/>
        <w:spacing w:after="150" w:before="340"/>
      </w:pPr>
      <w:r>
        <w:rPr>
          <w:rFonts w:ascii="Calibri" w:cs="Calibri" w:eastAsia="Calibri" w:hAnsi="Calibri"/>
          <w:b/>
          <w:bCs/>
          <w:color w:val="1F3D6B"/>
          <w:sz w:val="29"/>
          <w:szCs w:val="29"/>
        </w:rPr>
        <w:t xml:space="preserve">9. Engineering decisions worth knowing</w:t>
      </w:r>
    </w:p>
    <w:p>
      <w:pPr>
        <w:pStyle w:val="ListParagraph"/>
        <w:numPr>
          <w:ilvl w:val="0"/>
          <w:numId w:val="2"/>
        </w:numPr>
        <w:spacing w:after="70" w:line="264"/>
      </w:pPr>
      <w:r>
        <w:rPr>
          <w:rFonts w:ascii="Calibri" w:cs="Calibri" w:eastAsia="Calibri" w:hAnsi="Calibri"/>
          <w:b/>
          <w:bCs/>
          <w:sz w:val="21"/>
          <w:szCs w:val="21"/>
        </w:rPr>
        <w:t xml:space="preserve">Unknown is never compliant. </w:t>
      </w:r>
      <w:r>
        <w:rPr>
          <w:rFonts w:ascii="Calibri" w:cs="Calibri" w:eastAsia="Calibri" w:hAnsi="Calibri"/>
          <w:sz w:val="21"/>
          <w:szCs w:val="21"/>
        </w:rPr>
        <w:t xml:space="preserve">A missing official record, an unreadable label or a low-confidence field produces REVIEW, never a silent pass. This is enforced in code and covered by tests.</w:t>
      </w:r>
    </w:p>
    <w:p>
      <w:pPr>
        <w:pStyle w:val="ListParagraph"/>
        <w:numPr>
          <w:ilvl w:val="0"/>
          <w:numId w:val="2"/>
        </w:numPr>
        <w:spacing w:after="70" w:line="264"/>
      </w:pPr>
      <w:r>
        <w:rPr>
          <w:rFonts w:ascii="Calibri" w:cs="Calibri" w:eastAsia="Calibri" w:hAnsi="Calibri"/>
          <w:b/>
          <w:bCs/>
          <w:sz w:val="21"/>
          <w:szCs w:val="21"/>
        </w:rPr>
        <w:t xml:space="preserve">Contracts frozen at the start. </w:t>
      </w:r>
      <w:r>
        <w:rPr>
          <w:rFonts w:ascii="Calibri" w:cs="Calibri" w:eastAsia="Calibri" w:hAnsi="Calibri"/>
          <w:sz w:val="21"/>
          <w:szCs w:val="21"/>
        </w:rPr>
        <w:t xml:space="preserve">The field vocabulary, the API response shape, the database entities and the golden cases are fixed. Everything else can move without breaking someone else’s work.</w:t>
      </w:r>
    </w:p>
    <w:p>
      <w:pPr>
        <w:pStyle w:val="ListParagraph"/>
        <w:numPr>
          <w:ilvl w:val="0"/>
          <w:numId w:val="2"/>
        </w:numPr>
        <w:spacing w:after="70" w:line="264"/>
      </w:pPr>
      <w:r>
        <w:rPr>
          <w:rFonts w:ascii="Calibri" w:cs="Calibri" w:eastAsia="Calibri" w:hAnsi="Calibri"/>
          <w:b/>
          <w:bCs/>
          <w:sz w:val="21"/>
          <w:szCs w:val="21"/>
        </w:rPr>
        <w:t xml:space="preserve">Images live in the database, not on disk. </w:t>
      </w:r>
      <w:r>
        <w:rPr>
          <w:rFonts w:ascii="Calibri" w:cs="Calibri" w:eastAsia="Calibri" w:hAnsi="Calibri"/>
          <w:sz w:val="21"/>
          <w:szCs w:val="21"/>
        </w:rPr>
        <w:t xml:space="preserve">Render’s filesystem is ephemeral; evidence crops are generated on demand from stored bytes, so nothing breaks on restart.</w:t>
      </w:r>
    </w:p>
    <w:p>
      <w:pPr>
        <w:pStyle w:val="ListParagraph"/>
        <w:numPr>
          <w:ilvl w:val="0"/>
          <w:numId w:val="2"/>
        </w:numPr>
        <w:spacing w:after="70" w:line="264"/>
      </w:pPr>
      <w:r>
        <w:rPr>
          <w:rFonts w:ascii="Calibri" w:cs="Calibri" w:eastAsia="Calibri" w:hAnsi="Calibri"/>
          <w:b/>
          <w:bCs/>
          <w:sz w:val="21"/>
          <w:szCs w:val="21"/>
        </w:rPr>
        <w:t xml:space="preserve">SQLite locally, Postgres in production. </w:t>
      </w:r>
      <w:r>
        <w:rPr>
          <w:rFonts w:ascii="Calibri" w:cs="Calibri" w:eastAsia="Calibri" w:hAnsi="Calibri"/>
          <w:sz w:val="21"/>
          <w:szCs w:val="21"/>
        </w:rPr>
        <w:t xml:space="preserve">One code path, selected by an environment variable. A clean clone runs with zero services.</w:t>
      </w:r>
    </w:p>
    <w:p>
      <w:pPr>
        <w:pStyle w:val="ListParagraph"/>
        <w:numPr>
          <w:ilvl w:val="0"/>
          <w:numId w:val="2"/>
        </w:numPr>
        <w:spacing w:after="70" w:line="264"/>
      </w:pPr>
      <w:r>
        <w:rPr>
          <w:rFonts w:ascii="Calibri" w:cs="Calibri" w:eastAsia="Calibri" w:hAnsi="Calibri"/>
          <w:b/>
          <w:bCs/>
          <w:sz w:val="21"/>
          <w:szCs w:val="21"/>
        </w:rPr>
        <w:t xml:space="preserve">The demo data is the test data. </w:t>
      </w:r>
      <w:r>
        <w:rPr>
          <w:rFonts w:ascii="Calibri" w:cs="Calibri" w:eastAsia="Calibri" w:hAnsi="Calibri"/>
          <w:sz w:val="21"/>
          <w:szCs w:val="21"/>
        </w:rPr>
        <w:t xml:space="preserve">The four cases judges will see are the same four the CI suite asserts on, so demo content cannot rot.</w:t>
      </w:r>
    </w:p>
    <w:p>
      <w:pPr>
        <w:pStyle w:val="Heading1"/>
        <w:spacing w:after="150" w:before="340"/>
      </w:pPr>
      <w:r>
        <w:rPr>
          <w:rFonts w:ascii="Calibri" w:cs="Calibri" w:eastAsia="Calibri" w:hAnsi="Calibri"/>
          <w:b/>
          <w:bCs/>
          <w:color w:val="1F3D6B"/>
          <w:sz w:val="29"/>
          <w:szCs w:val="29"/>
        </w:rPr>
        <w:t xml:space="preserve">10. Bugs found and fixed during the build</w:t>
      </w:r>
    </w:p>
    <w:p>
      <w:pPr>
        <w:spacing w:after="120" w:line="276"/>
      </w:pPr>
      <w:r>
        <w:rPr>
          <w:rFonts w:ascii="Calibri" w:cs="Calibri" w:eastAsia="Calibri" w:hAnsi="Calibri"/>
          <w:sz w:val="21"/>
          <w:szCs w:val="21"/>
        </w:rPr>
        <w:t xml:space="preserve">Each of these was caught by testing rather than by a demo failure.</w:t>
      </w:r>
    </w:p>
    <w:p>
      <w:pPr>
        <w:pStyle w:val="ListParagraph"/>
        <w:numPr>
          <w:ilvl w:val="0"/>
          <w:numId w:val="2"/>
        </w:numPr>
        <w:spacing w:after="70" w:line="264"/>
      </w:pPr>
      <w:r>
        <w:rPr>
          <w:rFonts w:ascii="Calibri" w:cs="Calibri" w:eastAsia="Calibri" w:hAnsi="Calibri"/>
          <w:b/>
          <w:bCs/>
          <w:sz w:val="21"/>
          <w:szCs w:val="21"/>
        </w:rPr>
        <w:t xml:space="preserve">A wrong value that looked right. </w:t>
      </w:r>
      <w:r>
        <w:rPr>
          <w:rFonts w:ascii="Calibri" w:cs="Calibri" w:eastAsia="Calibri" w:hAnsi="Calibri"/>
          <w:sz w:val="21"/>
          <w:szCs w:val="21"/>
        </w:rPr>
        <w:t xml:space="preserve">Garbled OCR such as "Rs. 4Z9.OO" parsed as a confident Rs. 4.00. The parser now rejects a number with a letter fused to it.</w:t>
      </w:r>
    </w:p>
    <w:p>
      <w:pPr>
        <w:pStyle w:val="ListParagraph"/>
        <w:numPr>
          <w:ilvl w:val="0"/>
          <w:numId w:val="2"/>
        </w:numPr>
        <w:spacing w:after="70" w:line="264"/>
      </w:pPr>
      <w:r>
        <w:rPr>
          <w:rFonts w:ascii="Calibri" w:cs="Calibri" w:eastAsia="Calibri" w:hAnsi="Calibri"/>
          <w:b/>
          <w:bCs/>
          <w:sz w:val="21"/>
          <w:szCs w:val="21"/>
        </w:rPr>
        <w:t xml:space="preserve">Fields absent everywhere flagged as problems. </w:t>
      </w:r>
      <w:r>
        <w:rPr>
          <w:rFonts w:ascii="Calibri" w:cs="Calibri" w:eastAsia="Calibri" w:hAnsi="Calibri"/>
          <w:sz w:val="21"/>
          <w:szCs w:val="21"/>
        </w:rPr>
        <w:t xml:space="preserve">A domestic product has no importer; that was producing REVIEW instead of NOT_APPLICABLE and blocking COMPLIANT.</w:t>
      </w:r>
    </w:p>
    <w:p>
      <w:pPr>
        <w:pStyle w:val="ListParagraph"/>
        <w:numPr>
          <w:ilvl w:val="0"/>
          <w:numId w:val="2"/>
        </w:numPr>
        <w:spacing w:after="70" w:line="264"/>
      </w:pPr>
      <w:r>
        <w:rPr>
          <w:rFonts w:ascii="Calibri" w:cs="Calibri" w:eastAsia="Calibri" w:hAnsi="Calibri"/>
          <w:b/>
          <w:bCs/>
          <w:sz w:val="21"/>
          <w:szCs w:val="21"/>
        </w:rPr>
        <w:t xml:space="preserve">Mismatches no rule checked. </w:t>
      </w:r>
      <w:r>
        <w:rPr>
          <w:rFonts w:ascii="Calibri" w:cs="Calibri" w:eastAsia="Calibri" w:hAnsi="Calibri"/>
          <w:sz w:val="21"/>
          <w:szCs w:val="21"/>
        </w:rPr>
        <w:t xml:space="preserve">The comparison table flagged the product name as mismatched because the registry lists a generic commodity name. It now only triangulates pairs an active rule actually compares.</w:t>
      </w:r>
    </w:p>
    <w:p>
      <w:pPr>
        <w:pStyle w:val="ListParagraph"/>
        <w:numPr>
          <w:ilvl w:val="0"/>
          <w:numId w:val="2"/>
        </w:numPr>
        <w:spacing w:after="70" w:line="264"/>
      </w:pPr>
      <w:r>
        <w:rPr>
          <w:rFonts w:ascii="Calibri" w:cs="Calibri" w:eastAsia="Calibri" w:hAnsi="Calibri"/>
          <w:b/>
          <w:bCs/>
          <w:sz w:val="21"/>
          <w:szCs w:val="21"/>
        </w:rPr>
        <w:t xml:space="preserve">Impossible dates accepted. </w:t>
      </w:r>
      <w:r>
        <w:rPr>
          <w:rFonts w:ascii="Calibri" w:cs="Calibri" w:eastAsia="Calibri" w:hAnsi="Calibri"/>
          <w:sz w:val="21"/>
          <w:szCs w:val="21"/>
        </w:rPr>
        <w:t xml:space="preserve">"31/02/2026" silently degraded to "year 2026" instead of being rejected.</w:t>
      </w:r>
    </w:p>
    <w:p>
      <w:pPr>
        <w:pStyle w:val="ListParagraph"/>
        <w:numPr>
          <w:ilvl w:val="0"/>
          <w:numId w:val="2"/>
        </w:numPr>
        <w:spacing w:after="70" w:line="264"/>
      </w:pPr>
      <w:r>
        <w:rPr>
          <w:rFonts w:ascii="Calibri" w:cs="Calibri" w:eastAsia="Calibri" w:hAnsi="Calibri"/>
          <w:b/>
          <w:bCs/>
          <w:sz w:val="21"/>
          <w:szCs w:val="21"/>
        </w:rPr>
        <w:t xml:space="preserve">Fragile fixture keys. </w:t>
      </w:r>
      <w:r>
        <w:rPr>
          <w:rFonts w:ascii="Calibri" w:cs="Calibri" w:eastAsia="Calibri" w:hAnsi="Calibri"/>
          <w:sz w:val="21"/>
          <w:szCs w:val="21"/>
        </w:rPr>
        <w:t xml:space="preserve">Demo images re-encoded in transfer broke a lookup keyed on file bytes. Fixtures are now keyed by decoded pixels, and every golden case carries its OCR inline so a missing fixture rebuilds itself.</w:t>
      </w:r>
    </w:p>
    <w:p>
      <w:pPr>
        <w:pStyle w:val="ListParagraph"/>
        <w:numPr>
          <w:ilvl w:val="0"/>
          <w:numId w:val="2"/>
        </w:numPr>
        <w:spacing w:after="70" w:line="264"/>
      </w:pPr>
      <w:r>
        <w:rPr>
          <w:rFonts w:ascii="Calibri" w:cs="Calibri" w:eastAsia="Calibri" w:hAnsi="Calibri"/>
          <w:b/>
          <w:bCs/>
          <w:sz w:val="21"/>
          <w:szCs w:val="21"/>
        </w:rPr>
        <w:t xml:space="preserve">Dependency pins that excluded Python 3.14. </w:t>
      </w:r>
      <w:r>
        <w:rPr>
          <w:rFonts w:ascii="Calibri" w:cs="Calibri" w:eastAsia="Calibri" w:hAnsi="Calibri"/>
          <w:sz w:val="21"/>
          <w:szCs w:val="21"/>
        </w:rPr>
        <w:t xml:space="preserve">Three packages had no 3.14 wheels, and pip aborts the whole install when one fails. Now verified across four Python versions.</w:t>
      </w:r>
    </w:p>
    <w:p>
      <w:pPr>
        <w:pStyle w:val="Heading1"/>
        <w:spacing w:after="150" w:before="340"/>
      </w:pPr>
      <w:r>
        <w:rPr>
          <w:rFonts w:ascii="Calibri" w:cs="Calibri" w:eastAsia="Calibri" w:hAnsi="Calibri"/>
          <w:b/>
          <w:bCs/>
          <w:color w:val="1F3D6B"/>
          <w:sz w:val="29"/>
          <w:szCs w:val="29"/>
        </w:rPr>
        <w:t xml:space="preserve">11. Build manual checklist</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5800"/>
        <w:gridCol w:w="3226"/>
      </w:tblGrid>
      <w:tr>
        <w:trPr>
          <w:tblHeader/>
        </w:trPr>
        <w:tc>
          <w:tcPr>
            <w:tcW w:type="dxa" w:w="5800"/>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Item</w:t>
            </w:r>
          </w:p>
        </w:tc>
        <w:tc>
          <w:tcPr>
            <w:tcW w:type="dxa" w:w="3226"/>
            <w:shd w:fill="E8ECF2" w:val="clear"/>
            <w:tcMar>
              <w:top w:type="dxa" w:w="85"/>
              <w:left w:type="dxa" w:w="125"/>
              <w:bottom w:type="dxa" w:w="85"/>
              <w:right w:type="dxa" w:w="125"/>
            </w:tcMar>
          </w:tcPr>
          <w:p>
            <w:pPr>
              <w:spacing w:after="0"/>
            </w:pPr>
            <w:r>
              <w:rPr>
                <w:rFonts w:ascii="Calibri" w:cs="Calibri" w:eastAsia="Calibri" w:hAnsi="Calibri"/>
                <w:b/>
                <w:bCs/>
                <w:color w:val="2C3E50"/>
                <w:sz w:val="19"/>
                <w:szCs w:val="19"/>
              </w:rPr>
              <w:t xml:space="preserve">Status</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Problem statement requirements mapped to features</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Canonical field vocabulary frozen</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Database schema committed</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API response shape committed</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Four golden cases committed</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OCR evidence boxes working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Normalization tests passing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51 tests</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Deterministic rule tests passing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27 tests</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Three-layer comparison visible</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Evidence viewer working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Manual-review state working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Report generation working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HTML and PDF</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History and search working</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Done</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Network-off demo works</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Enforced by tests</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Database / source snapshot recoverable</w:t>
            </w:r>
          </w:p>
        </w:tc>
        <w:tc>
          <w:tcPr>
            <w:tcW w:type="dxa" w:w="3226"/>
            <w:tcMar>
              <w:top w:type="dxa" w:w="85"/>
              <w:left w:type="dxa" w:w="125"/>
              <w:bottom w:type="dxa" w:w="85"/>
              <w:right w:type="dxa" w:w="125"/>
            </w:tcMar>
          </w:tcPr>
          <w:p>
            <w:pPr>
              <w:spacing w:after="0" w:line="252"/>
            </w:pPr>
            <w:r>
              <w:rPr>
                <w:rFonts w:ascii="Calibri" w:cs="Calibri" w:eastAsia="Calibri" w:hAnsi="Calibri"/>
                <w:b/>
                <w:bCs/>
                <w:color w:val="12694A"/>
                <w:sz w:val="19"/>
                <w:szCs w:val="19"/>
              </w:rPr>
              <w:t xml:space="preserve">✓ </w:t>
            </w:r>
            <w:r>
              <w:rPr>
                <w:rFonts w:ascii="Calibri" w:cs="Calibri" w:eastAsia="Calibri" w:hAnsi="Calibri"/>
                <w:sz w:val="19"/>
                <w:szCs w:val="19"/>
              </w:rPr>
              <w:t xml:space="preserve">Snapshot script</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Judge Q&amp;A prepared</w:t>
            </w:r>
          </w:p>
        </w:tc>
        <w:tc>
          <w:tcPr>
            <w:tcW w:type="dxa" w:w="3226"/>
            <w:tcMar>
              <w:top w:type="dxa" w:w="85"/>
              <w:left w:type="dxa" w:w="125"/>
              <w:bottom w:type="dxa" w:w="85"/>
              <w:right w:type="dxa" w:w="125"/>
            </w:tcMar>
          </w:tcPr>
          <w:p>
            <w:pPr>
              <w:spacing w:after="0" w:line="252"/>
            </w:pPr>
            <w:r>
              <w:rPr>
                <w:rFonts w:ascii="Calibri" w:cs="Calibri" w:eastAsia="Calibri" w:hAnsi="Calibri"/>
                <w:b/>
                <w:bCs/>
                <w:color w:val="7A4F00"/>
                <w:sz w:val="19"/>
                <w:szCs w:val="19"/>
              </w:rPr>
              <w:t xml:space="preserve">~ </w:t>
            </w:r>
            <w:r>
              <w:rPr>
                <w:rFonts w:ascii="Calibri" w:cs="Calibri" w:eastAsia="Calibri" w:hAnsi="Calibri"/>
                <w:sz w:val="19"/>
                <w:szCs w:val="19"/>
              </w:rPr>
              <w:t xml:space="preserve">Answers drafted, not rehearsed</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Rule wording reviewed against authoritative source</w:t>
            </w:r>
          </w:p>
        </w:tc>
        <w:tc>
          <w:tcPr>
            <w:tcW w:type="dxa" w:w="3226"/>
            <w:tcMar>
              <w:top w:type="dxa" w:w="85"/>
              <w:left w:type="dxa" w:w="125"/>
              <w:bottom w:type="dxa" w:w="85"/>
              <w:right w:type="dxa" w:w="125"/>
            </w:tcMar>
          </w:tcPr>
          <w:p>
            <w:pPr>
              <w:spacing w:after="0" w:line="252"/>
            </w:pPr>
            <w:r>
              <w:rPr>
                <w:rFonts w:ascii="Calibri" w:cs="Calibri" w:eastAsia="Calibri" w:hAnsi="Calibri"/>
                <w:b/>
                <w:bCs/>
                <w:color w:val="A51D12"/>
                <w:sz w:val="19"/>
                <w:szCs w:val="19"/>
              </w:rPr>
              <w:t xml:space="preserve">✗ </w:t>
            </w:r>
            <w:r>
              <w:rPr>
                <w:rFonts w:ascii="Calibri" w:cs="Calibri" w:eastAsia="Calibri" w:hAnsi="Calibri"/>
                <w:sz w:val="19"/>
                <w:szCs w:val="19"/>
              </w:rPr>
              <w:t xml:space="preserve">Open</w:t>
            </w:r>
          </w:p>
        </w:tc>
      </w:tr>
      <w:tr>
        <w:tc>
          <w:tcPr>
            <w:tcW w:type="dxa" w:w="5800"/>
            <w:tcMar>
              <w:top w:type="dxa" w:w="85"/>
              <w:left w:type="dxa" w:w="125"/>
              <w:bottom w:type="dxa" w:w="85"/>
              <w:right w:type="dxa" w:w="125"/>
            </w:tcMar>
          </w:tcPr>
          <w:p>
            <w:pPr>
              <w:spacing w:after="0" w:line="252"/>
            </w:pPr>
            <w:r>
              <w:rPr>
                <w:rFonts w:ascii="Calibri" w:cs="Calibri" w:eastAsia="Calibri" w:hAnsi="Calibri"/>
                <w:sz w:val="19"/>
                <w:szCs w:val="19"/>
              </w:rPr>
              <w:t xml:space="preserve">Demo rehearsed four or more times</w:t>
            </w:r>
          </w:p>
        </w:tc>
        <w:tc>
          <w:tcPr>
            <w:tcW w:type="dxa" w:w="3226"/>
            <w:tcMar>
              <w:top w:type="dxa" w:w="85"/>
              <w:left w:type="dxa" w:w="125"/>
              <w:bottom w:type="dxa" w:w="85"/>
              <w:right w:type="dxa" w:w="125"/>
            </w:tcMar>
          </w:tcPr>
          <w:p>
            <w:pPr>
              <w:spacing w:after="0" w:line="252"/>
            </w:pPr>
            <w:r>
              <w:rPr>
                <w:rFonts w:ascii="Calibri" w:cs="Calibri" w:eastAsia="Calibri" w:hAnsi="Calibri"/>
                <w:b/>
                <w:bCs/>
                <w:color w:val="A51D12"/>
                <w:sz w:val="19"/>
                <w:szCs w:val="19"/>
              </w:rPr>
              <w:t xml:space="preserve">✗ </w:t>
            </w:r>
            <w:r>
              <w:rPr>
                <w:rFonts w:ascii="Calibri" w:cs="Calibri" w:eastAsia="Calibri" w:hAnsi="Calibri"/>
                <w:sz w:val="19"/>
                <w:szCs w:val="19"/>
              </w:rPr>
              <w:t xml:space="preserve">Not started</w:t>
            </w:r>
          </w:p>
        </w:tc>
      </w:tr>
    </w:tbl>
    <w:p>
      <w:pPr>
        <w:pStyle w:val="Heading1"/>
        <w:spacing w:after="150" w:before="340"/>
      </w:pPr>
      <w:r>
        <w:rPr>
          <w:rFonts w:ascii="Calibri" w:cs="Calibri" w:eastAsia="Calibri" w:hAnsi="Calibri"/>
          <w:b/>
          <w:bCs/>
          <w:color w:val="1F3D6B"/>
          <w:sz w:val="29"/>
          <w:szCs w:val="29"/>
        </w:rPr>
        <w:t xml:space="preserve">12. Immediate next steps</w:t>
      </w:r>
    </w:p>
    <w:p>
      <w:pPr>
        <w:pStyle w:val="ListParagraph"/>
        <w:numPr>
          <w:ilvl w:val="0"/>
          <w:numId w:val="2"/>
        </w:numPr>
        <w:spacing w:after="70" w:line="264"/>
      </w:pPr>
      <w:r>
        <w:rPr>
          <w:rFonts w:ascii="Calibri" w:cs="Calibri" w:eastAsia="Calibri" w:hAnsi="Calibri"/>
          <w:b/>
          <w:bCs/>
          <w:sz w:val="21"/>
          <w:szCs w:val="21"/>
        </w:rPr>
        <w:t xml:space="preserve">Deploy once, early. </w:t>
      </w:r>
      <w:r>
        <w:rPr>
          <w:rFonts w:ascii="Calibri" w:cs="Calibri" w:eastAsia="Calibri" w:hAnsi="Calibri"/>
          <w:sz w:val="21"/>
          <w:szCs w:val="21"/>
        </w:rPr>
        <w:t xml:space="preserve">Render plus Vercel plus Supabase, even with only the seeded cases. Finding a deployment problem the night before is avoidable.</w:t>
      </w:r>
    </w:p>
    <w:p>
      <w:pPr>
        <w:pStyle w:val="ListParagraph"/>
        <w:numPr>
          <w:ilvl w:val="0"/>
          <w:numId w:val="2"/>
        </w:numPr>
        <w:spacing w:after="70" w:line="264"/>
      </w:pPr>
      <w:r>
        <w:rPr>
          <w:rFonts w:ascii="Calibri" w:cs="Calibri" w:eastAsia="Calibri" w:hAnsi="Calibri"/>
          <w:b/>
          <w:bCs/>
          <w:sz w:val="21"/>
          <w:szCs w:val="21"/>
        </w:rPr>
        <w:t xml:space="preserve">Resolve registry access. </w:t>
      </w:r>
      <w:r>
        <w:rPr>
          <w:rFonts w:ascii="Calibri" w:cs="Calibri" w:eastAsia="Calibri" w:hAnsi="Calibri"/>
          <w:sz w:val="21"/>
          <w:szCs w:val="21"/>
        </w:rPr>
        <w:t xml:space="preserve">Whether e-Maap/CLMS data is obtainable decides whether the official layer is live or cached-with-documented-source. Better known this week.</w:t>
      </w:r>
    </w:p>
    <w:p>
      <w:pPr>
        <w:pStyle w:val="ListParagraph"/>
        <w:numPr>
          <w:ilvl w:val="0"/>
          <w:numId w:val="2"/>
        </w:numPr>
        <w:spacing w:after="70" w:line="264"/>
      </w:pPr>
      <w:r>
        <w:rPr>
          <w:rFonts w:ascii="Calibri" w:cs="Calibri" w:eastAsia="Calibri" w:hAnsi="Calibri"/>
          <w:b/>
          <w:bCs/>
          <w:sz w:val="21"/>
          <w:szCs w:val="21"/>
        </w:rPr>
        <w:t xml:space="preserve">Build the labelled image set. </w:t>
      </w:r>
      <w:r>
        <w:rPr>
          <w:rFonts w:ascii="Calibri" w:cs="Calibri" w:eastAsia="Calibri" w:hAnsi="Calibri"/>
          <w:sz w:val="21"/>
          <w:szCs w:val="21"/>
        </w:rPr>
        <w:t xml:space="preserve">Thirty to fifty real packaged-product photos with ground truth. Nothing on the model side can be measured without it.</w:t>
      </w:r>
    </w:p>
    <w:p>
      <w:pPr>
        <w:pStyle w:val="ListParagraph"/>
        <w:numPr>
          <w:ilvl w:val="0"/>
          <w:numId w:val="2"/>
        </w:numPr>
        <w:spacing w:after="70" w:line="264"/>
      </w:pPr>
      <w:r>
        <w:rPr>
          <w:rFonts w:ascii="Calibri" w:cs="Calibri" w:eastAsia="Calibri" w:hAnsi="Calibri"/>
          <w:b/>
          <w:bCs/>
          <w:sz w:val="21"/>
          <w:szCs w:val="21"/>
        </w:rPr>
        <w:t xml:space="preserve">Claim the font-size checks. </w:t>
      </w:r>
      <w:r>
        <w:rPr>
          <w:rFonts w:ascii="Calibri" w:cs="Calibri" w:eastAsia="Calibri" w:hAnsi="Calibri"/>
          <w:sz w:val="21"/>
          <w:szCs w:val="21"/>
        </w:rPr>
        <w:t xml:space="preserve">It is the most visible remaining gap against the problem statement.</w:t>
      </w:r>
    </w:p>
    <w:p>
      <w:pPr>
        <w:pStyle w:val="ListParagraph"/>
        <w:numPr>
          <w:ilvl w:val="0"/>
          <w:numId w:val="2"/>
        </w:numPr>
        <w:spacing w:after="70" w:line="264"/>
      </w:pPr>
      <w:r>
        <w:rPr>
          <w:rFonts w:ascii="Calibri" w:cs="Calibri" w:eastAsia="Calibri" w:hAnsi="Calibri"/>
          <w:b/>
          <w:bCs/>
          <w:sz w:val="21"/>
          <w:szCs w:val="21"/>
        </w:rPr>
        <w:t xml:space="preserve">Rehearse with the network off. </w:t>
      </w:r>
      <w:r>
        <w:rPr>
          <w:rFonts w:ascii="Calibri" w:cs="Calibri" w:eastAsia="Calibri" w:hAnsi="Calibri"/>
          <w:sz w:val="21"/>
          <w:szCs w:val="21"/>
        </w:rPr>
        <w:t xml:space="preserve">The system supports it and the tests prove it; the team still needs the practice.</w:t>
      </w:r>
    </w:p>
    <w:p>
      <w:pPr>
        <w:spacing w:after="150"/>
      </w:pPr>
      <w:r>
        <w:t xml:space="preserve"/>
      </w:r>
    </w:p>
    <w:tbl>
      <w:tblPr>
        <w:tblW w:type="dxa" w:w="9026"/>
        <w:tblBorders>
          <w:top w:val="single" w:color="D7DCE3" w:sz="2"/>
          <w:left w:val="single" w:color="1F3D6B" w:sz="12"/>
          <w:bottom w:val="single" w:color="D7DCE3" w:sz="2"/>
          <w:right w:val="single" w:color="D7DCE3" w:sz="2"/>
          <w:insideH w:val="none"/>
          <w:insideV w:val="none"/>
        </w:tblBorders>
      </w:tblPr>
      <w:tblGrid>
        <w:gridCol w:w="9026"/>
      </w:tblGrid>
      <w:tr>
        <w:tc>
          <w:tcPr>
            <w:tcW w:type="dxa" w:w="9026"/>
            <w:shd w:fill="EEF3FA"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Honesty statement for judges (from the build manual):  </w:t>
            </w:r>
            <w:r>
              <w:rPr>
                <w:rFonts w:ascii="Calibri" w:cs="Calibri" w:eastAsia="Calibri" w:hAnsi="Calibri"/>
                <w:sz w:val="21"/>
                <w:szCs w:val="21"/>
              </w:rPr>
              <w:t xml:space="preserve">"This prototype demonstrates the verification workflow on our prepared cases. OCR and source availability are not perfect, so low-confidence or missing evidence is explicitly routed to review rather than being treated as compliant. The legal rule set is configurable and should be validated against the authoritative current rules before production deployment."</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2026-09-13T15:51:54.250Z</dcterms:created>
  <dcterms:modified xsi:type="dcterms:W3CDTF">2026-09-13T15:51:54.262Z</dcterms:modified>
</cp:coreProperties>
</file>

<file path=docProps/custom.xml><?xml version="1.0" encoding="utf-8"?>
<Properties xmlns="http://schemas.openxmlformats.org/officeDocument/2006/custom-properties" xmlns:vt="http://schemas.openxmlformats.org/officeDocument/2006/docPropsVTypes"/>
</file>