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ADF Foods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ADFFOODS | Ethnic/frozen foods exporter, ~Rs 2,853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2,853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21.8% / 17.7%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29.5x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Results</w:t>
            </w:r>
          </w:p>
        </w:tc>
        <w:tc>
          <w:tcPr>
            <w:tcW w:type="dxa" w:w="5800"/>
          </w:tcPr>
          <w:p>
            <w:r>
              <w:t xml:space="preserve">Revenue +25.9% YoY (Rs 1,672.9 lakh); Profit +13.4% YoY (Rs 172.9 lakh) - profit growth lagging revenue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capital efficiency (ROCE 21.8%, ROE 17.7%) with genuine double-digit revenue growth, but profit growth (13.4%) is lagging revenue growth (25.9%) - consistent with the source sheet's own note of a sequential profit decline and margin/guidance questions despite the new Surat plant capacity addition.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source sheet notes a price reaction to the sequential profit softness.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sheet's own framing (results-focused discussion, sequential profit decline drawing commentary) suggests a genuine, unresolved bull/bear debate rather than one-sided conviction.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New Surat plant and tariff-refund notes cited in source sheet - real capacity/margin developments to track, no red flag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ROCE/ROE (21.8%/17.7%)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double-digit revenue growth (+25.9%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Surat plant adds capacity for further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Diversified, recognizable ethnic-food export brand portfolio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growth (13.4%) lagging revenue growth (25.9%) - a margin/quality concern flagged by the source sheet itself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of 29.5x needs the margin gap to close, not widen, to be justified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Export/tariff exposure noted as a specific watch item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2,853 Cr) - genuine headroom with a real, if currently mixed, growth-vs-margin picture.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 capital efficiency with a margin question mark - worth watching for the gap to close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(ROCE/ROE) are genuinely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revenue-vs-profit growth gap is the key thing to monitor before upgrading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capacity (Surat plant) could help resolve the margin question if utilized well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2026-08-14T15:30:36.746Z</dcterms:created>
  <dcterms:modified xsi:type="dcterms:W3CDTF">2026-08-14T15:30:36.751Z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