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Accel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BSE: ACCEL | Deep-value microcap - IT services, animation, engineering, realty, academics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 diversified, multi-segment small company (incorporated 1991) spanning IT services (cloud, security, RIM, managed print, system integration, cybersecurity), animation/media, engineering, realty and academic businesses.</w:t>
      </w:r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>
        <w:t xml:space="preserve">Source sheet grouped it with Hitech Gear and Samkrg Pistons as having 'lower relative emphasis or more critical/neutral tone' - consistent with what this research found: a statistically cheap but fundamentally unexciting, technically weak stock.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CMP (approx.)</w:t>
            </w:r>
          </w:p>
        </w:tc>
        <w:tc>
          <w:tcPr>
            <w:tcW w:type="dxa" w:w="5800"/>
          </w:tcPr>
          <w:p>
            <w:r>
              <w:t xml:space="preserve">Rs 12.75 (penny-stock price range)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74.4 Cr (microcap)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11.3x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Price/Book</w:t>
            </w:r>
          </w:p>
        </w:tc>
        <w:tc>
          <w:tcPr>
            <w:tcW w:type="dxa" w:w="5800"/>
          </w:tcPr>
          <w:p>
            <w:r>
              <w:t xml:space="preserve">1.08x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7.19% / 9.72%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Sales Growth 3yr/5yr/TTM (CAGR)</w:t>
            </w:r>
          </w:p>
        </w:tc>
        <w:tc>
          <w:tcPr>
            <w:tcW w:type="dxa" w:w="5800"/>
          </w:tcPr>
          <w:p>
            <w:r>
              <w:t xml:space="preserve">2% / 18% / 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 3yr/5yr/TTM (CAGR)</w:t>
            </w:r>
          </w:p>
        </w:tc>
        <w:tc>
          <w:tcPr>
            <w:tcW w:type="dxa" w:w="5800"/>
          </w:tcPr>
          <w:p>
            <w:r>
              <w:t xml:space="preserve">32% / 27% / 425% (TTM inflated by a low comparison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Rs 63 Cr borrowings - meaningful for a Rs 74 Cr market cap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71.40%, 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Latest Quarters (Rev / PAT, Rs Cr)</w:t>
            </w:r>
          </w:p>
        </w:tc>
        <w:tc>
          <w:tcPr>
            <w:tcW w:type="dxa" w:w="5800"/>
          </w:tcPr>
          <w:p>
            <w:r>
              <w:t xml:space="preserve">Q4 FY26: 41.34 / 3.49 | Q3 FY26: 40.28 / -0.15 | Q2 FY26: 39.07 / 1.20 | Q1 FY26: 46.12 / -0.08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Statistically cheap (P/E 11.3x, P/B 1.08x, dividend yield 2.35%) but the underlying business is not compelling: sales growth is essentially flat (2% 3yr, 1% TTM), ROCE/ROE are both weak (7-10%), and 2 of the last 4 quarters were loss-making. Debt of Rs 63 Cr is large relative to the Rs 74 Cr market cap. This looks more like a statistically cheap, unloved diversified holding company than a growth story.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Weekly: MACD Level -0.08 (technically Buy but negligible), RSI(14) 50.7 (neutral), short-term moving averages (10-30 period) Buy while longer ones (50-200) Sell - a small bounce within a larger downtrend. Monthly: MACD Level -1.87 (Sell), RSI(14) 42.0 (neutral, leaning weak), moving averages overwhelmingly Sell (13 of 14 available) - confirms a stock in a genuine, established monthly downtrend with only a minor recent weekly bounce. Read: this is one of the technically weakest names researched so far - no evidence of a re-rating in progress on either timeframe.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 dedicated recent high-engagement ValuePickr or X discussion was identified in this pass, consistent with the source sheet's own framing of 'lower relative emphasis or more critical/neutral tone.'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red flags found; promoter holding stable at a healthy 71.4%. No specific catalysts or corporate actions were identified in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Statistically cheap on both P/E (11.3x) and P/B (1.08x), with a modest dividend yield (2.35%)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High, stable promoter holding (71.4%)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business mix could offer optionality if any one segment (e.g., realty) has hidden value not reflected in the consolidated numbers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Essentially flat organic growth (2% 3yr sales CAGR) - this is a statistically cheap stock, not a growth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ROCE/ROE (7-10%) and 2 loss-making quarters out of the last 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Meaningful debt load (Rs 63 Cr) relative to market cap (Rs 74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Technicals are weak on both timeframes - no evidence of the kind of re-rating momentum seen in stronger names in this batch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community catalyst or thesis was found to explain why this specific cheapness should resolve upward rather than persist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Microcap (~Rs 74 Cr) - genuine size headroom, but no visible catalyst or momentum to drive a re-rating.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Statistically cheap, fundamentally and technically unexciting - not a 10x candidate without a specific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 momentum: Weak - flat growth, weak returns on capital, recent loss-making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runway: Good on paper (cheap multiples) but value traps are common in this profile without a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headroom: Good - genuine microcap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 posture: Weak - established monthly downtrend, only a minor weekly bounce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Catalyst clarity: Weak - no specific named catalyst identified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Quality/governance: Neutral - no red flags, but debt load is meaningful relative to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Liquidity/float: Likely thin given the sub-Rs 15 share price and small market 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Conviction/sentiment signal: Weak - the source sheet itself flagged low community conviction, and this research found nothing to override that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2026-08-10T16:46:34.246Z</dcterms:created>
  <dcterms:modified xsi:type="dcterms:W3CDTF">2026-08-10T16:46:34.250Z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