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Asahi Songwon Colors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ASAHISONG | Microcap pigment manufacturer, Ahmedabad, Gujarat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in 1990, Asahi Songwon is a leading manufacturer of blue (Phthalocyanine) pigments - CPC Blue Crude, Pigment Alpha/Beta Blue - for ink, plastics, paint, textile and paper industries, and has expanded into yellow/red/orange (AZO) pigments and APIs.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grouped it with Gujarat Containers as having 'similar solid engagement levels on positive results posts.' ValuePickr has a long-running thread ('Asahi Songwon - Steady Performer') reflecting a multi-year value-investor following.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366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431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12.4x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1.59x (Book Value Rs 230)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8.49% / 7.13%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2% / 14% / -1%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53% / -8% / 96%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~0.53x (Rs 143 Cr debt / Rs 272 Cr equity)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67.00%, steady uptrend from 65.28% (2017)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Quarters (Rev / PAT, Rs Cr)</w:t>
            </w:r>
          </w:p>
        </w:tc>
        <w:tc>
          <w:tcPr>
            <w:tcW w:type="dxa" w:w="5800"/>
          </w:tcPr>
          <w:p>
            <w:r>
              <w:t xml:space="preserve">Q1 FY27 (Jun'26): 189 / 19 | Q4 FY26 (Mar'26): 144 / 11 | Q3 FY26 (Dec'25): 121 / 2 | Q2 FY26 (Sep'25): 121 / 2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 profit inflection is visible in the last two quarters (PAT jumped from Rs 2 Cr to Rs 11 Cr to Rs 19 Cr sequentially) even as TTM sales growth is flat-to-slightly-negative - meaning the improvement is margin-driven, not volume-driven, which is a meaningfully different (and less certain) story than a demand-led recovery. Screener flags a low 3-year ROE (~5%) and a note that the company 'might be capitalizing the interest cost' - worth independent verification as it can flatter reported profit if true. Reasonable P/B (1.6x) for a business showing genuine margin recovery.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+31.11 (Buy), RSI(14) 67.5 (neutral, not yet overbought), price above every major moving average from the 20-period through 200-week (a broad, healthy uptrend rather than an extreme spike). Monthly: MACD Level -8.33 but with a Buy action (MACD has just crossed above its signal line from below), RSI(14) 56.3 (neutral), price above all available moving averages (10 through 100-month; 200-month not yet available). Read: this is a more moderate, less overbought setup than several other names in this batch - both timeframes show a genuine uptrend without extreme stretched oscillator readings, and the monthly MACD cross-up suggests the move may still be in an earlier innings rather than fully played out.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ValuePickr has a long-standing thread ('Asahi Songwon - Steady Performer') reflecting durable value-investor interest going back years, consistent with a business the community views as a steady, unglamorous compounder rather than a speculative story. No dedicated recent bear-case thread content was surfaced in this pass beyond the standard capital-efficiency concerns visible in the numbers themselves; X/Twitter-specific commentary was not found separately from the general results coverage.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SEBI action, pledging, or governance red flags found - the company explicitly confirmed non-applicability of SEBI's Large Corporate framework (borrowings below the prescribed threshold), and promoter holding has been steadily rising for nearly a decade, a constructive long-term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Clear, recent margin-driven profit inflection (PAT roughly 10x sequentially over 2 quarters) even without volume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Long-tenured ValuePickr community following as a 'steady performer' - not a fresh speculative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has risen steadily for close to a decade (65.3% to 67.0%) - a durable ownership-alignment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valuation (P/B 1.6x, P/E 12.4x) relative to businesses showing similar re-rating potential elsewhere in this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setup is a genuine uptrend without the extreme overbought readings seen in several other names - potentially earlier in its move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sales growth is flat-to-negative - the recent profit jump is margin/cost driven, which is inherently less durable than demand-led growth until proven over more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Screener's flag about possible interest-cost capitalization is a real accounting-quality question that needs independent verification before high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profit CAGR is negative (-8%) - like several names in this batch, the recent quarters are the exception, not yet the established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(~7%) remains below what a demanding investor would want for a compounder, even after the recent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of ~0.53x is manageable but not negligible for a microcap pigment manufacturer exposed to commodity input-cost swings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431 Cr) - genuine size headroom for a 10x thesis if the margin improvement proves durable.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Plausible margin-recovery candidate - needs the accounting-quality question answered and a few more clean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Medium - real, sharp PAT improvement, but margin-driven rather than volume-driven and only 2 quarters 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Good - P/B of 1.6x is not demanding for a business showing this kind of profit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Good - genuine microcap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Good - healthy uptrend on both timeframes without extreme overbought stretch, potentially earlier-stage than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Medium - no single named catalyst; this is a margin-normalization story that needs numbers to keep confirming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Medium - no red flags, rising promoter holding is constructive, but the interest-capitalization flag needs independent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Reasonable - long-established NSE listing with multi-year trading and community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Medium - durable long-term ValuePickr following, but no fresh high-conviction 'invested' language found in this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2026-08-09T17:59:53.536Z</dcterms:created>
  <dcterms:modified xsi:type="dcterms:W3CDTF">2026-08-09T17:59:53.541Z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