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Azad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AZAD | EXCLUDED - already large-cap (~Rs 17,573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17,573 Cr (large-cap, +75.2%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638 Cr / Rs 139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11.5x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55.8%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underlying catalysts (DRDO turbo-jet delivery, long-term Mitsubishi contract) are genuinely rare and specific - among the most concrete catalysts in the entire source dataset. But at Rs 17,573 Cr, already large-cap - the +75.2% 1-year run has already captured much of this re-rating.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momentum (+75.2% 1yr), consistent with the source sheet's high-engagement, high-conviction framing.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Explicit, repeated 'We are invested'/'I'm invested' language from a high-conviction curator, backed by concrete, verifiable operational milestones rather than speculation.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exclusion; catalysts (DRDO delivery, Mitsubishi contract) are independently newsworthy, verifiable events per the source sheet.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Among the most concrete, verifiable catalysts in the entire dataset (DRDO delivery, 8-year Mitsubishi 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 capability positioning (one of few global firms making certain airfoil components)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curator conviction with real capital commitment language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17,573 Cr) - a 10x within 2-3 years is not realistic at this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Much of the catalyst-driven re-rating has already occurred (+75.2% over the past year)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17,573 Cr) - excluded on size grounds alone; the catalysts are genuine but arrived after most of the re-rating already happened.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genuinely excellent catalysts, but already large-cap and largely re-rated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for a 10x-specifically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one of the highest-quality stories in the source data, just not sized for this particular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2026-08-14T15:34:39.683Z</dcterms:created>
  <dcterms:modified xsi:type="dcterms:W3CDTF">2026-08-14T15:34:39.689Z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