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Balaji Amines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BSE: 530999 | EXCLUDED - already upper-midcap (~Rs 6,772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6,772 Cr (upper-midcap)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Catalyst</w:t>
            </w:r>
          </w:p>
        </w:tc>
        <w:tc>
          <w:tcPr>
            <w:tcW w:type="dxa" w:w="5800"/>
          </w:tcPr>
          <w:p>
            <w:r>
              <w:t xml:space="preserve">India's first commercial-scale DME plant (Solapur, 1,00,000 MT/yr capacity, commissioned May 2026)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differentiated catalyst (first-mover DME capacity in India) and real recent profit momentum, but already an upper-midcap at ~Rs 6,772 Cr - a 10x within 2-3 years is a very high bar even with a strong catalyst.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independently re-verified this pass; source sheet notes 'large YTD gains,' consistent with the DME-driven re-rating already underway.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Source sheet's own commentary was already detailed and positive on this name; this research adds confirmation of the size constraint on top of that thesis.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first-mover advantage: only Indian company with commercial-scale DME production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recent profit growth and margin expansion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EV-related and specialty-chemicals tailwinds noted in source sheet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upper-midcap (~Rs 6,772 Cr) - a 10x from here is a very high bar even with a strong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Much of the DME-related re-rating may already be reflected in the large YTD gains cited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Upper-midcap (~Rs 6,772 Cr) - excluded on size grounds despite a genuinely strong, specific catalyst.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strong catalyst but size limits a genuine 10x outcome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is the binding constraint despite real business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DME first-mover story is legitimate but better suited to a multi-x, not 10x, framework at this size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2026-08-14T15:29:42.279Z</dcterms:created>
  <dcterms:modified xsi:type="dcterms:W3CDTF">2026-08-14T15:29:42.283Z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