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Edelweiss Financial Services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EDELWEISS | EXCLUDED - already large-cap (~Rs 11,228-11,406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11,228-11,406 Cr (large-cap)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Net Profit</w:t>
            </w:r>
          </w:p>
        </w:tc>
        <w:tc>
          <w:tcPr>
            <w:tcW w:type="dxa" w:w="5800"/>
          </w:tcPr>
          <w:p>
            <w:r>
              <w:t xml:space="preserve">Rs 546.63 Cr, +37.06% YoY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Already a Rs 11,000+ Cr large-cap diversified financial group - structurally outside the scope of a 10x-in-2-3-years microcap thesis, despite genuinely strong recent profit growth.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researched - excluded on size grounds.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strong recent profit growth (+37%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financial services franchise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(Rs 11,228-11,406 Cr) - structurally excluded from a 10x-in-2-3-years microcap thesis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11,228-11,406 Cr) - excluded on size grounds alone.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large-cap, not a 10x candidate on market-cap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 despite strong recent profit growth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2026-08-14T16:53:44.654Z</dcterms:created>
  <dcterms:modified xsi:type="dcterms:W3CDTF">2026-08-14T16:53:44.659Z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