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Entero Healthcare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ENTERO | EXCLUDED - already upper-midcap (~Rs 6,210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6,210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10.5-21% / 6.9-20.4% (volatile across periods, likely settling toward the lower end)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57.3%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Growth</w:t>
            </w:r>
          </w:p>
        </w:tc>
        <w:tc>
          <w:tcPr>
            <w:tcW w:type="dxa" w:w="5800"/>
          </w:tcPr>
          <w:p>
            <w:r>
              <w:t xml:space="preserve">+29.3% (Rs 6,591 Cr); EBITDA margin only ~4% (typical for distribution)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historical growth (57.3% 5yr profit CAGR, +29.3% FY26 revenue) but this is a low-margin distribution business (EBITDA margin ~4%) at a scale (Rs 6,591 Cr revenue) that already places it well above the curator's own stated size preference and this project's microcap/midcap 10x screen.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MarketsMojo coverage shows repeated valuation-sentiment shifts (attractive, then fair, then volatile) - a genuinely mixed, actively-repriced stock rather than a settled 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curator's explicit non-ownership disclosure and stated size preference (&lt;Rs 1,000 Cr) is itself the most useful signal here - even the source material doesn't argue this fits a microcap framework.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Top-3 distribution scale in Indian pharma/surgical products with real historical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understanding-in-depth from the curator (studied for months) even without ownership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6,210 Cr) - the curator's own stated preference is for companies well below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Distribution-business economics carry structurally thin margins (~4% EBITDA)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6,210 Cr) - excluded on size grounds, consistent with the curator's own disclosed size preference.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large-cap-adjacent, and even its own admiring curator doesn't hold a position due to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the 10x-in-2-3-years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material's own size-preference disclosure independently corroborates this exclusion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2026-08-14T15:56:28.900Z</dcterms:created>
  <dcterms:modified xsi:type="dcterms:W3CDTF">2026-08-14T15:56:28.903Z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