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Fredun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FREDUN | Formulation manufacturer, ~Rs 2,560 Cr - listed status CONFIRMED (was flagged as possibly unlisted)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2,560 Cr (smallcap/lower-midcap)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57.6x / 9.11x (very 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21.5% / 15.8%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(3yr/5yr/TTM)</w:t>
            </w:r>
          </w:p>
        </w:tc>
        <w:tc>
          <w:tcPr>
            <w:tcW w:type="dxa" w:w="5800"/>
          </w:tcPr>
          <w:p>
            <w:r>
              <w:t xml:space="preserve">Sales: 32%/37%/50%; Profit: 45%/75%/90% - exceptional across every horizon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Quality Flags</w:t>
            </w:r>
          </w:p>
        </w:tc>
        <w:tc>
          <w:tcPr>
            <w:tcW w:type="dxa" w:w="5800"/>
          </w:tcPr>
          <w:p>
            <w:r>
              <w:t xml:space="preserve">Negative FCF (-Rs 57 Cr FY26); cash conversion cycle deteriorated to 201 days; negative operating cash flow (-Rs 21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44.57%, down from ~49.6% over 3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numbers genuinely justify the curator's enthusiasm - this is exceptional, broad-based, accelerating growth (90% TTM profit growth). But Screener flags real cash-flow quality concerns beneath that growth: negative free cash flow, a working-capital cycle that has stretched to 201 days, and gradual promoter dilution (-5 percentage points over 3 years) - a combination worth reconciling with the growth story before assuming it's fully clean. Valuation (P/E 57.6x, P/B 9.1x) already prices in a lot of continued execution.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Extremely high curator conviction (~90% portfolio concentration across Fredun + Technvision, admiring founder commentary) - among the strongest personal conviction signals in the entire source dataset.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Promoter holding decline (-5.05 percentage points over 3 years) is disclosed and real, though moderate in magnitude; no other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Exceptional, accelerating growth across every horizon (sales +50% TTM, profit +90% TTM)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historical execution track record (~Rs 50 Cr to ~Rs 1,000 Cr ARR over a decade, per curator)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high curator conviction with real capital concentration (~90% of portfolio)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smallcap/lower-midcap size with real headroom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free cash flow and deteriorating working capital (201-day cash conversion cycle) despite strong reported profit growth - a real quality-of-earnings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rich valuation (P/E 57.6x, P/B 9.1x) leaves little room for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Gradual promoter stake reduction over 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Single-curator concentration risk - the extreme conviction (90% portfolio) is a two-edged signal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Smallcap/lower-midcap (~Rs 2,560 Cr) - genuine headroom, contingent on resolving the cash-flow quality question.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growth headline with a real cash-flow quality question mark - verify before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numbers are genuinely exceptional across every horizon, supporting the curator's strong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FCF and stretching working capital alongside strong reported profit is the key thing to independently verify - this pattern deserves scrutiny, not automatic dismissal or automatic acceptance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means the market has already priced in continued flawless execution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2026-08-14T15:59:33.158Z</dcterms:created>
  <dcterms:modified xsi:type="dcterms:W3CDTF">2026-08-14T15:59:33.158Z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