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Galaxy Supermarket Ltd (Galaxy Cloud Kitchens Ltd)</w:t>
      </w:r>
    </w:p>
    <w:p>
      <w:pPr>
        <w:pBdr>
          <w:bottom w:val="single" w:color="CCCCCC" w:sz="6" w:space="8"/>
        </w:pBdr>
        <w:spacing w:after="200"/>
      </w:pPr>
      <w:r>
        <w:rPr>
          <w:i/>
          <w:iCs/>
          <w:color w:val="666666"/>
          <w:sz w:val="22"/>
          <w:szCs w:val="22"/>
        </w:rPr>
        <w:t xml:space="preserve">BSE: GSLTD/GCKL (506186) | Cloud kitchens/food products, ~Rs 85 Cr - SEVERE FINANCIAL DISTRESS, listed status confirmed</w:t>
      </w:r>
    </w:p>
    <w:p>
      <w:pPr>
        <w:pStyle w:val="Heading1"/>
        <w:spacing w:after="120" w:before="280"/>
      </w:pPr>
      <w:r>
        <w:t xml:space="preserve">Business Overview</w:t>
      </w:r>
    </w:p>
    <w:p>
      <w:pPr>
        <w:spacing w:after="120"/>
      </w:pPr>
      <w:r/>
    </w:p>
    <w:p>
      <w:pPr>
        <w:pStyle w:val="Heading1"/>
        <w:spacing w:after="120" w:before="280"/>
      </w:pPr>
      <w:r>
        <w:t xml:space="preserve">Source / Conviction Notes (from original sheet)</w:t>
      </w:r>
    </w:p>
    <w:p>
      <w:pPr>
        <w:spacing w:after="120"/>
      </w:pPr>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85 Cr (microcap)</w:t>
            </w:r>
          </w:p>
        </w:tc>
      </w:tr>
      <w:tr>
        <w:tc>
          <w:tcPr>
            <w:tcW w:type="dxa" w:w="3200"/>
            <w:shd w:fill="F2F2F2" w:val="clear"/>
          </w:tcPr>
          <w:p>
            <w:r>
              <w:rPr>
                <w:b/>
                <w:bCs/>
              </w:rPr>
              <w:t xml:space="preserve">3yr/5yr Sales CAGR</w:t>
            </w:r>
          </w:p>
        </w:tc>
        <w:tc>
          <w:tcPr>
            <w:tcW w:type="dxa" w:w="5800"/>
          </w:tcPr>
          <w:p>
            <w:r>
              <w:t xml:space="preserve">-11.75% / -25.99% - genuine historical capital destruction, not growth</w:t>
            </w:r>
          </w:p>
        </w:tc>
      </w:tr>
      <w:tr>
        <w:tc>
          <w:tcPr>
            <w:tcW w:type="dxa" w:w="3200"/>
            <w:shd w:fill="F2F2F2" w:val="clear"/>
          </w:tcPr>
          <w:p>
            <w:r>
              <w:rPr>
                <w:b/>
                <w:bCs/>
              </w:rPr>
              <w:t xml:space="preserve">ROE</w:t>
            </w:r>
          </w:p>
        </w:tc>
        <w:tc>
          <w:tcPr>
            <w:tcW w:type="dxa" w:w="5800"/>
          </w:tcPr>
          <w:p>
            <w:r>
              <w:t xml:space="preserve">0.0% average - reflects a negative equity position</w:t>
            </w:r>
          </w:p>
        </w:tc>
      </w:tr>
      <w:tr>
        <w:tc>
          <w:tcPr>
            <w:tcW w:type="dxa" w:w="3200"/>
            <w:shd w:fill="F2F2F2" w:val="clear"/>
          </w:tcPr>
          <w:p>
            <w:r>
              <w:rPr>
                <w:b/>
                <w:bCs/>
              </w:rPr>
              <w:t xml:space="preserve">Book Value</w:t>
            </w:r>
          </w:p>
        </w:tc>
        <w:tc>
          <w:tcPr>
            <w:tcW w:type="dxa" w:w="5800"/>
          </w:tcPr>
          <w:p>
            <w:r>
              <w:t xml:space="preserve">NEGATIVE - accumulated losses have wiped out shareholder equity entirely</w:t>
            </w:r>
          </w:p>
        </w:tc>
      </w:tr>
      <w:tr>
        <w:tc>
          <w:tcPr>
            <w:tcW w:type="dxa" w:w="3200"/>
            <w:shd w:fill="F2F2F2" w:val="clear"/>
          </w:tcPr>
          <w:p>
            <w:r>
              <w:rPr>
                <w:b/>
                <w:bCs/>
              </w:rPr>
              <w:t xml:space="preserve">Q2 FY26</w:t>
            </w:r>
          </w:p>
        </w:tc>
        <w:tc>
          <w:tcPr>
            <w:tcW w:type="dxa" w:w="5800"/>
          </w:tcPr>
          <w:p>
            <w:r>
              <w:t xml:space="preserve">Revenue +85% YoY but MarketsMojo headlined it 'Revenue Surge Masks Profitability Collapse'</w:t>
            </w:r>
          </w:p>
        </w:tc>
      </w:tr>
      <w:tr>
        <w:tc>
          <w:tcPr>
            <w:tcW w:type="dxa" w:w="3200"/>
            <w:shd w:fill="F2F2F2" w:val="clear"/>
          </w:tcPr>
          <w:p>
            <w:r>
              <w:rPr>
                <w:b/>
                <w:bCs/>
              </w:rPr>
              <w:t xml:space="preserve">Q4 FY26</w:t>
            </w:r>
          </w:p>
        </w:tc>
        <w:tc>
          <w:tcPr>
            <w:tcW w:type="dxa" w:w="5800"/>
          </w:tcPr>
          <w:p>
            <w:r>
              <w:t xml:space="preserve">Separately headlined 'Revenue Surge Masks Margin Erosion and Structural Concerns' by MarketsMojo</w:t>
            </w:r>
          </w:p>
        </w:tc>
      </w:tr>
    </w:tbl>
    <w:p>
      <w:pPr>
        <w:spacing w:after="100"/>
      </w:pPr>
    </w:p>
    <w:p>
      <w:pPr>
        <w:spacing w:after="120"/>
      </w:pPr>
      <w:r>
        <w:t xml:space="preserve">This is a severely distressed company: negative book value means accumulated losses have completely wiped out shareholder equity, and the 3-5 year CAGRs are deeply negative, indicating years of capital destruction, not growth. Recent quarters show headline revenue surges, but TWO separate MarketsMojo headlines in successive quarters explicitly warn these surges 'mask' profitability collapse and margin erosion - an independent, repeated red flag, not a one-off.</w:t>
      </w:r>
    </w:p>
    <w:p>
      <w:pPr>
        <w:pStyle w:val="Heading1"/>
        <w:spacing w:after="120" w:before="280"/>
      </w:pPr>
      <w:r>
        <w:t xml:space="preserve">Technical Read (Weekly / Monthly)</w:t>
      </w:r>
    </w:p>
    <w:p>
      <w:pPr>
        <w:spacing w:after="120"/>
      </w:pPr>
      <w:r>
        <w:t xml:space="preserve">Extreme volatility evident in cited prices ranging from ~Rs 18 to ~Rs 49 across different reference points - a highly unstable penny-stock-range name.</w:t>
      </w:r>
    </w:p>
    <w:p>
      <w:pPr>
        <w:pStyle w:val="Heading1"/>
        <w:spacing w:after="120" w:before="280"/>
      </w:pPr>
      <w:r>
        <w:t xml:space="preserve">ValuePickr + X Sentiment</w:t>
      </w:r>
    </w:p>
    <w:p>
      <w:pPr>
        <w:spacing w:after="120"/>
      </w:pPr>
      <w:r>
        <w:t xml:space="preserve">Source sheet's 'study purposes only' framing (not a conviction pick) was appropriately cautious - this research finds serious, independently-corroborated distress signals.</w:t>
      </w:r>
    </w:p>
    <w:p>
      <w:pPr>
        <w:pStyle w:val="Heading1"/>
        <w:spacing w:after="120" w:before="280"/>
      </w:pPr>
      <w:r>
        <w:t xml:space="preserve">BSE Corporate Actions / Red Flags</w:t>
      </w:r>
    </w:p>
    <w:p>
      <w:pPr>
        <w:spacing w:after="120"/>
      </w:pPr>
      <w:r>
        <w:t xml:space="preserve">Negative book value severely limits the company's access to capital markets and financial flexibility - a structural, not cyclical, problem.</w:t>
      </w:r>
    </w:p>
    <w:p>
      <w:pPr>
        <w:pStyle w:val="Heading1"/>
        <w:spacing w:after="120" w:before="280"/>
      </w:pPr>
      <w:r>
        <w:t xml:space="preserve">Bull Case</w:t>
      </w:r>
    </w:p>
    <w:p>
      <w:pPr>
        <w:pStyle w:val="ListParagraph"/>
        <w:numPr>
          <w:ilvl w:val="0"/>
          <w:numId w:val="1"/>
        </w:numPr>
        <w:spacing w:after="60"/>
      </w:pPr>
      <w:r>
        <w:t xml:space="preserve">Recent quarters show large headline revenue growth (+85% YoY in one quarter)</w:t>
      </w:r>
    </w:p>
    <w:p>
      <w:pPr>
        <w:pStyle w:val="Heading1"/>
        <w:spacing w:after="120" w:before="280"/>
      </w:pPr>
      <w:r>
        <w:t xml:space="preserve">Bear Case / Key Risks</w:t>
      </w:r>
    </w:p>
    <w:p>
      <w:pPr>
        <w:pStyle w:val="ListParagraph"/>
        <w:numPr>
          <w:ilvl w:val="0"/>
          <w:numId w:val="1"/>
        </w:numPr>
        <w:spacing w:after="60"/>
      </w:pPr>
      <w:r>
        <w:t xml:space="preserve">Negative book value - accumulated losses have wiped out all shareholder equity</w:t>
      </w:r>
    </w:p>
    <w:p>
      <w:pPr>
        <w:pStyle w:val="ListParagraph"/>
        <w:numPr>
          <w:ilvl w:val="0"/>
          <w:numId w:val="1"/>
        </w:numPr>
        <w:spacing w:after="60"/>
      </w:pPr>
      <w:r>
        <w:t xml:space="preserve">3yr and 5yr sales CAGRs are both deeply negative (-11.75%, -25.99%) - a multi-year history of decline, not growth</w:t>
      </w:r>
    </w:p>
    <w:p>
      <w:pPr>
        <w:pStyle w:val="ListParagraph"/>
        <w:numPr>
          <w:ilvl w:val="0"/>
          <w:numId w:val="1"/>
        </w:numPr>
        <w:spacing w:after="60"/>
      </w:pPr>
      <w:r>
        <w:t xml:space="preserve">TWO separate independent MarketsMojo headlines in successive quarters warn that revenue surges are masking profitability/margin problems</w:t>
      </w:r>
    </w:p>
    <w:p>
      <w:pPr>
        <w:pStyle w:val="ListParagraph"/>
        <w:numPr>
          <w:ilvl w:val="0"/>
          <w:numId w:val="1"/>
        </w:numPr>
        <w:spacing w:after="60"/>
      </w:pPr>
      <w:r>
        <w:t xml:space="preserve">ROE of 0% reflects the negative-equity distress, not genuine capital efficiency</w:t>
      </w:r>
    </w:p>
    <w:p>
      <w:pPr>
        <w:pStyle w:val="Heading1"/>
        <w:spacing w:after="120" w:before="280"/>
      </w:pPr>
      <w:r>
        <w:t xml:space="preserve">Market-Cap Tier</w:t>
      </w:r>
    </w:p>
    <w:p>
      <w:pPr>
        <w:spacing w:after="120"/>
      </w:pPr>
      <w:r>
        <w:rPr>
          <w:b/>
          <w:bCs/>
        </w:rPr>
        <w:t xml:space="preserve">Microcap (~Rs 85 Cr) - excluded on severe financial-distress grounds, not a size issue.</w:t>
      </w:r>
    </w:p>
    <w:p>
      <w:pPr>
        <w:pStyle w:val="Heading1"/>
        <w:spacing w:after="120" w:before="280"/>
      </w:pPr>
      <w:r>
        <w:t xml:space="preserve">10x-in-2-3-Years Plausibility Verdict</w:t>
      </w:r>
    </w:p>
    <w:p>
      <w:pPr>
        <w:spacing w:after="120"/>
      </w:pPr>
      <w:r>
        <w:rPr>
          <w:b/>
          <w:bCs/>
          <w:sz w:val="24"/>
          <w:szCs w:val="24"/>
        </w:rPr>
        <w:t xml:space="preserve">AVOID - severe, independently-corroborated financial distress (negative equity, multi-year decline, repeated 'masking' warnings)</w:t>
      </w:r>
    </w:p>
    <w:p>
      <w:pPr>
        <w:pStyle w:val="ListParagraph"/>
        <w:numPr>
          <w:ilvl w:val="0"/>
          <w:numId w:val="1"/>
        </w:numPr>
        <w:spacing w:after="60"/>
      </w:pPr>
      <w:r>
        <w:t xml:space="preserve">Negative book value is a hard disqualifier regardless of any headline revenue growth</w:t>
      </w:r>
    </w:p>
    <w:p>
      <w:pPr>
        <w:pStyle w:val="ListParagraph"/>
        <w:numPr>
          <w:ilvl w:val="0"/>
          <w:numId w:val="1"/>
        </w:numPr>
        <w:spacing w:after="60"/>
      </w:pPr>
      <w:r>
        <w:t xml:space="preserve">Two separate, independent MarketsMojo warnings across successive quarters is a strong corroborating signal, not just this research's own view</w:t>
      </w:r>
    </w:p>
    <w:p>
      <w:pPr>
        <w:pStyle w:val="ListParagraph"/>
        <w:numPr>
          <w:ilvl w:val="0"/>
          <w:numId w:val="1"/>
        </w:numPr>
        <w:spacing w:after="60"/>
      </w:pPr>
      <w:r>
        <w:t xml:space="preserve">The source sheet's own cautious 'study purposes only' framing was well-placed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2026-08-14T16:44:31.182Z</dcterms:created>
  <dcterms:modified xsi:type="dcterms:W3CDTF">2026-08-14T16:44:31.186Z</dcterms:modified>
</cp:coreProperties>
</file>

<file path=docProps/custom.xml><?xml version="1.0" encoding="utf-8"?>
<Properties xmlns="http://schemas.openxmlformats.org/officeDocument/2006/custom-properties" xmlns:vt="http://schemas.openxmlformats.org/officeDocument/2006/docPropsVTypes"/>
</file>