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Glen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 SME: 544444 | Food packaging (PLA/paper straws, containers) for HoReCa, ~Rs 274 Cr - listed status 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274 Cr (microcap, SME platform)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13.8% / 16.6% (moderate)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Growth</w:t>
            </w:r>
          </w:p>
        </w:tc>
        <w:tc>
          <w:tcPr>
            <w:tcW w:type="dxa" w:w="5800"/>
          </w:tcPr>
          <w:p>
            <w:r>
              <w:t xml:space="preserve">+19% YoY (Rs 203.1 Cr); 22.06% CAGR vs 6.79% industry median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Debuted at Rs 157 (+62% over Rs 97 IPO price, Jul 2025); now down to ~Rs 114, a real decline from the listing pop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Independent Quality Assessment</w:t>
            </w:r>
          </w:p>
        </w:tc>
        <w:tc>
          <w:tcPr>
            <w:tcW w:type="dxa" w:w="5800"/>
          </w:tcPr>
          <w:p>
            <w:r>
              <w:t xml:space="preserve">Flagged as 'weak quality' based on inconsistent multi-year track record (revenue growth, ROCE, margins, cash conversion, debt-to-cashflow)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Real above-industry growth (22% CAGR vs 6.79%) in a genuine sustainability-relevant niche (PLA/paper straws for HoReCa, benefiting from single-use plastic restrictions), but an independent quality screen (MoneyWorks4Me) explicitly flags this as 'weak quality' due to an inconsistent multi-year track record - a meaningful caution flag beyond just the headline growth number. The stock has also given back much of its strong listing-day pop.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Down from its Rs 157 listing-day close to ~Rs 114 (a ~27% decline), though still above the Rs 97 IPO price - a stock that has cooled significantly since debut.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own 'study purposes only' framing (not a conviction pick) is appropriate given the independent 'weak quality' assessment found here.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SME-platform listing (Jul 2025) - inherently lower liquidity than mainboard; no other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above-industry revenue growth (22% CAGR vs 6.79% industry)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sustainability tailwind (PLA/paper straws replacing single-use plastic) in HoReCa/beverage packaging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trading above its IPO issue price despite the post-listing decline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quality assessment explicitly flags 'weak quality' based on an inconsistent multi-year track record - not just this research's own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Significant decline from the listing-day pop (Rs 157 to ~Rs 114)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SME-platform liquidity is a structural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public track record (listed Jul 2025)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SME-platform (~Rs 274 Cr) - real growth story, but independently flagged quality concerns temper conviction.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growth in a good niche, but independently flagged as inconsistent quality -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sector tailwind (sustainable packaging) are genuine positives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independent quality screen's 'weak quality' flag is a meaningful, third-party signal worth weighing seriously, not just this research's own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liquidity and short track record add further caution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2026-08-14T16:43:28.250Z</dcterms:created>
  <dcterms:modified xsi:type="dcterms:W3CDTF">2026-08-14T16:43:28.255Z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