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Gufic Biosciences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GUFICBIO | EXCLUDED - already lower-midcap (~Rs 4,308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4,308 Cr (lower-midcap)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12.2% / 9.98-13.5% (moderate)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3yr Return</w:t>
            </w:r>
          </w:p>
        </w:tc>
        <w:tc>
          <w:tcPr>
            <w:tcW w:type="dxa" w:w="5800"/>
          </w:tcPr>
          <w:p>
            <w:r>
              <w:t xml:space="preserve">+15.7%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above this project's practical size cutoff (~Rs 3,500 Cr), with only moderate returns on capital (ROCE ~12%, ROE ~10-13.5%) - neither the size nor the return profile support a 10x-in-2-3-years case.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Leading position in Lyophilized Injections manufacturing, a specialized pharma niche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lower-midcap (Rs 4,308 Cr) with only moderate ROCE/ROE (~10-13%) - neither size nor returns support a 10x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Lower-midcap (~Rs 4,308 Cr) - excluded on size grounds.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 with only moderate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is limited for this project's size range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on capital are moderate, not exceptional, further weakening the case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2026-08-14T16:52:24.362Z</dcterms:created>
  <dcterms:modified xsi:type="dcterms:W3CDTF">2026-08-14T16:52:24.367Z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